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BD3" w:rsidRDefault="001B7BD3" w:rsidP="001B7BD3">
      <w:pPr>
        <w:pStyle w:val="ListParagraph"/>
        <w:tabs>
          <w:tab w:val="left" w:pos="851"/>
        </w:tabs>
        <w:spacing w:after="0" w:line="240" w:lineRule="auto"/>
        <w:ind w:left="567"/>
        <w:jc w:val="center"/>
        <w:rPr>
          <w:rFonts w:ascii="GHEA Grapalat" w:hAnsi="GHEA Grapalat"/>
          <w:bCs/>
          <w:color w:val="000000"/>
          <w:sz w:val="24"/>
          <w:szCs w:val="24"/>
          <w:lang w:eastAsia="hy-AM"/>
        </w:rPr>
      </w:pPr>
      <w:r>
        <w:rPr>
          <w:rFonts w:ascii="GHEA Grapalat" w:hAnsi="GHEA Grapalat"/>
          <w:bCs/>
          <w:color w:val="000000"/>
          <w:sz w:val="24"/>
          <w:szCs w:val="24"/>
          <w:lang w:eastAsia="hy-AM"/>
        </w:rPr>
        <w:t>ՀԻՄՆԱՎՈՐՈՒՄ</w:t>
      </w:r>
    </w:p>
    <w:p w:rsidR="001B7BD3" w:rsidRDefault="001B7BD3" w:rsidP="001B7BD3">
      <w:pPr>
        <w:shd w:val="clear" w:color="auto" w:fill="FFFFFF"/>
        <w:tabs>
          <w:tab w:val="left" w:pos="851"/>
        </w:tabs>
        <w:spacing w:after="0" w:line="240" w:lineRule="auto"/>
        <w:jc w:val="center"/>
        <w:rPr>
          <w:rFonts w:ascii="GHEA Grapalat" w:hAnsi="GHEA Grapalat"/>
          <w:color w:val="000000"/>
          <w:sz w:val="24"/>
          <w:szCs w:val="24"/>
          <w:lang w:eastAsia="hy-AM"/>
        </w:rPr>
      </w:pPr>
      <w:r>
        <w:rPr>
          <w:rFonts w:ascii="GHEA Grapalat" w:hAnsi="GHEA Grapalat"/>
          <w:bCs/>
          <w:color w:val="000000"/>
          <w:sz w:val="24"/>
          <w:szCs w:val="24"/>
          <w:lang w:eastAsia="hy-AM"/>
        </w:rPr>
        <w:t xml:space="preserve"> «</w:t>
      </w:r>
      <w:r>
        <w:rPr>
          <w:rFonts w:ascii="GHEA Grapalat" w:hAnsi="GHEA Grapalat" w:cs="Sylfaen"/>
          <w:sz w:val="24"/>
          <w:szCs w:val="24"/>
        </w:rPr>
        <w:t>ՄԱՔՍԱՅԻՆ ՄԱՐՄԻՆՆԵՐԻ ԿՈՂՄԻՑ «ՄԱՔՍԱՅԻՆ ՏԱՐԱՆՑՈՒՄ» ՄԱՔՍԱՅԻՆ ԸՆԹԱՑԱԿԱՐԳՈՎ ԱՊՐԱՆՔՆԵՐԻ ՁԵՎԱԿԵՐՊՄԱՆ ՀԱՄԱՐ ՀԱՇՎԱՐԿՎՈՂ ՄԱՔՍԱՏՈՒՐՔԻ, ՀԱՐԿԵՐԻ, ՀԱՏՈՒԿ, ՀԱԿԱԳՆԱԳՑՄԱՆ ԵՎ ՓՈԽՀԱՏՈՒՑՄԱՆ ՏՈՒՐՔԵՐԻ ՎՃԱՐՄԱՆ ԳԾՈՎ ՊԱՐՏԱՎՈՐՈՒԹՅՈՒՆՆԵՐԻ ԿԱՏԱՐՄԱՆ ԱՊԱՀՈՎՄԱՆ ՀԱՇՎԱՐԿՄԱՆ ՀԱՄԱՐ ԱՆՀՐԱԺԵՇՏ ՏԵՂԵԿԱՏՎՈՒԹՅԱՆ ՕԳՏԱԳՈՐԾՄԱՆ ԿԱՐԳԸ ՍԱՀՄԱՆԵԼՈՒ ՄԱՍԻՆ</w:t>
      </w:r>
      <w:r>
        <w:rPr>
          <w:rFonts w:ascii="GHEA Grapalat" w:hAnsi="GHEA Grapalat"/>
          <w:bCs/>
          <w:color w:val="000000"/>
          <w:sz w:val="24"/>
          <w:szCs w:val="24"/>
          <w:lang w:eastAsia="hy-AM"/>
        </w:rPr>
        <w:t>» ՀԱՅԱՍՏԱՆԻ ՀԱՆՐԱՊԵՏՈՒԹՅԱՆ ԿԱՌԱՎԱՐՈՒԹՅԱՆ ՈՐՈՇՄԱՆ ՆԱԽԱԳԾԻ ՎԵՐԱԲԵՐՅԱԼ</w:t>
      </w:r>
    </w:p>
    <w:p w:rsidR="001B7BD3" w:rsidRDefault="001B7BD3" w:rsidP="001B7BD3">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p>
    <w:p w:rsidR="001B7BD3" w:rsidRDefault="001B7BD3" w:rsidP="001B7BD3">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Իրավական ակտի ընդունման անհրաժեշտությունը, ընթացիկ իրավիճակը և խնդիրները.</w:t>
      </w:r>
    </w:p>
    <w:p w:rsidR="001B7BD3" w:rsidRDefault="001B7BD3" w:rsidP="001B7BD3">
      <w:pPr>
        <w:tabs>
          <w:tab w:val="left" w:pos="993"/>
        </w:tabs>
        <w:spacing w:after="0" w:line="360" w:lineRule="auto"/>
        <w:ind w:firstLine="567"/>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«Եվրասիական տնտեսական միության մաքսային օրենսգրքի մասին» 2017 թվականի ապրիլի 11-ի պայմանագրի հավելվածով հաստատված՝ Եվրասիական տնտեսական միության մաքսային օրենսգրքի 146-րդ հոդվածի 2-րդ կետի համաձայն՝ ապրանքները՝ բացառությամբ անձնական օգտագործման ապրանքների և միջազգային փոստային առաքանիների, «Մաքսային տարանցում» մաքսային ընթացակարգով ձևակերպելիս մաքսատուրքերը, հարկերը վճարելու պարտավորության կատարման ապահովման չափը որոշվում է ելնելով այն մաքսատուրքերի, հարկերի գումարներից, որոնք ենթակա կլինեին վճարման այն անդամ պետությունում, որի մաքսային մարմինն իրականացնում է ապրանքների բացթողումը, եթե տարանցման հայտարարագրի գրանցման ամսաթվի դրությամբ ապրանքները ձևակերպվեին «Բացթողում՝ ներքին սպառման համար» մաքսային ընթացակարգով կամ «Արտահանում» մաքսային ընթացակարգով՝ համապատասխանաբար առանց սակագնային առանձնա</w:t>
      </w:r>
      <w:r>
        <w:rPr>
          <w:rFonts w:ascii="GHEA Grapalat" w:hAnsi="GHEA Grapalat"/>
          <w:color w:val="000000"/>
          <w:sz w:val="24"/>
          <w:szCs w:val="24"/>
          <w:shd w:val="clear" w:color="auto" w:fill="FFFFFF"/>
        </w:rPr>
        <w:softHyphen/>
        <w:t>շնորհում</w:t>
      </w:r>
      <w:r>
        <w:rPr>
          <w:rFonts w:ascii="GHEA Grapalat" w:hAnsi="GHEA Grapalat"/>
          <w:color w:val="000000"/>
          <w:sz w:val="24"/>
          <w:szCs w:val="24"/>
          <w:shd w:val="clear" w:color="auto" w:fill="FFFFFF"/>
        </w:rPr>
        <w:softHyphen/>
        <w:t>ների և ներմուծման մաքսատուրքերի, հարկերի վճարման արտոնությունների կամ արտահանման մաքսատուրքերի վճարման արտոնությունների կիրառման, բայց ոչ պակաս այն մաքսատուրքերի, հարկերի գումարներից, որոնք ենթակա կլինեին վճարման այլ անդամ պետություններում, որոնց տարածքներով «Մաքսային տարանցում» մաքսային ընթացակարգին համապատասխան իրականացվելու է ապրանքների փոխադրումը (տրանսպորտային փոխադրումը) այնպես, եթե ապրանքն այդ անդամ պետությունների տարածքներում ձևակերպվեր «Բացթողում՝ ներքին սպառման համար» մաքսային ընթացակարգով կամ «Արտահանում» մաքսային ընթացակարգով՝ համապատասխանաբար առանց սակագնային առանձնաշնորհումների և ներմուծման մաքսատուրքերի, հարկերի վճարման արտոնությունների կամ արտահանման մաքսատուրքերի վճարման արտոնությունների կիրառման:</w:t>
      </w:r>
    </w:p>
    <w:p w:rsidR="001B7BD3" w:rsidRDefault="001B7BD3" w:rsidP="001B7BD3">
      <w:pPr>
        <w:shd w:val="clear" w:color="auto" w:fill="FFFFFF"/>
        <w:tabs>
          <w:tab w:val="left" w:pos="993"/>
        </w:tabs>
        <w:spacing w:after="0" w:line="360" w:lineRule="auto"/>
        <w:ind w:firstLine="567"/>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lastRenderedPageBreak/>
        <w:t>Նույն կետի առաջին պարբերությունում նշված մաքսատուրքերի, հարկերի գումարները որոշվում են ելնելով մաքսատուրքերի, հարկերի դրույքաչափերի ամենաբարձր մեծությունից, ապրանքների արժեքից և (կամ) դրանց՝ բնաիրային արտահայտությամբ (քանակ, զանգված, ծավալ կամ այլ բնութագրեր) ֆիզիկական բնութագրերից, որոնք կարող են որոշվել առկա տեղեկությունների հիման վրա, որոնց օգտագործման կարգը սահմանվում է անդամ պետությունների օրենսդրությամբ:</w:t>
      </w:r>
    </w:p>
    <w:p w:rsidR="001B7BD3" w:rsidRDefault="001B7BD3" w:rsidP="001B7BD3">
      <w:pPr>
        <w:shd w:val="clear" w:color="auto" w:fill="FFFFFF"/>
        <w:tabs>
          <w:tab w:val="left" w:pos="993"/>
        </w:tabs>
        <w:spacing w:after="0" w:line="360" w:lineRule="auto"/>
        <w:ind w:firstLine="567"/>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«Մաքսային կարգավորման մասին» օրենքի 104-րդ հոդվածի 5-րդ մաս</w:t>
      </w:r>
      <w:bookmarkStart w:id="0" w:name="_GoBack"/>
      <w:bookmarkEnd w:id="0"/>
      <w:r>
        <w:rPr>
          <w:rFonts w:ascii="GHEA Grapalat" w:hAnsi="GHEA Grapalat"/>
          <w:color w:val="000000"/>
          <w:sz w:val="24"/>
          <w:szCs w:val="24"/>
          <w:shd w:val="clear" w:color="auto" w:fill="FFFFFF"/>
        </w:rPr>
        <w:t>ի համաձայն՝ Եվրասիական տնտեսական միության մաքսային օրենսգրքի 146-րդ հոդվածի 2-րդ կետին համապատասխան՝ մաքսային մարմինների կողմից «Մաքսային տարանցում» մաքսային ընթացակարգով ապրանքների ձևակերպման համար հաշվարկվող մաքսատուրքի, հարկերի, հատուկ, հակագնագցման և փոխհատուցման տուրքերի վճարման գծով պարտավորություն</w:t>
      </w:r>
      <w:r>
        <w:rPr>
          <w:rFonts w:ascii="GHEA Grapalat" w:hAnsi="GHEA Grapalat"/>
          <w:color w:val="000000"/>
          <w:sz w:val="24"/>
          <w:szCs w:val="24"/>
          <w:shd w:val="clear" w:color="auto" w:fill="FFFFFF"/>
        </w:rPr>
        <w:softHyphen/>
        <w:t>ների կատարման ապահովման հաշվարկման համար անհրաժեշտ տեղեկատվության օգտա</w:t>
      </w:r>
      <w:r>
        <w:rPr>
          <w:rFonts w:ascii="GHEA Grapalat" w:hAnsi="GHEA Grapalat"/>
          <w:color w:val="000000"/>
          <w:sz w:val="24"/>
          <w:szCs w:val="24"/>
          <w:shd w:val="clear" w:color="auto" w:fill="FFFFFF"/>
        </w:rPr>
        <w:softHyphen/>
        <w:t>գործ</w:t>
      </w:r>
      <w:r>
        <w:rPr>
          <w:rFonts w:ascii="GHEA Grapalat" w:hAnsi="GHEA Grapalat"/>
          <w:color w:val="000000"/>
          <w:sz w:val="24"/>
          <w:szCs w:val="24"/>
          <w:shd w:val="clear" w:color="auto" w:fill="FFFFFF"/>
        </w:rPr>
        <w:softHyphen/>
        <w:t>ման կարգը սահմանում է Կառավարությունը:</w:t>
      </w:r>
    </w:p>
    <w:p w:rsidR="001B7BD3" w:rsidRDefault="001B7BD3" w:rsidP="001B7BD3">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Կարգավորման առարկան, ակնկալվող արդյունքը.</w:t>
      </w:r>
    </w:p>
    <w:p w:rsidR="001B7BD3" w:rsidRDefault="001B7BD3" w:rsidP="001B7BD3">
      <w:pPr>
        <w:pStyle w:val="ListParagraph"/>
        <w:shd w:val="clear" w:color="auto" w:fill="FFFFFF"/>
        <w:tabs>
          <w:tab w:val="left" w:pos="851"/>
        </w:tabs>
        <w:spacing w:after="0" w:line="360" w:lineRule="auto"/>
        <w:ind w:left="0" w:firstLine="567"/>
        <w:jc w:val="both"/>
        <w:rPr>
          <w:rFonts w:ascii="GHEA Grapalat" w:hAnsi="GHEA Grapalat"/>
          <w:color w:val="000000"/>
          <w:sz w:val="24"/>
          <w:szCs w:val="24"/>
          <w:lang w:eastAsia="hy-AM"/>
        </w:rPr>
      </w:pPr>
      <w:r>
        <w:rPr>
          <w:rFonts w:ascii="GHEA Grapalat" w:hAnsi="GHEA Grapalat"/>
          <w:color w:val="000000"/>
          <w:sz w:val="24"/>
          <w:szCs w:val="24"/>
          <w:lang w:eastAsia="hy-AM"/>
        </w:rPr>
        <w:t>Նախագծով նախատեսվում է սահմանել՝</w:t>
      </w:r>
    </w:p>
    <w:p w:rsidR="001B7BD3" w:rsidRDefault="001B7BD3" w:rsidP="001B7BD3">
      <w:pPr>
        <w:pStyle w:val="ListParagraph"/>
        <w:numPr>
          <w:ilvl w:val="0"/>
          <w:numId w:val="1"/>
        </w:numPr>
        <w:shd w:val="clear" w:color="auto" w:fill="FFFFFF"/>
        <w:tabs>
          <w:tab w:val="left" w:pos="851"/>
        </w:tabs>
        <w:spacing w:after="0" w:line="360" w:lineRule="auto"/>
        <w:ind w:left="0" w:firstLine="567"/>
        <w:jc w:val="both"/>
        <w:rPr>
          <w:rFonts w:ascii="GHEA Grapalat" w:hAnsi="GHEA Grapalat"/>
          <w:color w:val="000000"/>
          <w:sz w:val="24"/>
          <w:szCs w:val="24"/>
          <w:lang w:eastAsia="hy-AM"/>
        </w:rPr>
      </w:pPr>
      <w:r>
        <w:rPr>
          <w:rFonts w:ascii="GHEA Grapalat" w:hAnsi="GHEA Grapalat"/>
          <w:color w:val="000000"/>
          <w:sz w:val="24"/>
          <w:szCs w:val="24"/>
          <w:lang w:eastAsia="hy-AM"/>
        </w:rPr>
        <w:t>«Մաքսային տարանցում» մաքսային ընթացակարգով ձևակերպվող ապրանքների համար պարտավորությունների կատարման ապահովման չափի հաշվարկման համար հիմք ընդունվող տեղեկությունները՝ այդ թվում այն դեպքում, երբ ապրանքների վերաբերյալ ճշգրիտ տվյալներ առկա չեն</w:t>
      </w:r>
      <w:r>
        <w:rPr>
          <w:rFonts w:ascii="Cambria Math" w:hAnsi="Cambria Math" w:cs="Cambria Math"/>
          <w:color w:val="000000"/>
          <w:sz w:val="24"/>
          <w:szCs w:val="24"/>
          <w:lang w:eastAsia="hy-AM"/>
        </w:rPr>
        <w:t>․</w:t>
      </w:r>
    </w:p>
    <w:p w:rsidR="001B7BD3" w:rsidRDefault="001B7BD3" w:rsidP="001B7BD3">
      <w:pPr>
        <w:pStyle w:val="ListParagraph"/>
        <w:numPr>
          <w:ilvl w:val="0"/>
          <w:numId w:val="1"/>
        </w:numPr>
        <w:shd w:val="clear" w:color="auto" w:fill="FFFFFF"/>
        <w:tabs>
          <w:tab w:val="left" w:pos="851"/>
        </w:tabs>
        <w:spacing w:after="0" w:line="360" w:lineRule="auto"/>
        <w:ind w:left="0" w:firstLine="567"/>
        <w:jc w:val="both"/>
        <w:rPr>
          <w:rFonts w:ascii="GHEA Grapalat" w:hAnsi="GHEA Grapalat"/>
          <w:color w:val="000000"/>
          <w:sz w:val="24"/>
          <w:szCs w:val="24"/>
          <w:lang w:eastAsia="hy-AM"/>
        </w:rPr>
      </w:pPr>
      <w:r>
        <w:rPr>
          <w:rFonts w:ascii="GHEA Grapalat" w:hAnsi="GHEA Grapalat"/>
          <w:color w:val="000000"/>
          <w:sz w:val="24"/>
          <w:szCs w:val="24"/>
          <w:lang w:eastAsia="hy-AM"/>
        </w:rPr>
        <w:t>«Մաքսային տարանցում» մաքսային ընթացակարգով ձևակերպվող ապրանքների համար պարտավորությունների կատարման ապահովման չափի հաշվարկման համար հիմք ընդունվող տեղեկություններն այն դեպքում, երբ ապրանքները փոխադրվելու են նաև Եվրասիական տնտեսական միության անդամ այլ պետությունների տարածքներով։</w:t>
      </w:r>
    </w:p>
    <w:p w:rsidR="001B7BD3" w:rsidRDefault="001B7BD3" w:rsidP="001B7BD3">
      <w:pPr>
        <w:shd w:val="clear" w:color="auto" w:fill="FFFFFF"/>
        <w:tabs>
          <w:tab w:val="left" w:pos="851"/>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Նախագծով նախատեսվում է սահմանել «Մաքսային տարանցում» մաքսային ընթացակարգով ձևակերպվող ապրանքների համար ներմուծման մաքսատուրքի և հարկերի վճարման գծով պարտավորությունների ապահովման չափի հաշվարկման նպատակով համապատասխան իրավական հիմքեր:</w:t>
      </w:r>
    </w:p>
    <w:p w:rsidR="001B7BD3" w:rsidRDefault="001B7BD3" w:rsidP="001B7BD3">
      <w:pPr>
        <w:shd w:val="clear" w:color="auto" w:fill="FFFFFF"/>
        <w:tabs>
          <w:tab w:val="left" w:pos="851"/>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 xml:space="preserve">Նախագծով սահմանվող դրույթները կիրառելի կլինեն այն դեպքում, երբ «Մաքսային տարանցում» մաքսային ընթացակարգով փոխադրվող ապրանքների համար կպահանջվի </w:t>
      </w:r>
      <w:r>
        <w:rPr>
          <w:rFonts w:ascii="GHEA Grapalat" w:hAnsi="GHEA Grapalat"/>
          <w:color w:val="000000"/>
          <w:sz w:val="24"/>
          <w:szCs w:val="24"/>
          <w:lang w:eastAsia="hy-AM"/>
        </w:rPr>
        <w:lastRenderedPageBreak/>
        <w:t>ներմուծման մաքսատուրքի, հարկերի վճարման գծով պարտավորությունների կատարման ապահովում։</w:t>
      </w:r>
    </w:p>
    <w:p w:rsidR="001B7BD3" w:rsidRDefault="001B7BD3" w:rsidP="001B7BD3">
      <w:pPr>
        <w:shd w:val="clear" w:color="auto" w:fill="FFFFFF"/>
        <w:tabs>
          <w:tab w:val="left" w:pos="993"/>
        </w:tabs>
        <w:spacing w:after="0" w:line="360" w:lineRule="auto"/>
        <w:ind w:firstLine="567"/>
        <w:jc w:val="both"/>
        <w:rPr>
          <w:rFonts w:ascii="GHEA Grapalat" w:hAnsi="GHEA Grapalat"/>
          <w:b/>
          <w:bCs/>
          <w:i/>
          <w:color w:val="000000"/>
          <w:sz w:val="24"/>
          <w:szCs w:val="24"/>
          <w:lang w:eastAsia="hy-AM"/>
        </w:rPr>
      </w:pPr>
      <w:r>
        <w:rPr>
          <w:rFonts w:ascii="GHEA Grapalat" w:hAnsi="GHEA Grapalat"/>
          <w:b/>
          <w:i/>
          <w:color w:val="000000"/>
          <w:sz w:val="24"/>
          <w:szCs w:val="24"/>
          <w:lang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B7BD3" w:rsidRDefault="001B7BD3" w:rsidP="001B7BD3">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Նախագիծն ուղղակիորեն չի բխում ռազմավարական փաստաթղթերից</w:t>
      </w:r>
      <w:r>
        <w:rPr>
          <w:rFonts w:ascii="GHEA Grapalat" w:hAnsi="GHEA Grapalat"/>
          <w:bCs/>
          <w:color w:val="000000"/>
          <w:sz w:val="24"/>
          <w:szCs w:val="24"/>
          <w:lang w:eastAsia="hy-AM"/>
        </w:rPr>
        <w:t>։</w:t>
      </w:r>
    </w:p>
    <w:p w:rsidR="001B7BD3" w:rsidRDefault="001B7BD3" w:rsidP="001B7BD3">
      <w:pPr>
        <w:shd w:val="clear" w:color="auto" w:fill="FFFFFF"/>
        <w:tabs>
          <w:tab w:val="left" w:pos="993"/>
        </w:tabs>
        <w:spacing w:after="0" w:line="360" w:lineRule="auto"/>
        <w:ind w:firstLine="567"/>
        <w:jc w:val="both"/>
        <w:rPr>
          <w:rFonts w:ascii="GHEA Grapalat" w:hAnsi="GHEA Grapalat"/>
          <w:b/>
          <w:i/>
          <w:color w:val="000000"/>
          <w:sz w:val="24"/>
          <w:szCs w:val="24"/>
          <w:lang w:val="fr-FR" w:eastAsia="hy-AM"/>
        </w:rPr>
      </w:pPr>
      <w:r>
        <w:rPr>
          <w:rFonts w:ascii="GHEA Grapalat" w:hAnsi="GHEA Grapalat"/>
          <w:b/>
          <w:i/>
          <w:color w:val="000000"/>
          <w:sz w:val="24"/>
          <w:szCs w:val="24"/>
          <w:lang w:eastAsia="hy-AM"/>
        </w:rPr>
        <w:t>Նախագծի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մշակման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գործընթացում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ներգրավված</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ինստիտուտները</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անձինք</w:t>
      </w:r>
      <w:r>
        <w:rPr>
          <w:rFonts w:ascii="GHEA Grapalat" w:hAnsi="GHEA Grapalat"/>
          <w:b/>
          <w:i/>
          <w:color w:val="000000"/>
          <w:sz w:val="24"/>
          <w:szCs w:val="24"/>
          <w:lang w:val="fr-FR" w:eastAsia="hy-AM"/>
        </w:rPr>
        <w:t xml:space="preserve">. </w:t>
      </w:r>
    </w:p>
    <w:p w:rsidR="001B7BD3" w:rsidRDefault="001B7BD3" w:rsidP="001B7BD3">
      <w:pPr>
        <w:shd w:val="clear" w:color="auto" w:fill="FFFFFF"/>
        <w:tabs>
          <w:tab w:val="left" w:pos="993"/>
        </w:tabs>
        <w:spacing w:after="0" w:line="360" w:lineRule="auto"/>
        <w:ind w:firstLine="567"/>
        <w:jc w:val="both"/>
        <w:rPr>
          <w:rFonts w:ascii="GHEA Grapalat" w:hAnsi="GHEA Grapalat"/>
          <w:b/>
          <w:bCs/>
          <w:color w:val="000000"/>
          <w:sz w:val="24"/>
          <w:szCs w:val="24"/>
          <w:lang w:eastAsia="hy-AM"/>
        </w:rPr>
      </w:pPr>
      <w:r>
        <w:rPr>
          <w:rFonts w:ascii="GHEA Grapalat" w:hAnsi="GHEA Grapalat"/>
          <w:color w:val="000000"/>
          <w:sz w:val="24"/>
          <w:szCs w:val="24"/>
          <w:lang w:eastAsia="hy-AM"/>
        </w:rPr>
        <w:t>Նախագիծը</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մշակվել</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է</w:t>
      </w:r>
      <w:r>
        <w:rPr>
          <w:rFonts w:ascii="GHEA Grapalat" w:hAnsi="GHEA Grapalat"/>
          <w:color w:val="000000"/>
          <w:sz w:val="24"/>
          <w:szCs w:val="24"/>
          <w:lang w:val="fr-FR" w:eastAsia="hy-AM"/>
        </w:rPr>
        <w:t xml:space="preserve"> </w:t>
      </w:r>
      <w:proofErr w:type="spellStart"/>
      <w:r>
        <w:rPr>
          <w:rFonts w:ascii="GHEA Grapalat" w:hAnsi="GHEA Grapalat"/>
          <w:color w:val="000000"/>
          <w:sz w:val="24"/>
          <w:szCs w:val="24"/>
          <w:lang w:val="en-US" w:eastAsia="hy-AM"/>
        </w:rPr>
        <w:t>Հայաստանի</w:t>
      </w:r>
      <w:proofErr w:type="spellEnd"/>
      <w:r>
        <w:rPr>
          <w:rFonts w:ascii="GHEA Grapalat" w:hAnsi="GHEA Grapalat"/>
          <w:color w:val="000000"/>
          <w:sz w:val="24"/>
          <w:szCs w:val="24"/>
          <w:lang w:val="fr-FR" w:eastAsia="hy-AM"/>
        </w:rPr>
        <w:t xml:space="preserve"> </w:t>
      </w:r>
      <w:proofErr w:type="spellStart"/>
      <w:r>
        <w:rPr>
          <w:rFonts w:ascii="GHEA Grapalat" w:hAnsi="GHEA Grapalat"/>
          <w:color w:val="000000"/>
          <w:sz w:val="24"/>
          <w:szCs w:val="24"/>
          <w:lang w:val="en-US" w:eastAsia="hy-AM"/>
        </w:rPr>
        <w:t>Հանրապետության</w:t>
      </w:r>
      <w:proofErr w:type="spellEnd"/>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պետական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եկամուտների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կոմիտեի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կողմից</w:t>
      </w:r>
      <w:r>
        <w:rPr>
          <w:rFonts w:ascii="GHEA Grapalat" w:hAnsi="GHEA Grapalat"/>
          <w:color w:val="000000"/>
          <w:sz w:val="24"/>
          <w:szCs w:val="24"/>
          <w:lang w:val="fr-FR" w:eastAsia="hy-AM"/>
        </w:rPr>
        <w:t>:</w:t>
      </w:r>
    </w:p>
    <w:p w:rsidR="001B7BD3" w:rsidRDefault="001B7BD3" w:rsidP="001B7BD3">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Լրացուցիչ ֆինանսական միջոցների անհրաժեշտության վերաբերյալ.</w:t>
      </w:r>
    </w:p>
    <w:p w:rsidR="001B7BD3" w:rsidRDefault="001B7BD3" w:rsidP="001B7BD3">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Նախագծի ընդունմամբ լրացուցիչ ֆինանսական միջոցների ներգրավման անհրաժեշտություն առկա չէ:</w:t>
      </w:r>
    </w:p>
    <w:p w:rsidR="001B7BD3" w:rsidRDefault="001B7BD3" w:rsidP="001B7BD3">
      <w:pPr>
        <w:shd w:val="clear" w:color="auto" w:fill="FFFFFF"/>
        <w:tabs>
          <w:tab w:val="left" w:pos="993"/>
        </w:tabs>
        <w:spacing w:after="0" w:line="360" w:lineRule="auto"/>
        <w:ind w:firstLine="567"/>
        <w:jc w:val="both"/>
        <w:rPr>
          <w:rFonts w:ascii="GHEA Grapalat" w:hAnsi="GHEA Grapalat"/>
          <w:i/>
          <w:color w:val="000000"/>
          <w:sz w:val="24"/>
          <w:szCs w:val="24"/>
          <w:lang w:eastAsia="hy-AM"/>
        </w:rPr>
      </w:pPr>
      <w:r>
        <w:rPr>
          <w:rFonts w:ascii="GHEA Grapalat" w:hAnsi="GHEA Grapalat"/>
          <w:b/>
          <w:i/>
          <w:color w:val="000000"/>
          <w:sz w:val="24"/>
          <w:szCs w:val="24"/>
          <w:lang w:eastAsia="hy-AM"/>
        </w:rPr>
        <w:t>Պետական բյուջեի եկամուտներում և ծախսերում սպասվելիք փոփոխությունների վերաբերյալ.</w:t>
      </w:r>
    </w:p>
    <w:p w:rsidR="001B7BD3" w:rsidRDefault="001B7BD3" w:rsidP="001B7BD3">
      <w:pPr>
        <w:shd w:val="clear" w:color="auto" w:fill="FFFFFF"/>
        <w:tabs>
          <w:tab w:val="left" w:pos="993"/>
        </w:tabs>
        <w:spacing w:after="0" w:line="360" w:lineRule="auto"/>
        <w:ind w:firstLine="567"/>
        <w:jc w:val="both"/>
      </w:pPr>
      <w:r>
        <w:rPr>
          <w:rFonts w:ascii="GHEA Grapalat" w:hAnsi="GHEA Grapalat"/>
          <w:color w:val="000000"/>
          <w:sz w:val="24"/>
          <w:szCs w:val="24"/>
          <w:lang w:eastAsia="hy-AM"/>
        </w:rPr>
        <w:t xml:space="preserve">Նախագծի </w:t>
      </w:r>
      <w:r>
        <w:rPr>
          <w:rFonts w:ascii="GHEA Grapalat" w:hAnsi="GHEA Grapalat"/>
          <w:bCs/>
          <w:color w:val="000000"/>
          <w:sz w:val="24"/>
          <w:szCs w:val="24"/>
          <w:lang w:eastAsia="hy-AM"/>
        </w:rPr>
        <w:t xml:space="preserve">ընդունմամբ </w:t>
      </w:r>
      <w:r>
        <w:rPr>
          <w:rFonts w:ascii="GHEA Grapalat" w:hAnsi="GHEA Grapalat"/>
          <w:color w:val="000000"/>
          <w:sz w:val="24"/>
          <w:szCs w:val="24"/>
          <w:lang w:eastAsia="hy-AM"/>
        </w:rPr>
        <w:t xml:space="preserve">Հայաստանի Հանրապետության </w:t>
      </w:r>
      <w:r>
        <w:rPr>
          <w:rFonts w:ascii="GHEA Grapalat" w:hAnsi="GHEA Grapalat"/>
          <w:bCs/>
          <w:color w:val="000000"/>
          <w:sz w:val="24"/>
          <w:szCs w:val="24"/>
          <w:lang w:eastAsia="hy-AM"/>
        </w:rPr>
        <w:t>պետական բյուջեում եկամուտների և ծախսերի ավելացում կամ նվազեցում չի նախատեսվում։</w:t>
      </w:r>
    </w:p>
    <w:p w:rsidR="00BD6D9C" w:rsidRDefault="00BD6D9C"/>
    <w:sectPr w:rsidR="00BD6D9C" w:rsidSect="001B7BD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B9372D"/>
    <w:multiLevelType w:val="hybridMultilevel"/>
    <w:tmpl w:val="4266D75A"/>
    <w:lvl w:ilvl="0" w:tplc="DEFE532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F3C"/>
    <w:rsid w:val="001B7BD3"/>
    <w:rsid w:val="00BD6D9C"/>
    <w:rsid w:val="00FE2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4FCF12-9580-418D-8C86-9BC4FC2A8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BD3"/>
    <w:pPr>
      <w:spacing w:line="254"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7B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599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695</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
  <dc:description/>
  <cp:lastModifiedBy>Feliks Melkonyan</cp:lastModifiedBy>
  <cp:revision>3</cp:revision>
  <dcterms:created xsi:type="dcterms:W3CDTF">2023-08-22T06:37:00Z</dcterms:created>
  <dcterms:modified xsi:type="dcterms:W3CDTF">2023-08-22T06:37:00Z</dcterms:modified>
</cp:coreProperties>
</file>