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66E" w:rsidRDefault="00E7266E" w:rsidP="00E7266E">
      <w:pPr>
        <w:pStyle w:val="ListParagraph"/>
        <w:tabs>
          <w:tab w:val="left" w:pos="851"/>
        </w:tabs>
        <w:spacing w:after="0" w:line="240" w:lineRule="auto"/>
        <w:ind w:left="0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E7266E" w:rsidRDefault="00E7266E" w:rsidP="00E7266E">
      <w:pPr>
        <w:shd w:val="clear" w:color="auto" w:fill="FFFFFF"/>
        <w:tabs>
          <w:tab w:val="left" w:pos="851"/>
        </w:tabs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lang w:val="en-US"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«</w:t>
      </w:r>
      <w:r>
        <w:rPr>
          <w:rFonts w:ascii="GHEA Grapalat" w:hAnsi="GHEA Grapalat" w:cs="Sylfaen"/>
          <w:sz w:val="24"/>
          <w:szCs w:val="24"/>
        </w:rPr>
        <w:t>ԼԻԱԶՈՐ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ՄԱՔՍԱՅԻՆ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ՄԱՐՄԻՆՆԵՐԻ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ԿՈՂՄԻՑ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ՄԱՔՍԱՅԻՆ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ՓՈՐՁԱՔՆՆՈՒԹՅ</w:t>
      </w:r>
      <w:r>
        <w:rPr>
          <w:rFonts w:ascii="GHEA Grapalat" w:hAnsi="GHEA Grapalat" w:cs="Sylfaen"/>
          <w:sz w:val="24"/>
          <w:szCs w:val="24"/>
          <w:lang w:val="en-US"/>
        </w:rPr>
        <w:t>Ա</w:t>
      </w:r>
      <w:r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ԱՆՑԿԱՑ</w:t>
      </w:r>
      <w:r>
        <w:rPr>
          <w:rFonts w:ascii="GHEA Grapalat" w:hAnsi="GHEA Grapalat" w:cs="Sylfaen"/>
          <w:sz w:val="24"/>
          <w:szCs w:val="24"/>
          <w:lang w:val="en-US"/>
        </w:rPr>
        <w:t>ՄԱՆ</w:t>
      </w:r>
      <w:r>
        <w:t xml:space="preserve"> </w:t>
      </w:r>
      <w:r>
        <w:rPr>
          <w:rFonts w:ascii="GHEA Grapalat" w:hAnsi="GHEA Grapalat" w:cs="Sylfaen"/>
          <w:sz w:val="24"/>
          <w:szCs w:val="24"/>
        </w:rPr>
        <w:t>ԿԱՐԳԸ</w:t>
      </w:r>
      <w:r>
        <w:rPr>
          <w:rFonts w:ascii="Sylfaen" w:hAnsi="Sylfaen" w:cs="Sylfaen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ՍԱՀՄԱՆԵԼՈՒ ՄԱՍԻՆ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</w:p>
    <w:p w:rsidR="00E7266E" w:rsidRDefault="00E7266E" w:rsidP="00E7266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E7266E" w:rsidRDefault="00E7266E" w:rsidP="00E7266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E7266E" w:rsidRDefault="00E7266E" w:rsidP="00E7266E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«Եվրասիական տնտեսական միության մաքսային օրենսգրքի մասին» 2017 թվականի ապրիլի 11-ի պայմանագրի առաջին հավելվածով հաստատված՝ Եվրասիական տնտեսական միության մաքսային օրենսգրքի 389-րդ հոդվածի 1-ին և 2-րդ կետերի համաձայն՝ մաքսային փորձաքննություն նշանակվում է մաքսային մարմնի կողմից այն դեպքում, երբ մաքսային մարմինների կողմից մաքսային գործառնությունների կատարման և (կամ) մաքսային հսկողության իրականացման ժամանակ առաջացող հարցերը պարզաբանելու համար պահանջվում են մասնագիտական և (կամ) գիտական գիտելիքներ: Մաքսային փորձաքննությունն անցկացվում է լիազորված մաքսային մարմնի կողմից: Լիազորված մաքսային մարմնի կողմից մաքսային փորձաքննություն անցկացնելու անհնարինության դեպքում, իսկ եթե դա նախատեսված է անդամ պետությունների օրենսդրությամբ, ապա նաև այլ դեպքերում մաքսային փորձաքննությունը կարող է նշանակվել անդամ պետության փորձագիտական կազմակերպության (փորձագետի) կողմից անցկացնելու նպատակով՝ այդ անդամ պետության օրենսդրությանը համապատասխան: Նույն օրենսգրքի 390-րդ հոդվածի 3-րդ կետի համաձայն՝ լիազորված մաքսային մարմինների կողմից մաքսային փորձաքննության անցկացման կարգը սահմանվում է անդամ պետությունների օրենսդրությամբ: </w:t>
      </w:r>
    </w:p>
    <w:p w:rsidR="00E7266E" w:rsidRDefault="00E7266E" w:rsidP="00E7266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«Մաքսային կարգավորման մասին» օրենքի</w:t>
      </w:r>
      <w:r>
        <w:rPr>
          <w:rFonts w:ascii="GHEA Grapalat" w:hAnsi="GHEA Grapalat"/>
          <w:sz w:val="24"/>
          <w:szCs w:val="24"/>
        </w:rPr>
        <w:t xml:space="preserve"> 237-րդ հոդվածի 5-րդ մասի համաձայն՝ լիազոր մաքսային մարմինների կողմից մաքսային փորձաքննություն անցկացնելու կարգը սահմանում է Կառավարությունը:</w:t>
      </w:r>
    </w:p>
    <w:p w:rsidR="00E7266E" w:rsidRDefault="00E7266E" w:rsidP="00E7266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lastRenderedPageBreak/>
        <w:t>Կարգավորման առարկան, ակնկալվող արդյունքը.</w:t>
      </w:r>
    </w:p>
    <w:p w:rsidR="00E7266E" w:rsidRDefault="00E7266E" w:rsidP="00E7266E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Նախագծով նախատեսվում է սահմանել՝</w:t>
      </w:r>
    </w:p>
    <w:p w:rsidR="00E7266E" w:rsidRDefault="00E7266E" w:rsidP="00E7266E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մաքսային փորձաքննությունների իրականացման նպատակո</w:t>
      </w:r>
      <w:r w:rsidR="00864FBC">
        <w:rPr>
          <w:rFonts w:ascii="GHEA Grapalat" w:hAnsi="GHEA Grapalat"/>
          <w:color w:val="000000"/>
          <w:sz w:val="24"/>
          <w:szCs w:val="24"/>
          <w:lang w:eastAsia="hy-AM"/>
        </w:rPr>
        <w:t>վ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լիազոր մաքսային մարմնի սահմանման կարգավորումներ</w:t>
      </w:r>
      <w:r>
        <w:rPr>
          <w:rFonts w:ascii="Cambria Math" w:hAnsi="Cambria Math"/>
          <w:color w:val="000000"/>
          <w:sz w:val="24"/>
          <w:szCs w:val="24"/>
          <w:lang w:eastAsia="hy-AM"/>
        </w:rPr>
        <w:t>․</w:t>
      </w:r>
    </w:p>
    <w:p w:rsidR="00E7266E" w:rsidRDefault="00E7266E" w:rsidP="00E7266E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լիազոր մաքսային մարմնի և մաքսային փորձաքննության նշանակման վերաբերյալ որոշում կայացրած մաքսային մարմնի փոխգործակցության կարգավորումներ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E7266E" w:rsidRDefault="00E7266E" w:rsidP="00E7266E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մաքսային փորձաքննություն նշանակած, մաքսային փորձաքննություն իրականացնող մաքսային մարմինների և հայտարարատուների միջև փոխգործակցության կարգավորումներ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E7266E" w:rsidRDefault="00E7266E" w:rsidP="00E7266E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լիազոր մաքսային մարմնի կողմից մաքսային փորձաքննության իրականացմանը առաջադրվող համապատասխան պահանջներ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E7266E" w:rsidRDefault="00E7266E" w:rsidP="00E7266E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մաքսային մարմնի կողմից մաքսային փորձաքննության իրականացման արդյունքում կայացվող որոշումների և եզրակացությունների ձևերը։</w:t>
      </w:r>
    </w:p>
    <w:p w:rsidR="00E7266E" w:rsidRDefault="00E7266E" w:rsidP="00E7266E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ընդունման արդյունքում ակնկալվում է ստեղծել անհրաժեշտ իրավական հիմքեր՝ մաքսային մարմինների կողմից մաքսային փորձաքննության իրականացման նպատակով։</w:t>
      </w:r>
    </w:p>
    <w:p w:rsidR="00E7266E" w:rsidRDefault="00E7266E" w:rsidP="00E7266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864FBC" w:rsidRPr="00864FBC" w:rsidRDefault="00864FBC" w:rsidP="00864FBC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864FBC">
        <w:rPr>
          <w:rFonts w:ascii="GHEA Grapalat" w:hAnsi="GHEA Grapalat"/>
          <w:color w:val="000000"/>
          <w:sz w:val="24"/>
          <w:szCs w:val="24"/>
          <w:lang w:eastAsia="hy-AM"/>
        </w:rPr>
        <w:t>Նախագիծն առնչվում է ՀՀ կառավարության 12</w:t>
      </w:r>
      <w:r w:rsidRPr="00864FBC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864FBC">
        <w:rPr>
          <w:rFonts w:ascii="GHEA Grapalat" w:hAnsi="GHEA Grapalat"/>
          <w:color w:val="000000"/>
          <w:sz w:val="24"/>
          <w:szCs w:val="24"/>
          <w:lang w:eastAsia="hy-AM"/>
        </w:rPr>
        <w:t>12</w:t>
      </w:r>
      <w:r w:rsidRPr="00864FBC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864FBC">
        <w:rPr>
          <w:rFonts w:ascii="GHEA Grapalat" w:hAnsi="GHEA Grapalat"/>
          <w:color w:val="000000"/>
          <w:sz w:val="24"/>
          <w:szCs w:val="24"/>
          <w:lang w:eastAsia="hy-AM"/>
        </w:rPr>
        <w:t>2019թ</w:t>
      </w:r>
      <w:r w:rsidRPr="00864FBC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864FBC">
        <w:rPr>
          <w:rFonts w:ascii="GHEA Grapalat" w:hAnsi="GHEA Grapalat"/>
          <w:color w:val="000000"/>
          <w:sz w:val="24"/>
          <w:szCs w:val="24"/>
          <w:lang w:eastAsia="hy-AM"/>
        </w:rPr>
        <w:t xml:space="preserve"> N1830-Լ որոշմամբ նախատեսված՝ «</w:t>
      </w:r>
      <w:r>
        <w:rPr>
          <w:rFonts w:ascii="GHEA Grapalat" w:hAnsi="GHEA Grapalat"/>
          <w:bCs/>
          <w:iCs/>
          <w:color w:val="000000"/>
          <w:sz w:val="24"/>
          <w:szCs w:val="24"/>
          <w:lang w:eastAsia="hy-AM"/>
        </w:rPr>
        <w:t>3</w:t>
      </w:r>
      <w:r>
        <w:rPr>
          <w:rFonts w:ascii="Cambria Math" w:hAnsi="Cambria Math" w:cs="Cambria Math"/>
          <w:bCs/>
          <w:iCs/>
          <w:color w:val="000000"/>
          <w:sz w:val="24"/>
          <w:szCs w:val="24"/>
          <w:lang w:eastAsia="hy-AM"/>
        </w:rPr>
        <w:t>․</w:t>
      </w:r>
      <w:r>
        <w:rPr>
          <w:rFonts w:ascii="GHEA Grapalat" w:hAnsi="GHEA Grapalat"/>
          <w:bCs/>
          <w:iCs/>
          <w:color w:val="000000"/>
          <w:sz w:val="24"/>
          <w:szCs w:val="24"/>
          <w:lang w:eastAsia="hy-AM"/>
        </w:rPr>
        <w:t>2</w:t>
      </w:r>
      <w:r>
        <w:rPr>
          <w:rFonts w:ascii="Cambria Math" w:hAnsi="Cambria Math" w:cs="Cambria Math"/>
          <w:bCs/>
          <w:iCs/>
          <w:color w:val="000000"/>
          <w:sz w:val="24"/>
          <w:szCs w:val="24"/>
          <w:lang w:eastAsia="hy-AM"/>
        </w:rPr>
        <w:t>․</w:t>
      </w:r>
      <w:r>
        <w:rPr>
          <w:rFonts w:ascii="GHEA Grapalat" w:hAnsi="GHEA Grapalat"/>
          <w:bCs/>
          <w:iCs/>
          <w:color w:val="000000"/>
          <w:sz w:val="24"/>
          <w:szCs w:val="24"/>
          <w:lang w:eastAsia="hy-AM"/>
        </w:rPr>
        <w:t xml:space="preserve">1 </w:t>
      </w:r>
      <w:r w:rsidRPr="00864FBC">
        <w:rPr>
          <w:rFonts w:ascii="GHEA Grapalat" w:hAnsi="GHEA Grapalat"/>
          <w:bCs/>
          <w:iCs/>
          <w:color w:val="000000"/>
          <w:sz w:val="24"/>
          <w:szCs w:val="24"/>
          <w:lang w:eastAsia="hy-AM"/>
        </w:rPr>
        <w:t>հարկային և մաքսային հսկողության շրջանակներում փորձաքննություններ իրականացնելու նպատակով ստեղծել փորձագիտական լաբորատորիաներ</w:t>
      </w:r>
      <w:r w:rsidRPr="00864FBC">
        <w:rPr>
          <w:rFonts w:ascii="GHEA Grapalat" w:hAnsi="GHEA Grapalat"/>
          <w:color w:val="000000"/>
          <w:sz w:val="24"/>
          <w:szCs w:val="24"/>
          <w:lang w:eastAsia="hy-AM"/>
        </w:rPr>
        <w:t>» միջոցառմանը։</w:t>
      </w:r>
    </w:p>
    <w:p w:rsidR="00E7266E" w:rsidRDefault="00E7266E" w:rsidP="00E7266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E7266E" w:rsidRDefault="00E7266E" w:rsidP="00E7266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Նախ</w:t>
      </w:r>
      <w:bookmarkStart w:id="0" w:name="_GoBack"/>
      <w:bookmarkEnd w:id="0"/>
      <w:r>
        <w:rPr>
          <w:rFonts w:ascii="GHEA Grapalat" w:hAnsi="GHEA Grapalat"/>
          <w:color w:val="000000"/>
          <w:sz w:val="24"/>
          <w:szCs w:val="24"/>
          <w:lang w:eastAsia="hy-AM"/>
        </w:rPr>
        <w:t>ագիծը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E7266E" w:rsidRDefault="00E7266E" w:rsidP="00E7266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E7266E" w:rsidRDefault="00E7266E" w:rsidP="00E7266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E7266E" w:rsidRDefault="00E7266E" w:rsidP="00E7266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E7266E" w:rsidRDefault="00E7266E" w:rsidP="00E7266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A85C9A" w:rsidRDefault="00A85C9A"/>
    <w:sectPr w:rsidR="00A85C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B3D1E"/>
    <w:multiLevelType w:val="hybridMultilevel"/>
    <w:tmpl w:val="E2124F7E"/>
    <w:lvl w:ilvl="0" w:tplc="378086C6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6A3"/>
    <w:rsid w:val="000406A3"/>
    <w:rsid w:val="00864FBC"/>
    <w:rsid w:val="00A85C9A"/>
    <w:rsid w:val="00E72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F12EF"/>
  <w15:chartTrackingRefBased/>
  <w15:docId w15:val="{5E5EE617-9A5E-4403-A9B6-B66450539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266E"/>
    <w:pPr>
      <w:spacing w:line="254" w:lineRule="auto"/>
    </w:pPr>
    <w:rPr>
      <w:lang w:val="hy-AM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72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E726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47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>https://mul2-taxservice.gov.am/tasks/2496084/oneclick/Himnavorum_pordzaqnnutyun.docx?token=c5553d1bfb1c38c91956224b7689b9f3</cp:keywords>
  <dc:description/>
  <cp:lastModifiedBy>Feliks Melkonyan</cp:lastModifiedBy>
  <cp:revision>5</cp:revision>
  <dcterms:created xsi:type="dcterms:W3CDTF">2023-08-21T16:54:00Z</dcterms:created>
  <dcterms:modified xsi:type="dcterms:W3CDTF">2023-09-27T13:35:00Z</dcterms:modified>
</cp:coreProperties>
</file>