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6DAF2" w14:textId="77777777" w:rsidR="00102502" w:rsidRDefault="00102502" w:rsidP="00102502">
      <w:pPr>
        <w:spacing w:after="0" w:line="360" w:lineRule="auto"/>
        <w:ind w:firstLine="426"/>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ՏԵՂԵԿԱՆՔ</w:t>
      </w:r>
    </w:p>
    <w:p w14:paraId="0BDA4771" w14:textId="77777777" w:rsidR="00102502" w:rsidRDefault="00102502" w:rsidP="00102502">
      <w:pPr>
        <w:spacing w:line="360" w:lineRule="auto"/>
        <w:jc w:val="center"/>
        <w:rPr>
          <w:rFonts w:ascii="GHEA Grapalat" w:hAnsi="GHEA Grapalat"/>
          <w:b/>
          <w:bCs/>
          <w:sz w:val="24"/>
          <w:szCs w:val="24"/>
          <w:lang w:val="hy-AM"/>
        </w:rPr>
      </w:pPr>
      <w:r w:rsidRPr="00230322">
        <w:rPr>
          <w:rFonts w:ascii="GHEA Grapalat" w:hAnsi="GHEA Grapalat"/>
          <w:b/>
          <w:bCs/>
          <w:sz w:val="24"/>
          <w:szCs w:val="24"/>
          <w:lang w:val="hy-AM"/>
        </w:rPr>
        <w:t xml:space="preserve">«ՀԱՅԱՍՏԱՆԻ ՀԱՆՐԱՊԵՏՈՒԹՅԱՆ ՀԱՐԿԱՅԻՆ ՕՐԵՆՍԳՐՔՈՒՄ </w:t>
      </w:r>
      <w:r>
        <w:rPr>
          <w:rFonts w:ascii="GHEA Grapalat" w:hAnsi="GHEA Grapalat"/>
          <w:b/>
          <w:bCs/>
          <w:sz w:val="24"/>
          <w:szCs w:val="24"/>
          <w:lang w:val="hy-AM"/>
        </w:rPr>
        <w:t>ԼՐԱՑՈՒՄ</w:t>
      </w:r>
      <w:r w:rsidRPr="00A46F2B">
        <w:rPr>
          <w:rFonts w:ascii="GHEA Grapalat" w:hAnsi="GHEA Grapalat"/>
          <w:b/>
          <w:bCs/>
          <w:sz w:val="24"/>
          <w:szCs w:val="24"/>
          <w:lang w:val="hy-AM"/>
        </w:rPr>
        <w:t xml:space="preserve"> </w:t>
      </w:r>
      <w:r w:rsidRPr="00230322">
        <w:rPr>
          <w:rFonts w:ascii="GHEA Grapalat" w:hAnsi="GHEA Grapalat"/>
          <w:b/>
          <w:bCs/>
          <w:sz w:val="24"/>
          <w:szCs w:val="24"/>
          <w:lang w:val="hy-AM"/>
        </w:rPr>
        <w:t>ԿԱՏԱՐԵԼՈՒ ՄԱՍԻՆ» ՀԱՅԱՍՏԱՆԻ ՀԱՆՐԱՊԵՏՈԻԹՅԱՆ  ՕՐԵՆՍԳՐՔԻ ՓՈՓՈ</w:t>
      </w:r>
      <w:r>
        <w:rPr>
          <w:rFonts w:ascii="GHEA Grapalat" w:hAnsi="GHEA Grapalat"/>
          <w:b/>
          <w:bCs/>
          <w:sz w:val="24"/>
          <w:szCs w:val="24"/>
          <w:lang w:val="hy-AM"/>
        </w:rPr>
        <w:t>Խ</w:t>
      </w:r>
      <w:r w:rsidRPr="00230322">
        <w:rPr>
          <w:rFonts w:ascii="GHEA Grapalat" w:hAnsi="GHEA Grapalat"/>
          <w:b/>
          <w:bCs/>
          <w:sz w:val="24"/>
          <w:szCs w:val="24"/>
          <w:lang w:val="hy-AM"/>
        </w:rPr>
        <w:t>ՎՈՂ ՀՈԴՎԱԾԻ ՎԵՐԱԲԵՐՅԱԼ</w:t>
      </w:r>
    </w:p>
    <w:p w14:paraId="4FF35F24" w14:textId="77777777" w:rsidR="00102502" w:rsidRPr="00230322" w:rsidRDefault="00102502" w:rsidP="00102502">
      <w:pPr>
        <w:spacing w:line="360" w:lineRule="auto"/>
        <w:jc w:val="center"/>
        <w:rPr>
          <w:rFonts w:ascii="GHEA Grapalat" w:hAnsi="GHEA Grapalat"/>
          <w:b/>
          <w:b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02502" w:rsidRPr="00DC3D6E" w14:paraId="3488B04F" w14:textId="77777777" w:rsidTr="00007DA6">
        <w:trPr>
          <w:tblCellSpacing w:w="7" w:type="dxa"/>
        </w:trPr>
        <w:tc>
          <w:tcPr>
            <w:tcW w:w="2025" w:type="dxa"/>
            <w:shd w:val="clear" w:color="auto" w:fill="FFFFFF"/>
            <w:hideMark/>
          </w:tcPr>
          <w:p w14:paraId="4695BE8C" w14:textId="77777777" w:rsidR="00102502" w:rsidRPr="00DC3D6E" w:rsidRDefault="00102502" w:rsidP="00007DA6">
            <w:pPr>
              <w:jc w:val="both"/>
              <w:rPr>
                <w:rFonts w:ascii="GHEA Grapalat" w:hAnsi="GHEA Grapalat"/>
                <w:sz w:val="24"/>
                <w:szCs w:val="24"/>
              </w:rPr>
            </w:pPr>
            <w:r w:rsidRPr="00DC3D6E">
              <w:rPr>
                <w:rFonts w:ascii="GHEA Grapalat" w:hAnsi="GHEA Grapalat"/>
                <w:b/>
                <w:bCs/>
                <w:sz w:val="24"/>
                <w:szCs w:val="24"/>
              </w:rPr>
              <w:t>Հոդված 64.</w:t>
            </w:r>
          </w:p>
        </w:tc>
        <w:tc>
          <w:tcPr>
            <w:tcW w:w="0" w:type="auto"/>
            <w:shd w:val="clear" w:color="auto" w:fill="FFFFFF"/>
            <w:hideMark/>
          </w:tcPr>
          <w:p w14:paraId="79BBCBDC" w14:textId="77777777" w:rsidR="00102502" w:rsidRPr="00DC3D6E" w:rsidRDefault="00102502" w:rsidP="00007DA6">
            <w:pPr>
              <w:jc w:val="both"/>
              <w:rPr>
                <w:rFonts w:ascii="GHEA Grapalat" w:hAnsi="GHEA Grapalat"/>
                <w:sz w:val="24"/>
                <w:szCs w:val="24"/>
              </w:rPr>
            </w:pPr>
            <w:r w:rsidRPr="00DC3D6E">
              <w:rPr>
                <w:rFonts w:ascii="GHEA Grapalat" w:hAnsi="GHEA Grapalat"/>
                <w:b/>
                <w:bCs/>
                <w:sz w:val="24"/>
                <w:szCs w:val="24"/>
              </w:rPr>
              <w:t>Ավելացված արժեքի հարկից ազատված գործարքներն ու գործառնությունները</w:t>
            </w:r>
          </w:p>
        </w:tc>
      </w:tr>
    </w:tbl>
    <w:p w14:paraId="7AE08410"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Calibri" w:hAnsi="Calibri" w:cs="Calibri"/>
          <w:sz w:val="24"/>
          <w:szCs w:val="24"/>
        </w:rPr>
        <w:t> </w:t>
      </w:r>
      <w:r w:rsidRPr="00DC3D6E">
        <w:rPr>
          <w:rFonts w:ascii="GHEA Grapalat" w:hAnsi="GHEA Grapalat"/>
          <w:sz w:val="24"/>
          <w:szCs w:val="24"/>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14:paraId="123750F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 ԱԱՀ-ից ազատվում են Օրենսգրքի 60-րդ հոդվածով սահմանված հետևյալ գործարքներն ու գործառնությունները.</w:t>
      </w:r>
    </w:p>
    <w:p w14:paraId="6F294CE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և «Բարձրագույն և հետբուհական մասնագիտական կրթության մասին» Հայաստանի Հանրապետության օրենքներում նույն հասկացությունների կիրառության իմաստով ու նշանակությամբ.</w:t>
      </w:r>
    </w:p>
    <w:p w14:paraId="1E78E0FD"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2) դպրոցական գրերի և նոտայի տետրերի, նկարչական ալբոմների, մանկական և դպրոցական գրականության, դպրոցական ուսումնական հրատարակությունների, բուհերի, մասնագիտացված գիտական </w:t>
      </w:r>
      <w:r w:rsidRPr="00DC3D6E">
        <w:rPr>
          <w:rFonts w:ascii="GHEA Grapalat" w:hAnsi="GHEA Grapalat"/>
          <w:sz w:val="24"/>
          <w:szCs w:val="24"/>
        </w:rPr>
        <w:lastRenderedPageBreak/>
        <w:t>կազմակերպությունների, Հայաստանի Հանրապետության գիտությունների ազգային ակադեմիայի հրատարակած գիտական և ուսումնական հրատարակությունների օտարումը: Սույն կետով սահմանված արտոնությունների կիրառության շրջանակը սահմանում է Կառավարությունը.</w:t>
      </w:r>
    </w:p>
    <w:p w14:paraId="1E5C091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 Կառավարության սահմանած չափանիշներին համապատասխանող գիտահետազոտական աշխատանքների կատարումը.</w:t>
      </w:r>
    </w:p>
    <w:p w14:paraId="4BD4FC7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 հանրակրթական հիմնական ծրագրերի շրջանակներում աշխատանքների կատարումը: Սույն կետով սահմանված արտոնության կիրառության շրջանակը սահմանում է Կառավարությունը.</w:t>
      </w:r>
    </w:p>
    <w:p w14:paraId="44E61D8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 հանրակրթության ոլորտում իրականացվող` կրթության և գիտության բնագավառում Կառավարության լիազոր մարմնի ճանաչած, երաշխավորած և Կառավարության սահմանած չափորոշիչներին համապատասխանող կրթական բնույթի առարկայական մրցույթներին, մրցաշարերին, օլիմպիադաներին մասնակցության իրավունքի տրամադրումը.</w:t>
      </w:r>
    </w:p>
    <w:p w14:paraId="4B08662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6) նախադպրոցական հիմնարկներում երեխաներին պահելու, տուն-ինտերնատներում, մանկատներում, արատներ ունեցող երեխաներ կամ հաշմանդամներ խնամող հաստատություններում, ծերանոցներում գտնվող անձանց խնամքի հետ կապված ծառայությունների մատուցումը, ինչպես նաև խնամվողների կողմից այնտեղ պատրաստված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14:paraId="1C443F1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7) հասարակական, բարեգործական և կրոնական կազմակերպությունների կողմից ապրանքների անհատույց մատակարարումը, աշխատանքների անհատույց կատարումը և (կամ) ծառայությունների անհատույց մատուցումը.</w:t>
      </w:r>
    </w:p>
    <w:p w14:paraId="01350311"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8) թաղման բյուրոների, գերեզմանատների, ինչպես նաև մահվան և հուղարկավորության հետ կապված ծիսական բնույթի այլ աշխատանքների </w:t>
      </w:r>
      <w:r w:rsidRPr="00DC3D6E">
        <w:rPr>
          <w:rFonts w:ascii="GHEA Grapalat" w:hAnsi="GHEA Grapalat"/>
          <w:sz w:val="24"/>
          <w:szCs w:val="24"/>
        </w:rPr>
        <w:lastRenderedPageBreak/>
        <w:t>կատարումը, ծառայությունների մատուցումը և համապատասխան պարագաների օտարումը.</w:t>
      </w:r>
    </w:p>
    <w:p w14:paraId="69C34F0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9) կրոնական ծիսակատարությունների կազմակերպման ծառայությունների մատուցումը, կրոնական կազմակերպություններին կրոնական պարագաների օտարումը, ինչպես նաև կրոնական կազմակերպությունների կողմից այդ պարագաների օտարումը.</w:t>
      </w:r>
    </w:p>
    <w:p w14:paraId="04BAE38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10) օտարերկրյա պետությունների, միջազգային միջկառավարական (միջպետական) կազմակերպությունների, միջազգային, օտարերկրյա և Հայաստանի Հանրապետության հասարակական, բարեգործական, կրոնական կազմակերպությունների, առանձին բարերարների կողմից ապրանքների ներմուծումը, ապրանքների մատակարարումը, աշխատանքների կատարումը և ծառայությունների մատուցումը՝ մարդասիրական օգնության և բարեգործական ծրագրերի (գործունեության) շրջանակներում, ինչպես նաև նման ծրագրերի իրականացման հետ անմիջականորեն կապված և դրանց համար զգալի նշանակություն ունեցող ապրանքների մատակարարումը, աշխատանքների կատարումը և ծառայությունների մատուցումը: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բնույթի, ինչպես նաև սույն կետի համաձայն, ԱԱՀ-ից ազատվող ապրանքների, աշխատանքների և ծառայությունների շրջանակները որոշում է Կառավարության լիազոր մարմինը.</w:t>
      </w:r>
    </w:p>
    <w:p w14:paraId="10B7BB9D"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11) բժշկական օգնության և սպասարկման ծառայությունների, մասնավորապես հիվանդությունների կանխարգելման, ախտորոշման, բժշկական խորհրդատվության, բուժական, վերականգնողական, բժշկական փորձաքննության անցկացման ծառայությունների մատուցումը.</w:t>
      </w:r>
    </w:p>
    <w:p w14:paraId="73A53C6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12) դոնորային արյան և դրա բաղադրամասերի, մայրական կաթի, պրոթեզաօրթոպեդիկ պարագաների, բժշկական տեխնիկայի և բժշկական նշանակության ապրանքների օտարումը, բժշկական կազմակերպություններում բժշկական օգնության և սպասարկման շրջանակներում պացիենտների պատրաստած ապրանքների օտարումը, աշխատանքների կատարումը, ծառայությունների մատուցումը: Սույն կետով սահմանված արտոնությունների կիրառության շրջանակը սահմանում է Կառավարությունը.</w:t>
      </w:r>
    </w:p>
    <w:p w14:paraId="250AB7A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13) պետության կամ համայնքի կողմից կազմակերպության կանոնադրական կամ բաժնեհավաք կապիտալում գույքի ներդրումը.</w:t>
      </w:r>
    </w:p>
    <w:p w14:paraId="2735185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14) բռնագրավման կամ նվիրատվության ձևով ապրանքի մատակարարումը պետությանը: Սույն կետը չի տարածվում բռնագանձման ձևով պետությանը ապրանքի մատակարարման գործարքների վրա, որոնց դեպքում ապրանքի մատակարարման գործարքը ենթակա է ԱԱՀ-ով հարկման Օրենսգրքով սահմանված կարգով.</w:t>
      </w:r>
    </w:p>
    <w:p w14:paraId="3AF315F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15) հողամասից կամովին հրաժարվելու դեպքում սեփականության իրավունքով պատկանող հողամասի օտարումը համայնքին կամ պետությանը.</w:t>
      </w:r>
    </w:p>
    <w:p w14:paraId="1A9FBC6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16) հողամասի կամ այլ անշարժ գույքի փոխանակությունը, եթե այդ գործարքի կողմ են հանդիսանում պետությունը և (կամ) համայնքը.</w:t>
      </w:r>
    </w:p>
    <w:p w14:paraId="7D0C141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17) սուբսիդիաների, սուբվենցիաների և դրամաշնորհային ծրագրերի շրջանակներում իրականացվող` ապրանքի մատակարարումը, աշխատանքի կատարումը և (կամ) ծառայության մատուցումը, եթե նշված ծրագրերն արժանացել են Կառավարության ձևավորած մասնագիտական հանձնաժողովի դրական եզրակացությանը: Սույն կետում նշված մասնագիտական հանձնաժողովի գործունեության կարգը և կազմը, ինչպես նաև հանձնաժողովի կողմից սուբսիդիաների, սուբվենցիաների և դրամաշնորհային ծրագրերի` որպես արտոնյալ </w:t>
      </w:r>
      <w:r w:rsidRPr="00DC3D6E">
        <w:rPr>
          <w:rFonts w:ascii="GHEA Grapalat" w:hAnsi="GHEA Grapalat"/>
          <w:sz w:val="24"/>
          <w:szCs w:val="24"/>
        </w:rPr>
        <w:lastRenderedPageBreak/>
        <w:t>որակավորման, փոփոխման կամ կասեցման կարգերը սահմանում է Կառավարությունը.</w:t>
      </w:r>
    </w:p>
    <w:p w14:paraId="536C5BB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18) պետական կառավարման մարմինների և (կամ) տեղական ինքնակառավարման մարմինների կողմից այն ծառայությունների մատուցումը, որոնց համար օրենքով սահմանված է պետական տուրքի և (կամ) տեղական տուրքի վճարում, ինչպես նաև պետական մարմինների և (կամ) համայնքային կառավարչական հիմնարկների կողմից ապրանքի մատակարարումը, աշխատանքի կատարումը և (կամ) ծառայության մատուցումն այն մասով, որից հասույթը հաշվեգրվել է պետական կամ համայնքների բյուջեների օգտին: Սույն կետի կիրառության իմաստով՝ հասույթի կամ դրա մի մասի հաշվեգրումը պետական կամ համայնքների բյուջեների օգտին պետք է հիմնավորվի դրանց համապատասխան գանձապետական հաշվին փոխանցմամբ.</w:t>
      </w:r>
    </w:p>
    <w:p w14:paraId="7F06C0A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19) կոնցեսիոների (օպերատորի) կողմից Կառավարության սահմանած չափանիշների համաձայն Կառավարության լիազոր մարմնի կողմից որպես կոնցեսիայի պայմանագիր որակված գործարքի պայմանների շրջանակներում կոնցեդենտին (շնորհատուին) պատկանող ենթակառուցվածքային ակտիվների, դրանց առանձին տարրերի վրա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կոնցեսիայի պայմանագրի գործողության ընթացքում կամ ավարտին կոնցեդենտին (շնորհատուին) օտարումը, ինչպես նաև կոնցեդենտին (շնորհատուին) կոնցեսիոն ծառայությունների մատուցումը: Սույն կետի կիրառության իմաստով՝</w:t>
      </w:r>
    </w:p>
    <w:p w14:paraId="4119FD0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14:paraId="1D0D6D55"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14:paraId="272823A8"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 ծածկագրին դասվող՝ գիտահետազոտական նպատակների կամ բույսերի պաշտպանության համար օգտակար միջատների, ԱՏԳ ԱԱ 1404 90 000 8 ծածկագրին դասվող` բույսերի աճեցման համար նախատեսված կոկոսի (հնդկընկույզի) մանրաթելի հիմքով սուբստրատների, ԱՏԳ ԱԱ 9406 90 310 0 ծածկագրերին դասվող ջերմոցների, ինչպես նաև գյուղատնտեսական մշակաբույսերի և բազմամյա տնկարկների սերմերի և տնկանյութի օտարումը.</w:t>
      </w:r>
    </w:p>
    <w:p w14:paraId="49ECAC5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21) անմիջական արտադրողի կողմից Հայաստանի Հանրապետությունում արտադրված՝ ԱՏԳ ԱԱ 5701 10, 5702 10 000 0 ծածկագրերին դասվող ձեռագործ գորգերի օտարումը.</w:t>
      </w:r>
    </w:p>
    <w:p w14:paraId="179C43F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22) ջրօգտագործողների ընկերությունների կողմից ոռոգման ջրի օտարումը.</w:t>
      </w:r>
    </w:p>
    <w:p w14:paraId="60E7798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23) 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մատակարարումը.</w:t>
      </w:r>
    </w:p>
    <w:p w14:paraId="2B2ED98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24) թերթերի և ամսագրերի օտարումը.</w:t>
      </w:r>
    </w:p>
    <w:p w14:paraId="3F5B2E6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25) Կառավարության սահմանած ցանկում նշված թանկարժեք և կիսաթանկարժեք քարերի օտարումը.</w:t>
      </w:r>
    </w:p>
    <w:p w14:paraId="2810585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26) թանկարժեք մետաղների (բացառությամբ թանկարժեք մետաղներից պատրաստված արտադրանքի (իրերի), այդ թվում՝ ոսկերչական և այլ իրերի), ինչպես նաև թանկարժեք մետաղներից պատրաստված՝ ԱՏԳ ԱԱ 7106, 7108, 7109 00 000 0, 7110, 7113, 7115 ծածկագրերին դասվող ոսկերչական նշանակության կիսապատրաստուկների օտարումը.</w:t>
      </w:r>
    </w:p>
    <w:p w14:paraId="161A1EE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27) ծխախոտի արտադրանք արտադրող չհանդիսացող և ծխախոտի արտադրանք ներմուծող չհանդիսացող հարկ վճարողների կողմից այն ծխախոտի արտադրանքի օտարումը, որի առավելագույն մանրածախ գինը Կառավարության սահմանած կարգով ենթակա է ծխախոտի արտադրանքի տուփի վրա մակնշման.</w:t>
      </w:r>
    </w:p>
    <w:p w14:paraId="031F81B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28) Շրջանառելի` բազմակի օգտագործման տարայով տարայավորված ապրանք արտադրողի կողմից Կառավարության սահմանած չափանիշները բավարարող շրջանառելի` բազմակի օգտագործման տարայի օտարումը.</w:t>
      </w:r>
    </w:p>
    <w:p w14:paraId="6ABF48F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29) խաղատների գործունեության կազմակերպումը.</w:t>
      </w:r>
    </w:p>
    <w:p w14:paraId="475F8B5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30) շահումով խաղերի (այդ թվում՝ ինտերնետ շահումով խաղերի), տոտալիզատորի և ինտերնետ տոտալիզատորի կազմակերպումը.</w:t>
      </w:r>
    </w:p>
    <w:p w14:paraId="377093DE"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31) ապրանքի մատակարարման հրապարակային պայմանագրով սահմանված երաշխիքային ժամանակահատվածում տվյալ ապրանքի հետ կապված սպասարկման ծառայությունների անհատույց մատուցումը, այդ ծառայությունների շրջանակներում սահմանված որակին չհամապատասխանող ապրանքների, դրանց լրակազմող տարրերի փոխարինման նպատակով ապրանքի անհատույց մատակարարումը, այն ապրանքների մատակարարումն ու ծառայությունների մատուցումը, որոնց արժեքը ներառված է հրապարակային պայմանագրերի համաձայն մատակարարվող ապրանքների արժեքում: Սույն կետը կարող է կիրառվել այն դեպքում, երբ կնքված պայմանագրի պայմանները համապատասխանում են </w:t>
      </w:r>
      <w:r w:rsidRPr="00DC3D6E">
        <w:rPr>
          <w:rFonts w:ascii="GHEA Grapalat" w:hAnsi="GHEA Grapalat"/>
          <w:sz w:val="24"/>
          <w:szCs w:val="24"/>
        </w:rPr>
        <w:lastRenderedPageBreak/>
        <w:t>Հայաստանի Հանրապետության քաղաքացիական օրենսգրքի 442-րդ հոդվածով սահմանված` հրապարակային պայմանագրերին ներկայացվող պահանջներին: Այն դեպքերում, երբ ապրանքի մատակարարման հրապարակային պայմանագրով նախատեսվում է այլ ապրանքների մատակարարում և (կամ) ծառայությունների մատուցում, ապա հրապարակային պայմանագրով մատակարարվող ապրանքի արժեքում այլ ապրանքների և (կամ) ծառայությունների արժեքը ներառելու փաստը պետք է հիմնավորվի հաշվապահական հաշվառման մեջ կիրառվող սկզբնական հաշվառման փաստաթղթերով և ԱԱՀ վճարողի կողմից հաստատված փաստաթղթերով (հրաման, հաստատված ինքնարժեքի հաշվարկ և այլն).</w:t>
      </w:r>
    </w:p>
    <w:p w14:paraId="74E585A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32) կազմակերպության կանոնադրական կամ բաժնեհավաք կապիտալում բաժնեմասի կամ փայի նկատմամբ սեփականության իրավունքի օտարումը.</w:t>
      </w:r>
    </w:p>
    <w:p w14:paraId="24449DD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33) օրենքով սահմանված կարգով իրականացվող՝ կազմակերպության վերակազմակերպման շրջանակներում ապրանքի մատակարարումը և (կամ) ծառայության մատուցումը.</w:t>
      </w:r>
    </w:p>
    <w:p w14:paraId="776778C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34) սեփականաշնորհման կամ ապապետականացման գործարքների շրջանակներում ապրանքի մատակարարումը.</w:t>
      </w:r>
    </w:p>
    <w:p w14:paraId="57921F7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35) Հայաստանի Հանրապետության տարածք մշակութային արժեքների ներմուծումը.</w:t>
      </w:r>
    </w:p>
    <w:p w14:paraId="1BCD43A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36) Հայաստանի Հանրապետության տարածքից «Արտահանում» մաքսային ընթացակարգից տարբերվող մաքսային ընթացակարգով (բացառությամբ «Վերամշակում՝ մաքսային տարածքում» մաքսային ընթացակարգով ներմուծված ապրանքների նկատմամբ «Վերաարտահանում» մաքսային ընթացակարգի կիրառման դեպքերի) արտահանված ապրանքների մատակարարումը.</w:t>
      </w:r>
    </w:p>
    <w:p w14:paraId="2CA89B48"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37) օրենսդրությամբ սահմանված կարգով լիազորված տնտեսական օպերատորի կարգավիճակ ունեցող հարկ վճարողի կամ Կառավարության հավանությանն արժանացած ծրագիր իրականացնող ռեզիդենտ շահութահարկ </w:t>
      </w:r>
      <w:r w:rsidRPr="00DC3D6E">
        <w:rPr>
          <w:rFonts w:ascii="GHEA Grapalat" w:hAnsi="GHEA Grapalat"/>
          <w:sz w:val="24"/>
          <w:szCs w:val="24"/>
        </w:rPr>
        <w:lastRenderedPageBreak/>
        <w:t>վճարողների խմբի կողմից ԵՏՄ անդամ չհամարվող պետություններից Հայաստանի Հանրապետության տարածք ապրանքների ներմուծումը, եթե այդ ապրանքները կամ դրանց վերամշակման արդյունքում ստացված ապրանքները ներմուծման օրվանը հաջորդող 180 օրվա ընթացքում արտահանվում են (այդ թվում՝ ԵՏՄ անդամ պետություններ).</w:t>
      </w:r>
    </w:p>
    <w:p w14:paraId="5B59F58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38) Հայաստանի Հանրապետության տարածքից «Արտահանում» մաքսային ընթացակարգով ԵՏՄ անդամ չհամարվող պետություն արտահանված կամ Հայաստանի Հանրապետության տարածքից ԵՏՄ անդամ պետություն արտահանված սև և գունավոր մետաղների ջարդոնի մատակարարումը.</w:t>
      </w:r>
    </w:p>
    <w:p w14:paraId="252DADE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39) անհատ ձեռնարկատիրոջ կամ նոտարի կողմից իրենց անձնական գույքի օտարման գործարքները.</w:t>
      </w:r>
    </w:p>
    <w:p w14:paraId="6475AA5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40) անհատ ձեռնարկատիրոջը կամ նոտարին պատկանող՝ ժառանգության զանգվածում ներառվող գույքի` ժառանգին օտարումը.</w:t>
      </w:r>
    </w:p>
    <w:p w14:paraId="1115D97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41) Հայաստանի Հանրապետություն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14:paraId="0E44E46E"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42) Հայաստանի Հանրապետություն մշտական բնակության ժամանող ֆիզիկական անձանց կողմից «Մաքսային կարգավորման մասին» Հայաստանի Հանրապետության օրենքով սահմանված՝ իրենց անձնական օգտագործման ապրանքի ներմուծումը.</w:t>
      </w:r>
    </w:p>
    <w:p w14:paraId="03FC11E7"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43) օտարերկրյա պետություններում գործող Հայաստանի Հանրապետության դիվանագիտական ծառայության մարմիններում ծառայող դիվանագետների և Հայաստանի 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w:t>
      </w:r>
      <w:r w:rsidRPr="00DC3D6E">
        <w:rPr>
          <w:rFonts w:ascii="GHEA Grapalat" w:hAnsi="GHEA Grapalat"/>
          <w:sz w:val="24"/>
          <w:szCs w:val="24"/>
        </w:rPr>
        <w:lastRenderedPageBreak/>
        <w:t>«Մաքսային կարգավորման մասին» Հայաստանի Հանրապետության օրենքով սահմանված՝ իրենց անձնական օգտագործման ապրանքի ներմուծումը.</w:t>
      </w:r>
    </w:p>
    <w:p w14:paraId="78477865"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44) ապահովագրական և վերաապահովագրական ծառայությունների, ներառյալ՝ դրանց հետ կապված՝ ապահովագրական միջնորդների և գործակալների կողմից ծառայությունների մատուցումը.</w:t>
      </w:r>
    </w:p>
    <w:p w14:paraId="68E2C4B5"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45) կենսաթոշակային ապահովման ծառայությունների, ներառյալ՝ դրանց հետ կապված՝ միջնորդների և գործակալների կողմից ծառայությունների մատուցումը.</w:t>
      </w:r>
    </w:p>
    <w:p w14:paraId="5EA14412"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46) «Ակտիվների արժեթղթավորման և ակտիվներով ապահովված արժեթղթերի մասին» Հայաստանի Հանրապետության օրենքի իմաստով նախաձեռնողի կողմից ակտիվների օտարումն արժեթղթավորման հիմնադրամին կամ վաճառողին, վաճառողի կողմից ակտիվների օտարումն արժեթղթավորման հիմնադրամին, «Ակտիվների արժեթղթավորման և ակտիվներով ապահովված արժեթղթերի մասին» Հայաստանի Հանրապետության օրենքով սահմանված դեպքերում նախաձեռնողի կողմից արժեթղթավորման հիմնադրամից ակտիվների հետգնումը կամ արժեթղթավորման հիմնադրամի հետ ակտիվների փոխանակումը, ինչպես նաև ակտիվների օտարումը «Ներդրումային ֆոնդերի մասին» Հայաստանի Հանրապետության օրենքի համաձայն ստեղծված արժեթղթավորման ֆոնդին, արժեթղթավորման ֆոնդին ակտիվն օտարած անձի կողմից արժեթղթավորման ֆոնդից ակտիվների հետգնումը կամ արժեթղթավորման ֆոնդի հետ ակտիվների փոխանակումը.</w:t>
      </w:r>
    </w:p>
    <w:p w14:paraId="6BBD4B17"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47) բանկերի, արժեթղթերի շուկայի մասնագիտացված մասնակիցների, վճարահաշվարկային կազմակերպությունների, վարկային կազմակերպությունների, ինչպես նաև սույն կետով սահմանված դեպքերում՝ այլ հարկ վճարողների կողմից հետևյալ ֆինանսական գործարքների ու գործառնությունների կատարումը.</w:t>
      </w:r>
    </w:p>
    <w:p w14:paraId="57F6A86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ա. ցպահանջ, ժամկետային, խնայողական և նման այլ ավանդների ընդունման, բանկային և այլ հաշիվների բացման, վարման ու սպասարկման ծառայությունների, այդ թվում՝ վճարահաշվարկային ծառայությունների մատուցումը,</w:t>
      </w:r>
    </w:p>
    <w:p w14:paraId="2CA7DC7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բ. բանկերի, վարկային կազմակերպությունների և այլ հարկ վճարողների կողմից վարկերի կամ փոխառությունների կամ գույքի լիզինգով (տարատեսակներով)</w:t>
      </w:r>
      <w:r w:rsidRPr="00DC3D6E">
        <w:rPr>
          <w:rFonts w:ascii="Calibri" w:hAnsi="Calibri" w:cs="Calibri"/>
          <w:sz w:val="24"/>
          <w:szCs w:val="24"/>
        </w:rPr>
        <w:t> </w:t>
      </w:r>
      <w:r w:rsidRPr="00DC3D6E">
        <w:rPr>
          <w:rFonts w:ascii="GHEA Grapalat" w:hAnsi="GHEA Grapalat"/>
          <w:sz w:val="24"/>
          <w:szCs w:val="24"/>
        </w:rPr>
        <w:t>տրամադրման, այդ թվում` պարտքերի կամ առևտրային գործարքների ֆինանսավորման ու ֆակտորինգային այլ ծառայությունների մատուցումը,</w:t>
      </w:r>
    </w:p>
    <w:p w14:paraId="3EC1F25D"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գ. երաշխավորությունների, բանկային երաշխիքների տրամադրման, ակրեդիտիվների բացման ծառայությունների մատուցումը,</w:t>
      </w:r>
    </w:p>
    <w:p w14:paraId="317B9C8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դ. բանկերի, վարկային կազմակերպությունների և այլ հարկ վճարողների կողմից արժեթղթերի օտարումը, արժեթղթերի ի պահ ընդունման և հաշվառման ծառայությունների մատուցումը,</w:t>
      </w:r>
    </w:p>
    <w:p w14:paraId="6E317AA0"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ե. մուրհակների, չեկերի, վճարագրերի, վճարային այլ արժեթղթերի, վճարային փաստաթղթերի, քարտերի և այլ գործիքների թողարկման, զեղչման, փոխանցման, զիջման կամ սպասարկման ծառայությունների մատուցումը, ինչպես նաև այլ հարկ վճարողների կողմից մուրհակների, չեկերի, վճարագրերի, վճարային այլ արժեթղթերի, վճարային փաստաթղթերի օտարումը,</w:t>
      </w:r>
    </w:p>
    <w:p w14:paraId="7B3A4F2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զ. բանկերի, վարկային կազմակերպությունների և այլ հարկ վճարողների կողմից արտարժույթի (թղթադրամի և մետաղադրամի, բացառությամբ դրամագիտական նշանակություն ունեցող և այդ նպատակով օգտագործվող մետաղադրամների և բանկային տոմսերի) օտարումը և (կամ) փոխանակումը հայկական դրամի հետ, բանկերի, վարկային կազմակերպությունների և այլ հարկ վճարողների կողմից կնքվող ածանցյալ ֆինանսական գործիքների օտարումը, փոխանցումը, փոխանակումը կամ այլ կերպ օտարումը և այդ գործարքներով նախատեսված բոլոր վճարումների կատարումը, բացառությամբ այն վճարումների, </w:t>
      </w:r>
      <w:r w:rsidRPr="00DC3D6E">
        <w:rPr>
          <w:rFonts w:ascii="GHEA Grapalat" w:hAnsi="GHEA Grapalat"/>
          <w:sz w:val="24"/>
          <w:szCs w:val="24"/>
        </w:rPr>
        <w:lastRenderedPageBreak/>
        <w:t>որոնք իրականացվում են այնպիսի գույքի փաստացի մատակարարման դիմաց, որի օտարումը Օրենսգրքի համաձայն ենթակա է ԱԱՀ-ով հարկման,</w:t>
      </w:r>
    </w:p>
    <w:p w14:paraId="06FC3F5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է. կանխիկի տրամադրման ծառայությունների մատուցումը,</w:t>
      </w:r>
    </w:p>
    <w:p w14:paraId="1617169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ը. բանկերի, արժեթղթերի շուկայի մասնագիտացված մասնակիցների և այլ հարկ վճարողների կողմից ներդրումային ֆոնդի կառավարման, ներառյալ` իր կողմից կառավարվող (այդ թվում` պատվիրակման արդյունքում) ներդրումային ֆոնդի թողարկած արժեթղթերի տեղաբաշխման և (կամ) հետգնման (մարման) ծառայությունների մատուցումը,</w:t>
      </w:r>
    </w:p>
    <w:p w14:paraId="0ECB8AB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թ. ներդրումային ֆոնդի պահառության ծառայության մատուցումը,</w:t>
      </w:r>
    </w:p>
    <w:p w14:paraId="31951D6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 արժեթղթերի հավատարմագրային կառավարման ծառայության մատուցումը,</w:t>
      </w:r>
    </w:p>
    <w:p w14:paraId="409564C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ժա. բանկային ոսկու օտարումը, բանկային ոսկով արտահայտված հաշիվների բացման ու վարման, դրանցով այլ գործառնությունների կատարման ծառայությունների մատուցումը, ինչպես նաև բանկերին և վարկային կազմակերպություններին բանկային ձուլակտորների օտարումը,</w:t>
      </w:r>
    </w:p>
    <w:p w14:paraId="3E485C98"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Սույն ենթակետի կիրառության իմաստով՝ գրավի առարկան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նկատմամբ սեփականության իրավունքի վկայականում նշված չէ, որ այն պատկանում է տվյալ անհատ ձեռնարկատիրոջը կամ նոտարին,</w:t>
      </w:r>
    </w:p>
    <w:p w14:paraId="79150A6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ժգ. գումարների (հասույթների, պարտադիր, կոմունալ և այլ վճարների) ընդունման, ինչպես նաև աշխատավարձի, թոշակների, նպաստների, ապահովագրական և այլ վճարների կատարման ծառայությունների մատուցումը,</w:t>
      </w:r>
    </w:p>
    <w:p w14:paraId="373E2EA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ժդ. լիզինգի առարկայի հանձնման-ընդունման ամսաթվի դրությամբ ԱԱՀ վճարող համարվող կազմակերպությանը, անհատ ձեռնարկատիրոջը կամ նոտարին</w:t>
      </w:r>
      <w:r w:rsidRPr="00DC3D6E">
        <w:rPr>
          <w:rFonts w:ascii="Calibri" w:hAnsi="Calibri" w:cs="Calibri"/>
          <w:sz w:val="24"/>
          <w:szCs w:val="24"/>
        </w:rPr>
        <w:t> </w:t>
      </w:r>
      <w:r w:rsidRPr="00DC3D6E">
        <w:rPr>
          <w:rFonts w:ascii="GHEA Grapalat" w:hAnsi="GHEA Grapalat"/>
          <w:sz w:val="24"/>
          <w:szCs w:val="24"/>
        </w:rPr>
        <w:t>լիզինգային պայմանագրի շրջանակներում բանկերի և վարկային կազմակերպությունների կողմից ներմուծված այն ապրանքների լիզինգով (տարատեսակներով) օտարումը, որոնց ներմուծման ժամանակ ԱԱՀ-ն օրենսդրությամբ սահմանված կարգով չի հաշվարկվել և չի վճարվել,</w:t>
      </w:r>
    </w:p>
    <w:p w14:paraId="6790668D"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ժե. բանկերի և վարկային կազմակերպությունների կողմից լիզինգի (տարատեսակների) ծառայության մատուցումը,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վարձակալին:</w:t>
      </w:r>
    </w:p>
    <w:p w14:paraId="29BB1DA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ժզ. «Արժեթղթերի շուկայի մասին» Հայաստանի Հանրապետության օրենքի 25-րդ հոդվածով սահմանված ներդրումային ծառայությունների մատուցումը, բացառությամբ արժեթղթերում և ածանցյալ ֆինանսական գործիքներում ներդրումների հետ կապված՝ հաճախորդներին խորհրդատվության տրամադրման ծառայության,</w:t>
      </w:r>
    </w:p>
    <w:p w14:paraId="0A6DF8E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ժէ. «Արժեթղթերի շուկայի մասին» Հայաստանի Հանրապետության օրենքի 26-րդ հոդվածով սահմանված ոչ հիմնական ծառայությունների մատուցումը, բացառությամբ ընկերությունների վերակազմակերպման հետ կապված խորհրդատվական և այլ ծառայությունների մատուցման, ինչպես նաև կապիտալի կառուցվածքի, կորպորատիվ ռազմավարության հարցերի վերաբերյալ ընկերություններին խորհրդատվության տրամադրման ծառայությունների,</w:t>
      </w:r>
    </w:p>
    <w:p w14:paraId="37F33A5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ժը. կարգավորվող շուկայի օպերատորի կողմից արժեթղթերով և ածանցյալ ֆինանսական գործիքներով առևտրի կազմակերպման (միայն գործարքների համար գանձվող միջնորդավճարների մասով), ինչպես նաև կնքված գործարքների </w:t>
      </w:r>
      <w:r w:rsidRPr="00DC3D6E">
        <w:rPr>
          <w:rFonts w:ascii="GHEA Grapalat" w:hAnsi="GHEA Grapalat"/>
          <w:sz w:val="24"/>
          <w:szCs w:val="24"/>
        </w:rPr>
        <w:lastRenderedPageBreak/>
        <w:t>արդյունքում ծագած փոխադարձ պարտավորությունների (պահանջների) որոշման և հաշվանցման (քլիրինգի) ծառայությունների մատուցումը,</w:t>
      </w:r>
    </w:p>
    <w:p w14:paraId="091310AD"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ժթ. կենտրոնական դեպոզիտարիայի կողմից արժեթղթերի պահառության, արժեթղթերի սեփականատերերի (անվանատերերի) ռեեստրի վարման, քլիրինգի և վերջնահաշվարկի հետ կապված ծառայությունների, ինչպես նաև օրենքով կամ Հայաստանի Հանրապետության կենտրոնական բանկի իրավական ակտերով կենտրոնական դեպոզիտարիային թույլատրված այլ ծառայությունների (բացառությամբ խորհրդատվական ծառայությունների) մատուցումը, ներառյալ՝ արժեթղթերի հաշվարկային համակարգի անդամի կողմից այդ ծառայությունների միջնորդավորման ծառայությունների մատուցումը,</w:t>
      </w:r>
    </w:p>
    <w:p w14:paraId="3B737F3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ի. շուկա ստեղծողի կարգավիճակով արժեթղթերի երկկողմանի գնանշման ապահովման ծառայությունների մատուցումը,</w:t>
      </w:r>
    </w:p>
    <w:p w14:paraId="58E4F81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իա. լիզինգի (տարատեսակների) պայմանագրով բանկերի և վարկային կազմակերպությունների կողմից այն գույքի լիզինգով (տարատեսակներով) տրամադրումը, որի ձեռքբերման ժամանակ գույքի մատակարարման գործարքից ԱԱՀ-ն օրենսդրությամբ սահմանված կարգով չի հաշվարկվել և չի վճարվել:</w:t>
      </w:r>
    </w:p>
    <w:p w14:paraId="630E5548"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ԱԱՀ-ից չեն ազատվում սույն կետով սահմանված ծառայությունների հետ կապված քաղվածքների և այլ տեղեկությունների ձևակերպման և տրամադրման, արժեթղթերի, չեկերի, վճարագրերի, վճարային փաստաթղթերի, քարտերի, թղթադրամի, մետաղադրամի, բանկային ոսկու պատրաստման, ֆաքսիմիլային ծառայությունների մատուցումը.</w:t>
      </w:r>
    </w:p>
    <w:p w14:paraId="37EA9D9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48) օտարերկրյա զբոսաշրջիկին մատուցվող զբոսաշրջության ոլորտի ծառայությունները, ինչպես նաև զբոսաշրջիկային գործակալությունների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p>
    <w:p w14:paraId="3EABD1E4"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lastRenderedPageBreak/>
        <w:t>49) ներդրումային ֆոնդի կողմից անշարժ գույքի օտարումը տվյալ ներդրումային ֆոնդում մասնակցություն ունեցող անձին, եթե անշարժ գույքը նախկինում ներդրումային ֆոնդի կողմից, որպես ներդրումային ֆոնդում փայի կամ բաժնետոմսի դիմաց ներդրում, ձեռք է բերվել տվյալ անձից.</w:t>
      </w:r>
    </w:p>
    <w:p w14:paraId="609FE83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50) «Անմաքս առևտուր» մաքսային ընթացակարգի գործողությունը եզրափակելու նպատակով անմաքս առևտրի խանութի կազմակերպչի կողմից այն օտարերկրյա ապրանքների՝ «Բաց թողնում՝ ներքին սպառման համար» մաքսային ընթացակարգով ներմուծումը, որոնք իրացվել են «Եվրասիական տնտեսական միության մաքսային օրենսգրքի մասին» 2017 թվականի ապրիլի 11-ի պայմանագրի 1-ին հավելվածով հաստատված՝ Եվրասիական տնտեսական միության մաքսային օրենսգրքի 243-րդ հոդվածի 2-րդ կետի 3-րդ ենթակետում նշված անձանց.</w:t>
      </w:r>
    </w:p>
    <w:p w14:paraId="719CCF16"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51) ԵՏՄ անդամ պետություններից Հայաստանի Հանրապետությունում գործող անմաքս առևտրի խանութներ ԵՏՄ ապրանքի կարգավիճակ ունեցող ապրանքի ներմուծումը.</w:t>
      </w:r>
    </w:p>
    <w:p w14:paraId="27C16CE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52)</w:t>
      </w:r>
      <w:r w:rsidRPr="00DC3D6E">
        <w:rPr>
          <w:rFonts w:ascii="Calibri" w:hAnsi="Calibri" w:cs="Calibri"/>
          <w:sz w:val="24"/>
          <w:szCs w:val="24"/>
        </w:rPr>
        <w:t> </w:t>
      </w:r>
      <w:r w:rsidRPr="00DC3D6E">
        <w:rPr>
          <w:rFonts w:ascii="GHEA Grapalat" w:hAnsi="GHEA Grapalat"/>
          <w:i/>
          <w:iCs/>
          <w:sz w:val="24"/>
          <w:szCs w:val="24"/>
        </w:rPr>
        <w:t>(կետն ուժը կորցրել է 07.06.19 ՀՕ-63-Ն, գործել է 2019 թվականի հուլիսի 1-ից մինչև 2022 թվականի հունվարի 1-ը 07.06.19</w:t>
      </w:r>
      <w:r w:rsidRPr="00DC3D6E">
        <w:rPr>
          <w:rFonts w:ascii="Calibri" w:hAnsi="Calibri" w:cs="Calibri"/>
          <w:i/>
          <w:iCs/>
          <w:sz w:val="24"/>
          <w:szCs w:val="24"/>
        </w:rPr>
        <w:t> </w:t>
      </w:r>
      <w:hyperlink r:id="rId4" w:history="1">
        <w:r w:rsidRPr="00DC3D6E">
          <w:rPr>
            <w:rStyle w:val="Hyperlink"/>
            <w:rFonts w:ascii="GHEA Grapalat" w:hAnsi="GHEA Grapalat"/>
            <w:i/>
            <w:iCs/>
            <w:color w:val="auto"/>
            <w:sz w:val="24"/>
            <w:szCs w:val="24"/>
          </w:rPr>
          <w:t>ՀՕ-63-Ն</w:t>
        </w:r>
      </w:hyperlink>
      <w:r w:rsidRPr="00DC3D6E">
        <w:rPr>
          <w:rFonts w:ascii="Calibri" w:hAnsi="Calibri" w:cs="Calibri"/>
          <w:i/>
          <w:iCs/>
          <w:sz w:val="24"/>
          <w:szCs w:val="24"/>
        </w:rPr>
        <w:t> </w:t>
      </w:r>
      <w:r w:rsidRPr="00DC3D6E">
        <w:rPr>
          <w:rFonts w:ascii="GHEA Grapalat" w:hAnsi="GHEA Grapalat"/>
          <w:i/>
          <w:iCs/>
          <w:sz w:val="24"/>
          <w:szCs w:val="24"/>
        </w:rPr>
        <w:t>օրենքի 2-րդ հոդվածի համաձայն)</w:t>
      </w:r>
    </w:p>
    <w:p w14:paraId="427C1277"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53) Հայաստանի Հանրապետությունում աճեցված տոհմային կենդանի խոշոր եղջերավոր անասունների օտարումը Հայաստանի Հանրապետության տարածքում.</w:t>
      </w:r>
    </w:p>
    <w:p w14:paraId="2CDD47A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54) «Պետական տուրքի մասին» Հայաստանի Հանրապետության օրենքի 19.7-րդ և 19.8-րդ հոդվածներով սահմանված գործունեության տեսակների շրջանակներում ապրանքների մատակարարումը, աշխատանքների կատարումը և (կամ) ծառայությունների մատուցումը.</w:t>
      </w:r>
    </w:p>
    <w:p w14:paraId="4013BFFE"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 xml:space="preserve">55) տիեզերական օբյեկտների և տեխնիկայի օտարումը, դրանց վերանորոգման կամ արդիականացման, երկրի հեռակա դիտարկման արբանյակային տվյալների հաղորդման, մշակման, տիեզերական օբյեկտների </w:t>
      </w:r>
      <w:r w:rsidRPr="00DC3D6E">
        <w:rPr>
          <w:rFonts w:ascii="GHEA Grapalat" w:hAnsi="GHEA Grapalat"/>
          <w:sz w:val="24"/>
          <w:szCs w:val="24"/>
        </w:rPr>
        <w:lastRenderedPageBreak/>
        <w:t>արձակման, վայրէջքի և թռիչքի ընթացքում դրանց կառավարման ծառայությունների մատուցումը և (կամ) աշխատանքների կատարումը` մինչև 2030 թվականի դեկտեմբերի 31-ը.</w:t>
      </w:r>
    </w:p>
    <w:p w14:paraId="50B94EAF"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sz w:val="24"/>
          <w:szCs w:val="24"/>
        </w:rPr>
        <w:t>56) ֆինանսական համակարգի հաշտարարի գրասենյակի կողմից «Ֆինանսական համակարգի հաշտարարի մասին» Հայաստանի Հանրապետության օրենքով սահմանված ծառայությունների մատուցումը.</w:t>
      </w:r>
    </w:p>
    <w:p w14:paraId="700C807D" w14:textId="77777777" w:rsidR="00102502" w:rsidRPr="0055469B" w:rsidRDefault="00102502" w:rsidP="00102502">
      <w:pPr>
        <w:spacing w:after="0" w:line="360" w:lineRule="auto"/>
        <w:ind w:firstLine="720"/>
        <w:jc w:val="both"/>
        <w:rPr>
          <w:rFonts w:ascii="GHEA Grapalat" w:hAnsi="GHEA Grapalat"/>
          <w:sz w:val="24"/>
          <w:szCs w:val="24"/>
        </w:rPr>
      </w:pPr>
      <w:r w:rsidRPr="0055469B">
        <w:rPr>
          <w:rFonts w:ascii="GHEA Grapalat" w:hAnsi="GHEA Grapalat"/>
          <w:sz w:val="24"/>
          <w:szCs w:val="24"/>
        </w:rPr>
        <w:t>57) 2022 թվականի հունվարի 1-ից մինչև 2024 թվականի հունվարի 1-ը ԵՏՄ ԱՏԳ ԱԱ 8702 40 000, 8703 80 000 և 8711 60 ծածկագրերին դասվող տրանսպորտային միջոցների ներմուծումը և (կամ) օտարումը:</w:t>
      </w:r>
    </w:p>
    <w:p w14:paraId="2AAA3159" w14:textId="77777777" w:rsidR="00102502" w:rsidRPr="00DC3D6E" w:rsidRDefault="00102502" w:rsidP="00102502">
      <w:pPr>
        <w:spacing w:after="0" w:line="360" w:lineRule="auto"/>
        <w:ind w:firstLine="720"/>
        <w:jc w:val="both"/>
        <w:rPr>
          <w:rFonts w:ascii="GHEA Grapalat" w:hAnsi="GHEA Grapalat"/>
          <w:color w:val="FF0000"/>
          <w:sz w:val="24"/>
          <w:szCs w:val="24"/>
        </w:rPr>
      </w:pPr>
      <w:r w:rsidRPr="00DC3D6E">
        <w:rPr>
          <w:rFonts w:ascii="GHEA Grapalat" w:hAnsi="GHEA Grapalat"/>
          <w:color w:val="FF0000"/>
          <w:sz w:val="24"/>
          <w:szCs w:val="24"/>
        </w:rPr>
        <w:t>5</w:t>
      </w:r>
      <w:r>
        <w:rPr>
          <w:rFonts w:ascii="GHEA Grapalat" w:hAnsi="GHEA Grapalat"/>
          <w:color w:val="FF0000"/>
          <w:sz w:val="24"/>
          <w:szCs w:val="24"/>
        </w:rPr>
        <w:t>8</w:t>
      </w:r>
      <w:r w:rsidRPr="00DC3D6E">
        <w:rPr>
          <w:rFonts w:ascii="GHEA Grapalat" w:hAnsi="GHEA Grapalat"/>
          <w:color w:val="FF0000"/>
          <w:sz w:val="24"/>
          <w:szCs w:val="24"/>
        </w:rPr>
        <w:t>) 2024 թվականի հունվարի 1-ից մինչև 202</w:t>
      </w:r>
      <w:r>
        <w:rPr>
          <w:rFonts w:ascii="GHEA Grapalat" w:hAnsi="GHEA Grapalat"/>
          <w:color w:val="FF0000"/>
          <w:sz w:val="24"/>
          <w:szCs w:val="24"/>
        </w:rPr>
        <w:t>5</w:t>
      </w:r>
      <w:r w:rsidRPr="00DC3D6E">
        <w:rPr>
          <w:rFonts w:ascii="GHEA Grapalat" w:hAnsi="GHEA Grapalat"/>
          <w:color w:val="FF0000"/>
          <w:sz w:val="24"/>
          <w:szCs w:val="24"/>
        </w:rPr>
        <w:t xml:space="preserve"> թվականի հունվարի 1-ը ԵՏՄ ԱՏԳ ԱԱ 8702 40 000, 8703 80 000 և 8711 60 ծածկագրերին  դասվող էլեկտրական շարժիչով տրանսպորտային միջոցների ներմուծումը և (կամ) օտարումը։</w:t>
      </w:r>
    </w:p>
    <w:p w14:paraId="5E33F993"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(64-րդ հոդվածը</w:t>
      </w:r>
      <w:r w:rsidRPr="00DC3D6E">
        <w:rPr>
          <w:rFonts w:ascii="Calibri" w:hAnsi="Calibri" w:cs="Calibri"/>
          <w:i/>
          <w:iCs/>
          <w:sz w:val="24"/>
          <w:szCs w:val="24"/>
        </w:rPr>
        <w:t> </w:t>
      </w:r>
      <w:r w:rsidRPr="00DC3D6E">
        <w:rPr>
          <w:rFonts w:ascii="GHEA Grapalat" w:hAnsi="GHEA Grapalat"/>
          <w:i/>
          <w:iCs/>
          <w:sz w:val="24"/>
          <w:szCs w:val="24"/>
        </w:rPr>
        <w:t>խմբ., փոփ., լրաց.</w:t>
      </w:r>
      <w:r w:rsidRPr="00DC3D6E">
        <w:rPr>
          <w:rFonts w:ascii="Calibri" w:hAnsi="Calibri" w:cs="Calibri"/>
          <w:i/>
          <w:iCs/>
          <w:sz w:val="24"/>
          <w:szCs w:val="24"/>
        </w:rPr>
        <w:t> </w:t>
      </w:r>
      <w:r w:rsidRPr="00DC3D6E">
        <w:rPr>
          <w:rFonts w:ascii="GHEA Grapalat" w:hAnsi="GHEA Grapalat"/>
          <w:i/>
          <w:iCs/>
          <w:sz w:val="24"/>
          <w:szCs w:val="24"/>
        </w:rPr>
        <w:t>21.12.17 ՀՕ-266-Ն, խմբ. 08.02.18 ՀՕ-124-Ն,</w:t>
      </w:r>
      <w:r w:rsidRPr="00DC3D6E">
        <w:rPr>
          <w:rFonts w:ascii="Calibri" w:hAnsi="Calibri" w:cs="Calibri"/>
          <w:i/>
          <w:iCs/>
          <w:sz w:val="24"/>
          <w:szCs w:val="24"/>
        </w:rPr>
        <w:t> </w:t>
      </w:r>
      <w:r w:rsidRPr="00DC3D6E">
        <w:rPr>
          <w:rFonts w:ascii="GHEA Grapalat" w:hAnsi="GHEA Grapalat"/>
          <w:i/>
          <w:iCs/>
          <w:sz w:val="24"/>
          <w:szCs w:val="24"/>
        </w:rPr>
        <w:t>փոփ. 23.03.18 ՀՕ-261-Ն, 21.06.18 ՀՕ-338-Ն, լրաց.</w:t>
      </w:r>
      <w:r w:rsidRPr="00DC3D6E">
        <w:rPr>
          <w:rFonts w:ascii="Calibri" w:hAnsi="Calibri" w:cs="Calibri"/>
          <w:i/>
          <w:iCs/>
          <w:sz w:val="24"/>
          <w:szCs w:val="24"/>
        </w:rPr>
        <w:t> </w:t>
      </w:r>
      <w:r w:rsidRPr="00DC3D6E">
        <w:rPr>
          <w:rFonts w:ascii="GHEA Grapalat" w:hAnsi="GHEA Grapalat"/>
          <w:i/>
          <w:iCs/>
          <w:sz w:val="24"/>
          <w:szCs w:val="24"/>
        </w:rPr>
        <w:t>25.06.19 ՀՕ-68-Ն, 19.06.19 ՀՕ-87-Ն, փոփ. 21.01.20 ՀՕ-54-Ն, լրաց. 24.01.20 ՀՕ-82-Ն, 06.03.20 ՀՕ-153-Ն, 03.06.20 ՀՕ-293-Ն, փոփ., լրաց.</w:t>
      </w:r>
      <w:r w:rsidRPr="00DC3D6E">
        <w:rPr>
          <w:rFonts w:ascii="Calibri" w:hAnsi="Calibri" w:cs="Calibri"/>
          <w:i/>
          <w:iCs/>
          <w:sz w:val="24"/>
          <w:szCs w:val="24"/>
        </w:rPr>
        <w:t> </w:t>
      </w:r>
      <w:r w:rsidRPr="00DC3D6E">
        <w:rPr>
          <w:rFonts w:ascii="GHEA Grapalat" w:hAnsi="GHEA Grapalat"/>
          <w:i/>
          <w:iCs/>
          <w:sz w:val="24"/>
          <w:szCs w:val="24"/>
        </w:rPr>
        <w:t>18.06.20 ՀՕ-321-Ն, փոփ. 26.05.21 ՀՕ-215-Ն, 07.06.19 ՀՕ-63-Ն, լրաց. 10.12.21 ՀՕ-370-Ն, փոփ. 14.09.22 ՀՕ-355-Ն, խմբ., փոփ. 07.12.22 ՀՕ-517-Ն, լրաց.</w:t>
      </w:r>
      <w:r w:rsidRPr="00DC3D6E">
        <w:rPr>
          <w:rFonts w:ascii="Calibri" w:hAnsi="Calibri" w:cs="Calibri"/>
          <w:i/>
          <w:iCs/>
          <w:sz w:val="24"/>
          <w:szCs w:val="24"/>
        </w:rPr>
        <w:t> </w:t>
      </w:r>
      <w:r w:rsidRPr="00DC3D6E">
        <w:rPr>
          <w:rFonts w:ascii="GHEA Grapalat" w:hAnsi="GHEA Grapalat"/>
          <w:i/>
          <w:iCs/>
          <w:sz w:val="24"/>
          <w:szCs w:val="24"/>
        </w:rPr>
        <w:t>22.03.23</w:t>
      </w:r>
      <w:r w:rsidRPr="00DC3D6E">
        <w:rPr>
          <w:rFonts w:ascii="Calibri" w:hAnsi="Calibri" w:cs="Calibri"/>
          <w:i/>
          <w:iCs/>
          <w:sz w:val="24"/>
          <w:szCs w:val="24"/>
        </w:rPr>
        <w:t> </w:t>
      </w:r>
      <w:r w:rsidRPr="00DC3D6E">
        <w:rPr>
          <w:rFonts w:ascii="GHEA Grapalat" w:hAnsi="GHEA Grapalat"/>
          <w:i/>
          <w:iCs/>
          <w:sz w:val="24"/>
          <w:szCs w:val="24"/>
        </w:rPr>
        <w:t>ՀՕ-120-Ն, խմբ. 13.04.23 ՀՕ-131-Ն)</w:t>
      </w:r>
    </w:p>
    <w:p w14:paraId="0AFA58DE"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(21.06.18</w:t>
      </w:r>
      <w:r w:rsidRPr="00DC3D6E">
        <w:rPr>
          <w:rFonts w:ascii="Calibri" w:hAnsi="Calibri" w:cs="Calibri"/>
          <w:i/>
          <w:iCs/>
          <w:sz w:val="24"/>
          <w:szCs w:val="24"/>
        </w:rPr>
        <w:t> </w:t>
      </w:r>
      <w:hyperlink r:id="rId5" w:history="1">
        <w:r w:rsidRPr="00DC3D6E">
          <w:rPr>
            <w:rStyle w:val="Hyperlink"/>
            <w:rFonts w:ascii="GHEA Grapalat" w:hAnsi="GHEA Grapalat"/>
            <w:i/>
            <w:iCs/>
            <w:color w:val="auto"/>
            <w:sz w:val="24"/>
            <w:szCs w:val="24"/>
          </w:rPr>
          <w:t>ՀՕ-338-Ն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412FF5A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(25.06.19</w:t>
      </w:r>
      <w:r w:rsidRPr="00DC3D6E">
        <w:rPr>
          <w:rFonts w:ascii="Calibri" w:hAnsi="Calibri" w:cs="Calibri"/>
          <w:i/>
          <w:iCs/>
          <w:sz w:val="24"/>
          <w:szCs w:val="24"/>
        </w:rPr>
        <w:t> </w:t>
      </w:r>
      <w:hyperlink r:id="rId6" w:history="1">
        <w:r w:rsidRPr="00DC3D6E">
          <w:rPr>
            <w:rStyle w:val="Hyperlink"/>
            <w:rFonts w:ascii="GHEA Grapalat" w:hAnsi="GHEA Grapalat"/>
            <w:i/>
            <w:iCs/>
            <w:color w:val="auto"/>
            <w:sz w:val="24"/>
            <w:szCs w:val="24"/>
          </w:rPr>
          <w:t>ՀՕ-68-Ն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67F083B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(18.06.20</w:t>
      </w:r>
      <w:r w:rsidRPr="00DC3D6E">
        <w:rPr>
          <w:rFonts w:ascii="Calibri" w:hAnsi="Calibri" w:cs="Calibri"/>
          <w:i/>
          <w:iCs/>
          <w:sz w:val="24"/>
          <w:szCs w:val="24"/>
        </w:rPr>
        <w:t> </w:t>
      </w:r>
      <w:hyperlink r:id="rId7" w:history="1">
        <w:r w:rsidRPr="00DC3D6E">
          <w:rPr>
            <w:rStyle w:val="Hyperlink"/>
            <w:rFonts w:ascii="GHEA Grapalat" w:hAnsi="GHEA Grapalat"/>
            <w:i/>
            <w:iCs/>
            <w:color w:val="auto"/>
            <w:sz w:val="24"/>
            <w:szCs w:val="24"/>
          </w:rPr>
          <w:t>ՀՕ-321-Ն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10FA51E9"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(24.01.20</w:t>
      </w:r>
      <w:r w:rsidRPr="00DC3D6E">
        <w:rPr>
          <w:rFonts w:ascii="Calibri" w:hAnsi="Calibri" w:cs="Calibri"/>
          <w:i/>
          <w:iCs/>
          <w:sz w:val="24"/>
          <w:szCs w:val="24"/>
        </w:rPr>
        <w:t> </w:t>
      </w:r>
      <w:hyperlink r:id="rId8" w:history="1">
        <w:r w:rsidRPr="00DC3D6E">
          <w:rPr>
            <w:rStyle w:val="Hyperlink"/>
            <w:rFonts w:ascii="GHEA Grapalat" w:hAnsi="GHEA Grapalat"/>
            <w:i/>
            <w:iCs/>
            <w:color w:val="auto"/>
            <w:sz w:val="24"/>
            <w:szCs w:val="24"/>
          </w:rPr>
          <w:t>ՀՕ-82-Ն</w:t>
        </w:r>
      </w:hyperlink>
      <w:r w:rsidRPr="00DC3D6E">
        <w:rPr>
          <w:rFonts w:ascii="Calibri" w:hAnsi="Calibri" w:cs="Calibri"/>
          <w:i/>
          <w:iCs/>
          <w:sz w:val="24"/>
          <w:szCs w:val="24"/>
        </w:rPr>
        <w:t> </w:t>
      </w:r>
      <w:r w:rsidRPr="00DC3D6E">
        <w:rPr>
          <w:rFonts w:ascii="GHEA Grapalat" w:hAnsi="GHEA Grapalat"/>
          <w:i/>
          <w:iCs/>
          <w:sz w:val="24"/>
          <w:szCs w:val="24"/>
        </w:rPr>
        <w:t>օրենքն</w:t>
      </w:r>
      <w:r w:rsidRPr="00DC3D6E">
        <w:rPr>
          <w:rFonts w:ascii="Calibri" w:hAnsi="Calibri" w:cs="Calibri"/>
          <w:i/>
          <w:iCs/>
          <w:sz w:val="24"/>
          <w:szCs w:val="24"/>
        </w:rPr>
        <w:t> </w:t>
      </w:r>
      <w:r w:rsidRPr="00DC3D6E">
        <w:rPr>
          <w:rFonts w:ascii="GHEA Grapalat" w:hAnsi="GHEA Grapalat"/>
          <w:i/>
          <w:iCs/>
          <w:sz w:val="24"/>
          <w:szCs w:val="24"/>
        </w:rPr>
        <w:t>ունի անցումային դրույթ)</w:t>
      </w:r>
    </w:p>
    <w:p w14:paraId="6E251B3A"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(03.06.20</w:t>
      </w:r>
      <w:r w:rsidRPr="00DC3D6E">
        <w:rPr>
          <w:rFonts w:ascii="Calibri" w:hAnsi="Calibri" w:cs="Calibri"/>
          <w:i/>
          <w:iCs/>
          <w:sz w:val="24"/>
          <w:szCs w:val="24"/>
        </w:rPr>
        <w:t> </w:t>
      </w:r>
      <w:hyperlink r:id="rId9" w:history="1">
        <w:r w:rsidRPr="00DC3D6E">
          <w:rPr>
            <w:rStyle w:val="Hyperlink"/>
            <w:rFonts w:ascii="GHEA Grapalat" w:hAnsi="GHEA Grapalat"/>
            <w:i/>
            <w:iCs/>
            <w:color w:val="auto"/>
            <w:sz w:val="24"/>
            <w:szCs w:val="24"/>
          </w:rPr>
          <w:t>ՀՕ-293-Ն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20927A21"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(26.05.21</w:t>
      </w:r>
      <w:r w:rsidRPr="00DC3D6E">
        <w:rPr>
          <w:rFonts w:ascii="Calibri" w:hAnsi="Calibri" w:cs="Calibri"/>
          <w:i/>
          <w:iCs/>
          <w:sz w:val="24"/>
          <w:szCs w:val="24"/>
        </w:rPr>
        <w:t> </w:t>
      </w:r>
      <w:hyperlink r:id="rId10" w:history="1">
        <w:r w:rsidRPr="00DC3D6E">
          <w:rPr>
            <w:rStyle w:val="Hyperlink"/>
            <w:rFonts w:ascii="GHEA Grapalat" w:hAnsi="GHEA Grapalat"/>
            <w:i/>
            <w:iCs/>
            <w:color w:val="auto"/>
            <w:sz w:val="24"/>
            <w:szCs w:val="24"/>
          </w:rPr>
          <w:t>ՀՕ-215-Ն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2E6419C8"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(10.12.21</w:t>
      </w:r>
      <w:r w:rsidRPr="00DC3D6E">
        <w:rPr>
          <w:rFonts w:ascii="Calibri" w:hAnsi="Calibri" w:cs="Calibri"/>
          <w:i/>
          <w:iCs/>
          <w:sz w:val="24"/>
          <w:szCs w:val="24"/>
        </w:rPr>
        <w:t> </w:t>
      </w:r>
      <w:hyperlink r:id="rId11" w:history="1">
        <w:r w:rsidRPr="00DC3D6E">
          <w:rPr>
            <w:rStyle w:val="Hyperlink"/>
            <w:rFonts w:ascii="GHEA Grapalat" w:hAnsi="GHEA Grapalat"/>
            <w:i/>
            <w:iCs/>
            <w:color w:val="auto"/>
            <w:sz w:val="24"/>
            <w:szCs w:val="24"/>
          </w:rPr>
          <w:t>ՀՕ-370-Ն</w:t>
        </w:r>
      </w:hyperlink>
      <w:r w:rsidRPr="00DC3D6E">
        <w:rPr>
          <w:rFonts w:ascii="Calibri" w:hAnsi="Calibri" w:cs="Calibri"/>
          <w:i/>
          <w:iCs/>
          <w:sz w:val="24"/>
          <w:szCs w:val="24"/>
        </w:rPr>
        <w:t> </w:t>
      </w:r>
      <w:r w:rsidRPr="00DC3D6E">
        <w:rPr>
          <w:rFonts w:ascii="GHEA Grapalat" w:hAnsi="GHEA Grapalat"/>
          <w:i/>
          <w:iCs/>
          <w:sz w:val="24"/>
          <w:szCs w:val="24"/>
        </w:rPr>
        <w:t>օրենքն ունի անցումային դրույթ)</w:t>
      </w:r>
    </w:p>
    <w:p w14:paraId="513DE6AC"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(07.12.22</w:t>
      </w:r>
      <w:r w:rsidRPr="00DC3D6E">
        <w:rPr>
          <w:rFonts w:ascii="Calibri" w:hAnsi="Calibri" w:cs="Calibri"/>
          <w:i/>
          <w:iCs/>
          <w:sz w:val="24"/>
          <w:szCs w:val="24"/>
        </w:rPr>
        <w:t> </w:t>
      </w:r>
      <w:hyperlink r:id="rId12" w:history="1">
        <w:r w:rsidRPr="00DC3D6E">
          <w:rPr>
            <w:rStyle w:val="Hyperlink"/>
            <w:rFonts w:ascii="GHEA Grapalat" w:hAnsi="GHEA Grapalat"/>
            <w:i/>
            <w:iCs/>
            <w:color w:val="auto"/>
            <w:sz w:val="24"/>
            <w:szCs w:val="24"/>
          </w:rPr>
          <w:t>ՀՕ-517-Ն</w:t>
        </w:r>
      </w:hyperlink>
      <w:r w:rsidRPr="00DC3D6E">
        <w:rPr>
          <w:rFonts w:ascii="Calibri" w:hAnsi="Calibri" w:cs="Calibri"/>
          <w:i/>
          <w:iCs/>
          <w:sz w:val="24"/>
          <w:szCs w:val="24"/>
        </w:rPr>
        <w:t> </w:t>
      </w:r>
      <w:r w:rsidRPr="00DC3D6E">
        <w:rPr>
          <w:rFonts w:ascii="GHEA Grapalat" w:hAnsi="GHEA Grapalat"/>
          <w:i/>
          <w:iCs/>
          <w:sz w:val="24"/>
          <w:szCs w:val="24"/>
        </w:rPr>
        <w:t>օրենքն ունի</w:t>
      </w:r>
      <w:r w:rsidRPr="00DC3D6E">
        <w:rPr>
          <w:rFonts w:ascii="Calibri" w:hAnsi="Calibri" w:cs="Calibri"/>
          <w:i/>
          <w:iCs/>
          <w:sz w:val="24"/>
          <w:szCs w:val="24"/>
        </w:rPr>
        <w:t> </w:t>
      </w:r>
      <w:r w:rsidRPr="00DC3D6E">
        <w:rPr>
          <w:rFonts w:ascii="GHEA Grapalat" w:hAnsi="GHEA Grapalat"/>
          <w:i/>
          <w:iCs/>
          <w:sz w:val="24"/>
          <w:szCs w:val="24"/>
        </w:rPr>
        <w:t>եզրափակիչ մաս և</w:t>
      </w:r>
      <w:r w:rsidRPr="00DC3D6E">
        <w:rPr>
          <w:rFonts w:ascii="Calibri" w:hAnsi="Calibri" w:cs="Calibri"/>
          <w:i/>
          <w:iCs/>
          <w:sz w:val="24"/>
          <w:szCs w:val="24"/>
        </w:rPr>
        <w:t> </w:t>
      </w:r>
      <w:r w:rsidRPr="00DC3D6E">
        <w:rPr>
          <w:rFonts w:ascii="GHEA Grapalat" w:hAnsi="GHEA Grapalat"/>
          <w:i/>
          <w:iCs/>
          <w:sz w:val="24"/>
          <w:szCs w:val="24"/>
        </w:rPr>
        <w:t>անցումային դրույթ)</w:t>
      </w:r>
    </w:p>
    <w:p w14:paraId="4EC7263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lastRenderedPageBreak/>
        <w:t>(22.03.23</w:t>
      </w:r>
      <w:r w:rsidRPr="00DC3D6E">
        <w:rPr>
          <w:rFonts w:ascii="Calibri" w:hAnsi="Calibri" w:cs="Calibri"/>
          <w:i/>
          <w:iCs/>
          <w:sz w:val="24"/>
          <w:szCs w:val="24"/>
        </w:rPr>
        <w:t> </w:t>
      </w:r>
      <w:hyperlink r:id="rId13" w:history="1">
        <w:r w:rsidRPr="00DC3D6E">
          <w:rPr>
            <w:rStyle w:val="Hyperlink"/>
            <w:rFonts w:ascii="GHEA Grapalat" w:hAnsi="GHEA Grapalat"/>
            <w:i/>
            <w:iCs/>
            <w:color w:val="auto"/>
            <w:sz w:val="24"/>
            <w:szCs w:val="24"/>
          </w:rPr>
          <w:t>ՀՕ-120-Ն</w:t>
        </w:r>
      </w:hyperlink>
      <w:r w:rsidRPr="00DC3D6E">
        <w:rPr>
          <w:rFonts w:ascii="Calibri" w:hAnsi="Calibri" w:cs="Calibri"/>
          <w:i/>
          <w:iCs/>
          <w:sz w:val="24"/>
          <w:szCs w:val="24"/>
        </w:rPr>
        <w:t> </w:t>
      </w:r>
      <w:r w:rsidRPr="00DC3D6E">
        <w:rPr>
          <w:rFonts w:ascii="GHEA Grapalat" w:hAnsi="GHEA Grapalat"/>
          <w:i/>
          <w:iCs/>
          <w:sz w:val="24"/>
          <w:szCs w:val="24"/>
        </w:rPr>
        <w:t>օրենքն ունի եզրափակիչ մաս և</w:t>
      </w:r>
      <w:r w:rsidRPr="00DC3D6E">
        <w:rPr>
          <w:rFonts w:ascii="Calibri" w:hAnsi="Calibri" w:cs="Calibri"/>
          <w:i/>
          <w:iCs/>
          <w:sz w:val="24"/>
          <w:szCs w:val="24"/>
        </w:rPr>
        <w:t> </w:t>
      </w:r>
      <w:r w:rsidRPr="00DC3D6E">
        <w:rPr>
          <w:rFonts w:ascii="GHEA Grapalat" w:hAnsi="GHEA Grapalat"/>
          <w:i/>
          <w:iCs/>
          <w:sz w:val="24"/>
          <w:szCs w:val="24"/>
        </w:rPr>
        <w:t>անցումային դրույթներ)</w:t>
      </w:r>
    </w:p>
    <w:p w14:paraId="491285CB" w14:textId="77777777" w:rsidR="00102502" w:rsidRPr="00DC3D6E" w:rsidRDefault="00102502" w:rsidP="00102502">
      <w:pPr>
        <w:spacing w:after="0" w:line="360" w:lineRule="auto"/>
        <w:ind w:firstLine="720"/>
        <w:jc w:val="both"/>
        <w:rPr>
          <w:rFonts w:ascii="GHEA Grapalat" w:hAnsi="GHEA Grapalat"/>
          <w:sz w:val="24"/>
          <w:szCs w:val="24"/>
        </w:rPr>
      </w:pPr>
      <w:r w:rsidRPr="00DC3D6E">
        <w:rPr>
          <w:rFonts w:ascii="GHEA Grapalat" w:hAnsi="GHEA Grapalat"/>
          <w:i/>
          <w:iCs/>
          <w:sz w:val="24"/>
          <w:szCs w:val="24"/>
        </w:rPr>
        <w:t>(13.04.23</w:t>
      </w:r>
      <w:r w:rsidRPr="00DC3D6E">
        <w:rPr>
          <w:rFonts w:ascii="Calibri" w:hAnsi="Calibri" w:cs="Calibri"/>
          <w:i/>
          <w:iCs/>
          <w:sz w:val="24"/>
          <w:szCs w:val="24"/>
        </w:rPr>
        <w:t> </w:t>
      </w:r>
      <w:hyperlink r:id="rId14" w:history="1">
        <w:r w:rsidRPr="00DC3D6E">
          <w:rPr>
            <w:rStyle w:val="Hyperlink"/>
            <w:rFonts w:ascii="GHEA Grapalat" w:hAnsi="GHEA Grapalat"/>
            <w:i/>
            <w:iCs/>
            <w:color w:val="auto"/>
            <w:sz w:val="24"/>
            <w:szCs w:val="24"/>
          </w:rPr>
          <w:t>ՀՕ-131-Ն</w:t>
        </w:r>
      </w:hyperlink>
      <w:r w:rsidRPr="00DC3D6E">
        <w:rPr>
          <w:rFonts w:ascii="Calibri" w:hAnsi="Calibri" w:cs="Calibri"/>
          <w:i/>
          <w:iCs/>
          <w:sz w:val="24"/>
          <w:szCs w:val="24"/>
        </w:rPr>
        <w:t> </w:t>
      </w:r>
      <w:r w:rsidRPr="00DC3D6E">
        <w:rPr>
          <w:rFonts w:ascii="GHEA Grapalat" w:hAnsi="GHEA Grapalat"/>
          <w:i/>
          <w:iCs/>
          <w:sz w:val="24"/>
          <w:szCs w:val="24"/>
        </w:rPr>
        <w:t>օրենքն ունի եզրափակիչ մաս և</w:t>
      </w:r>
      <w:r w:rsidRPr="00DC3D6E">
        <w:rPr>
          <w:rFonts w:ascii="Calibri" w:hAnsi="Calibri" w:cs="Calibri"/>
          <w:i/>
          <w:iCs/>
          <w:sz w:val="24"/>
          <w:szCs w:val="24"/>
        </w:rPr>
        <w:t> </w:t>
      </w:r>
      <w:r w:rsidRPr="00DC3D6E">
        <w:rPr>
          <w:rFonts w:ascii="GHEA Grapalat" w:hAnsi="GHEA Grapalat"/>
          <w:i/>
          <w:iCs/>
          <w:sz w:val="24"/>
          <w:szCs w:val="24"/>
        </w:rPr>
        <w:t>անցումային դրույթ)</w:t>
      </w:r>
    </w:p>
    <w:p w14:paraId="66A386D9" w14:textId="77777777" w:rsidR="00102502" w:rsidRPr="000C5CA4" w:rsidRDefault="00102502" w:rsidP="00102502"/>
    <w:p w14:paraId="76CE4719" w14:textId="77777777" w:rsidR="000C5CA4" w:rsidRPr="00102502" w:rsidRDefault="000C5CA4" w:rsidP="00102502">
      <w:bookmarkStart w:id="0" w:name="_GoBack"/>
      <w:bookmarkEnd w:id="0"/>
    </w:p>
    <w:sectPr w:rsidR="000C5CA4" w:rsidRPr="001025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AD1"/>
    <w:rsid w:val="0004558F"/>
    <w:rsid w:val="00070E07"/>
    <w:rsid w:val="000C5CA4"/>
    <w:rsid w:val="000D6873"/>
    <w:rsid w:val="00102502"/>
    <w:rsid w:val="00132497"/>
    <w:rsid w:val="00230322"/>
    <w:rsid w:val="0048403C"/>
    <w:rsid w:val="005433ED"/>
    <w:rsid w:val="006576EC"/>
    <w:rsid w:val="0073353F"/>
    <w:rsid w:val="0078598B"/>
    <w:rsid w:val="008305FF"/>
    <w:rsid w:val="00863E6F"/>
    <w:rsid w:val="008850AB"/>
    <w:rsid w:val="008B07DC"/>
    <w:rsid w:val="008D3639"/>
    <w:rsid w:val="009F71C2"/>
    <w:rsid w:val="00B82AD1"/>
    <w:rsid w:val="00C47DF5"/>
    <w:rsid w:val="00C673A3"/>
    <w:rsid w:val="00CF4683"/>
    <w:rsid w:val="00D066EA"/>
    <w:rsid w:val="00D327E4"/>
    <w:rsid w:val="00DC3D6E"/>
    <w:rsid w:val="00DD6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0643"/>
  <w15:chartTrackingRefBased/>
  <w15:docId w15:val="{D1064E42-7833-4BCD-9114-A6A9D131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353F"/>
    <w:rPr>
      <w:b/>
      <w:bCs/>
    </w:rPr>
  </w:style>
  <w:style w:type="character" w:styleId="Hyperlink">
    <w:name w:val="Hyperlink"/>
    <w:basedOn w:val="DefaultParagraphFont"/>
    <w:uiPriority w:val="99"/>
    <w:unhideWhenUsed/>
    <w:rsid w:val="006576EC"/>
    <w:rPr>
      <w:color w:val="0000FF" w:themeColor="hyperlink"/>
      <w:u w:val="single"/>
    </w:rPr>
  </w:style>
  <w:style w:type="character" w:customStyle="1" w:styleId="UnresolvedMention">
    <w:name w:val="Unresolved Mention"/>
    <w:basedOn w:val="DefaultParagraphFont"/>
    <w:uiPriority w:val="99"/>
    <w:semiHidden/>
    <w:unhideWhenUsed/>
    <w:rsid w:val="006576EC"/>
    <w:rPr>
      <w:color w:val="605E5C"/>
      <w:shd w:val="clear" w:color="auto" w:fill="E1DFDD"/>
    </w:rPr>
  </w:style>
  <w:style w:type="paragraph" w:styleId="ListParagraph">
    <w:name w:val="List Paragraph"/>
    <w:basedOn w:val="Normal"/>
    <w:uiPriority w:val="34"/>
    <w:qFormat/>
    <w:rsid w:val="00230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50669">
      <w:bodyDiv w:val="1"/>
      <w:marLeft w:val="0"/>
      <w:marRight w:val="0"/>
      <w:marTop w:val="0"/>
      <w:marBottom w:val="0"/>
      <w:divBdr>
        <w:top w:val="none" w:sz="0" w:space="0" w:color="auto"/>
        <w:left w:val="none" w:sz="0" w:space="0" w:color="auto"/>
        <w:bottom w:val="none" w:sz="0" w:space="0" w:color="auto"/>
        <w:right w:val="none" w:sz="0" w:space="0" w:color="auto"/>
      </w:divBdr>
    </w:div>
    <w:div w:id="267857164">
      <w:bodyDiv w:val="1"/>
      <w:marLeft w:val="0"/>
      <w:marRight w:val="0"/>
      <w:marTop w:val="0"/>
      <w:marBottom w:val="0"/>
      <w:divBdr>
        <w:top w:val="none" w:sz="0" w:space="0" w:color="auto"/>
        <w:left w:val="none" w:sz="0" w:space="0" w:color="auto"/>
        <w:bottom w:val="none" w:sz="0" w:space="0" w:color="auto"/>
        <w:right w:val="none" w:sz="0" w:space="0" w:color="auto"/>
      </w:divBdr>
    </w:div>
    <w:div w:id="799766244">
      <w:bodyDiv w:val="1"/>
      <w:marLeft w:val="0"/>
      <w:marRight w:val="0"/>
      <w:marTop w:val="0"/>
      <w:marBottom w:val="0"/>
      <w:divBdr>
        <w:top w:val="none" w:sz="0" w:space="0" w:color="auto"/>
        <w:left w:val="none" w:sz="0" w:space="0" w:color="auto"/>
        <w:bottom w:val="none" w:sz="0" w:space="0" w:color="auto"/>
        <w:right w:val="none" w:sz="0" w:space="0" w:color="auto"/>
      </w:divBdr>
    </w:div>
    <w:div w:id="1196579149">
      <w:bodyDiv w:val="1"/>
      <w:marLeft w:val="0"/>
      <w:marRight w:val="0"/>
      <w:marTop w:val="0"/>
      <w:marBottom w:val="0"/>
      <w:divBdr>
        <w:top w:val="none" w:sz="0" w:space="0" w:color="auto"/>
        <w:left w:val="none" w:sz="0" w:space="0" w:color="auto"/>
        <w:bottom w:val="none" w:sz="0" w:space="0" w:color="auto"/>
        <w:right w:val="none" w:sz="0" w:space="0" w:color="auto"/>
      </w:divBdr>
    </w:div>
    <w:div w:id="1457143861">
      <w:bodyDiv w:val="1"/>
      <w:marLeft w:val="0"/>
      <w:marRight w:val="0"/>
      <w:marTop w:val="0"/>
      <w:marBottom w:val="0"/>
      <w:divBdr>
        <w:top w:val="none" w:sz="0" w:space="0" w:color="auto"/>
        <w:left w:val="none" w:sz="0" w:space="0" w:color="auto"/>
        <w:bottom w:val="none" w:sz="0" w:space="0" w:color="auto"/>
        <w:right w:val="none" w:sz="0" w:space="0" w:color="auto"/>
      </w:divBdr>
    </w:div>
    <w:div w:id="1457525851">
      <w:bodyDiv w:val="1"/>
      <w:marLeft w:val="0"/>
      <w:marRight w:val="0"/>
      <w:marTop w:val="0"/>
      <w:marBottom w:val="0"/>
      <w:divBdr>
        <w:top w:val="none" w:sz="0" w:space="0" w:color="auto"/>
        <w:left w:val="none" w:sz="0" w:space="0" w:color="auto"/>
        <w:bottom w:val="none" w:sz="0" w:space="0" w:color="auto"/>
        <w:right w:val="none" w:sz="0" w:space="0" w:color="auto"/>
      </w:divBdr>
    </w:div>
    <w:div w:id="1700816413">
      <w:bodyDiv w:val="1"/>
      <w:marLeft w:val="0"/>
      <w:marRight w:val="0"/>
      <w:marTop w:val="0"/>
      <w:marBottom w:val="0"/>
      <w:divBdr>
        <w:top w:val="none" w:sz="0" w:space="0" w:color="auto"/>
        <w:left w:val="none" w:sz="0" w:space="0" w:color="auto"/>
        <w:bottom w:val="none" w:sz="0" w:space="0" w:color="auto"/>
        <w:right w:val="none" w:sz="0" w:space="0" w:color="auto"/>
      </w:divBdr>
    </w:div>
    <w:div w:id="20292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9064" TargetMode="External"/><Relationship Id="rId13" Type="http://schemas.openxmlformats.org/officeDocument/2006/relationships/hyperlink" Target="https://www.arlis.am/DocumentView.aspx?docid=176422" TargetMode="External"/><Relationship Id="rId3" Type="http://schemas.openxmlformats.org/officeDocument/2006/relationships/webSettings" Target="webSettings.xml"/><Relationship Id="rId7" Type="http://schemas.openxmlformats.org/officeDocument/2006/relationships/hyperlink" Target="https://www.arlis.am/DocumentView.aspx?docid=143843" TargetMode="External"/><Relationship Id="rId12" Type="http://schemas.openxmlformats.org/officeDocument/2006/relationships/hyperlink" Target="https://www.arlis.am/DocumentView.aspx?docid=17220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lis.am/DocumentView.aspx?docid=131962" TargetMode="External"/><Relationship Id="rId11" Type="http://schemas.openxmlformats.org/officeDocument/2006/relationships/hyperlink" Target="https://www.arlis.am/DocumentView.aspx?docid=158634" TargetMode="External"/><Relationship Id="rId5" Type="http://schemas.openxmlformats.org/officeDocument/2006/relationships/hyperlink" Target="https://www.arlis.am/DocumentView.aspx?docid=153252" TargetMode="External"/><Relationship Id="rId15" Type="http://schemas.openxmlformats.org/officeDocument/2006/relationships/fontTable" Target="fontTable.xml"/><Relationship Id="rId10" Type="http://schemas.openxmlformats.org/officeDocument/2006/relationships/hyperlink" Target="https://www.arlis.am/DocumentView.aspx?docid=153231" TargetMode="External"/><Relationship Id="rId4" Type="http://schemas.openxmlformats.org/officeDocument/2006/relationships/hyperlink" Target="https://www.arlis.am/DocumentView.aspx?docid=131533" TargetMode="External"/><Relationship Id="rId9" Type="http://schemas.openxmlformats.org/officeDocument/2006/relationships/hyperlink" Target="https://www.arlis.am/DocumentView.aspx?docid=143290" TargetMode="External"/><Relationship Id="rId14" Type="http://schemas.openxmlformats.org/officeDocument/2006/relationships/hyperlink" Target="https://www.arlis.am/DocumentView.aspx?docid=177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https://mul2.gov.am/tasks/843848/oneclick/c5993d19ff369b1ac74147e75be284e34e7cf0aaa78f8bc8bb7c5ea9440a36a7.docx?token=1862365494c5d371bf7a2bdc9227ab5d</cp:keywords>
  <dc:description/>
  <cp:lastModifiedBy>Ani Mkrtchyan</cp:lastModifiedBy>
  <cp:revision>11</cp:revision>
  <dcterms:created xsi:type="dcterms:W3CDTF">2023-06-23T11:48:00Z</dcterms:created>
  <dcterms:modified xsi:type="dcterms:W3CDTF">2023-09-13T09:22:00Z</dcterms:modified>
</cp:coreProperties>
</file>