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A1F" w:rsidRDefault="00AE0A1F" w:rsidP="00AE0A1F">
      <w:pPr>
        <w:tabs>
          <w:tab w:val="left" w:pos="567"/>
          <w:tab w:val="left" w:pos="993"/>
        </w:tabs>
        <w:spacing w:after="0" w:line="360" w:lineRule="auto"/>
        <w:ind w:left="567"/>
        <w:contextualSpacing/>
        <w:jc w:val="center"/>
        <w:rPr>
          <w:rFonts w:ascii="GHEA Grapalat" w:hAnsi="GHEA Grapalat"/>
          <w:bCs/>
          <w:color w:val="000000"/>
          <w:sz w:val="24"/>
          <w:szCs w:val="24"/>
          <w:lang w:val="en-US" w:eastAsia="hy-AM"/>
        </w:rPr>
      </w:pPr>
    </w:p>
    <w:p w:rsidR="00AE0A1F" w:rsidRDefault="00AE0A1F" w:rsidP="00AE0A1F">
      <w:pPr>
        <w:shd w:val="clear" w:color="auto" w:fill="FFFFFF"/>
        <w:tabs>
          <w:tab w:val="left" w:pos="993"/>
        </w:tabs>
        <w:spacing w:after="0" w:line="36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ՀԻՄՆԱՎՈՐՈՒՄ</w:t>
      </w:r>
    </w:p>
    <w:p w:rsidR="00AE0A1F" w:rsidRDefault="00AE0A1F" w:rsidP="00AE0A1F">
      <w:pPr>
        <w:shd w:val="clear" w:color="auto" w:fill="FFFFFF"/>
        <w:spacing w:after="0" w:line="360" w:lineRule="auto"/>
        <w:jc w:val="center"/>
        <w:rPr>
          <w:rFonts w:ascii="GHEA Grapalat" w:hAnsi="GHEA Grapalat"/>
          <w:bCs/>
          <w:color w:val="000000"/>
          <w:sz w:val="24"/>
          <w:szCs w:val="24"/>
          <w:shd w:val="clear" w:color="auto" w:fill="FFFFFF"/>
        </w:rPr>
      </w:pPr>
      <w:r>
        <w:rPr>
          <w:rFonts w:ascii="GHEA Grapalat" w:hAnsi="GHEA Grapalat"/>
          <w:bCs/>
          <w:color w:val="000000"/>
          <w:sz w:val="24"/>
          <w:szCs w:val="24"/>
          <w:lang w:eastAsia="hy-AM"/>
        </w:rPr>
        <w:t>«ԱՌԱՆՑ «ՄԱՔՍԱՅԻՆ ՏԱՐԱՆՑՈՒՄ» ՄԱՔՍԱՅԻՆ ԸՆԹԱՑԱԿԱՐԳՈՎ ՁԵՎԱԿԵՐՊՄԱՆ՝</w:t>
      </w:r>
      <w:r>
        <w:rPr>
          <w:rFonts w:ascii="GHEA Grapalat" w:hAnsi="GHEA Grapalat"/>
          <w:color w:val="000000"/>
          <w:sz w:val="24"/>
          <w:szCs w:val="24"/>
          <w:lang w:eastAsia="hy-AM"/>
        </w:rPr>
        <w:t xml:space="preserve"> ՊԵՏԱԿԱՆ ՍԱՀՄԱՆԻ ԱՆՑՄԱՆ ԿԵՏՈՒՄ ՏԵՂԱԿԱՅՎԱԾ </w:t>
      </w:r>
      <w:r>
        <w:rPr>
          <w:rFonts w:ascii="GHEA Grapalat" w:hAnsi="GHEA Grapalat"/>
          <w:bCs/>
          <w:color w:val="000000"/>
          <w:sz w:val="24"/>
          <w:szCs w:val="24"/>
          <w:lang w:eastAsia="hy-AM"/>
        </w:rPr>
        <w:t xml:space="preserve">ԺԱՄԱՆՄԱՆ ՎԱՅՐԻՑ ՄԻՆՉԵՎ ԺԱՄԱՆԱԿԱՎՈՐ ՊԱՀՊԱՆՄԱՆ ՎԱՅՐ ԱՊՐԱՆՔՆԵՐԻ ՏԵՂԱՓՈԽՄԱՆ, ԻՆՉՊԵՍ ՆԱԵՎ ՄԱՔՍԱՅԻՆ ՍԱՀՄԱՆԻՆ ՉՏԵՂԱԿԱՅՎԱԾ ԺԱՄԱՆԱԿԱՎՈՐ ՊԱՀՊԱՆՄԱՆ ՄԵԿ ՎԱՅՐԻՑ ՄԱՔՍԱՅԻՆ ՍԱՀՄԱՆԻՆ ՉՏԵՂԱԿԱՅՎԱԾ ԺԱՄԱՆԱԿԱՎՈՐ ՊԱՀՊԱՆՄԱՆ ՄԵԿ ԱՅԼ ՎԱՅՐ ՄԱՔՍԱՅԻՆ ՀՍԿՈՂՈՒԹՅԱՆ ՆԵՐՔՈ ԱՊՐԱՆՔՆԵՐԻ ՏԵՂԱՓՈԽՄԱՆ ԿԱՐԳԸ ԵՎ ԴԵՊՔԵՐԸ </w:t>
      </w:r>
      <w:r>
        <w:rPr>
          <w:rFonts w:ascii="GHEA Grapalat" w:hAnsi="GHEA Grapalat"/>
          <w:bCs/>
          <w:color w:val="000000"/>
          <w:sz w:val="24"/>
          <w:szCs w:val="24"/>
          <w:shd w:val="clear" w:color="auto" w:fill="FFFFFF"/>
        </w:rPr>
        <w:t>ՍԱՀՄԱՆԵԼՈՒ ՄԱՍԻՆ</w:t>
      </w:r>
      <w:r>
        <w:rPr>
          <w:rFonts w:ascii="GHEA Grapalat" w:hAnsi="GHEA Grapalat"/>
          <w:bCs/>
          <w:color w:val="000000"/>
          <w:sz w:val="24"/>
          <w:szCs w:val="24"/>
          <w:lang w:eastAsia="hy-AM"/>
        </w:rPr>
        <w:t>» ՀԱՅԱՍՏԱՆԻ ՀԱՆՐԱՊԵՏՈՒԹՅԱՆ ԿԱՌԱՎԱՐՈՒԹՅԱՆ ՈՐՈՇՄԱՆ ՆԱԽԱԳԾԻ ՎԵՐԱԲԵՐՅԱԼ</w:t>
      </w:r>
    </w:p>
    <w:p w:rsidR="00AE0A1F" w:rsidRDefault="00AE0A1F" w:rsidP="00AE0A1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AE0A1F" w:rsidRDefault="00AE0A1F" w:rsidP="00AE0A1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AE0A1F" w:rsidRDefault="00AE0A1F" w:rsidP="00AE0A1F">
      <w:pPr>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 88-րդ հոդվածի 5-րդ կետի 2-րդ ենթակետի համաձայն՝ փոխադրողը կամ նույն օրենսգրքի 83-րդ հոդվածում նշված այլ անձինք մաքսային մարմնի աշխատանքային ժամերին՝ ժամանման մասին ծանուցման պահից սկսած 3 ժամվա ընթացքում, եթե անդամ պետությունների՝ մաքսային կարգավորման վերաբերյալ օրենսդրությամբ այլ ժամկետ չի սահմանվել նավով, օդանավով կամ երկաթուղային տրանսպորտով փոխադրվող ապրանքների համար կամ միջազգային փոստային առաքանիների համար, պարտավոր են կատարել մասնավորապես անդամ պետությունների՝ մաքսային կարգավորման վերաբերյալ օրենսդրությամբ սահմանված կարգով ժամանման վայրերից ժամանակավոր պահպանման վայրեր ապրանքների փոխադրման </w:t>
      </w:r>
      <w:r>
        <w:rPr>
          <w:rFonts w:ascii="GHEA Grapalat" w:hAnsi="GHEA Grapalat"/>
          <w:color w:val="000000"/>
          <w:sz w:val="24"/>
          <w:szCs w:val="24"/>
          <w:lang w:eastAsia="hy-AM"/>
        </w:rPr>
        <w:lastRenderedPageBreak/>
        <w:t>(տրանսպորտային փոխադրման) հետ կապված մաքսային գործառնություններ։ Նույն հոդվածի 9-րդ կետի համաձայն՝ ժամանման վայրում ժամանակավոր պահպանման հանձնված ապրանքները պահպանվում են ժամանման վայրում գտնվող ժամանակավոր պահպանման վայրերում կամ անդամ պետությունների՝ մաքսային կարգավորման վերաբերյալ օրենսդրությամբ նախատեսված դեպքերում՝ ժամանակավոր պահպանման այլ վայրերում: Եթե օտարերկրյա ապրանքների ժամանակավոր պահպանումն իրականացվելու է ժամանման վայրից դուրս գտնվող ժամանակավոր պահպանման վայրում, ապա ժամանման վայրից մինչև ժամանակավոր պահպանման այդպիսի վայր օտարերկրյա ապրանքների փոխադրումն իրականացվում է «Մաքսային տարանցում» մաքսային ընթացակարգին համապատասխան, կամ եթե դա նախատեսված է անդամ պետությունների՝ մաքսային կարգավորման վերաբերյալ օրենսդրությամբ՝ առանց «Մաքսային տարանցում» մաքսային ընթացակարգով ձևակերպման՝ այդ օրենսդրությամբ սահմանված դեպքերում և կարգով:</w:t>
      </w:r>
    </w:p>
    <w:p w:rsidR="00AE0A1F" w:rsidRDefault="00AE0A1F" w:rsidP="00AE0A1F">
      <w:pPr>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Միաժամանակ, Եվրասիական տնտեսական միության մաքսային օրենսգրքի 98-րդ հոդվածի 8-րդ կետի համաձայն՝ անդամ պետությունների օրենսդրությամբ սահմանված դեպքերում թույլատրվում է մինչև ապրանքների բացթողումը փոխել ապրանքների ժամանակավոր պահպանման վայրը: Օտարերկրյա ապրանքների փոխադրումը ապրանքների ժամանակավոր պահպանման մի վայրից ապրանքների ժամանակավոր պահպանման մեկ այլ վայր իրականացվում է «Մաքսային տարանցում» մաքսային ընթացակարգին համապատասխան կամ, եթե դա նախատեսված է անդամ պետությունների՝ մաքսային կարգավորման վերաբերյալ օրենսդրությամբ, առանց «Մաքսային տարանցում» մաքսային ընթացակարգով ձևակերպելու՝ այդ օրենսդրությամբ սահմանված կարգով:</w:t>
      </w:r>
    </w:p>
    <w:p w:rsidR="00AE0A1F" w:rsidRDefault="00AE0A1F" w:rsidP="00AE0A1F">
      <w:pPr>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«Մաքսային կարգավորման մասին» օրենքի 68-րդ հոդվածի 5-րդ մասին համապատասխան՝ Եվրասիական տնտեսական միության մաքսային օրենսգրքի 88-</w:t>
      </w:r>
      <w:r>
        <w:rPr>
          <w:rFonts w:ascii="GHEA Grapalat" w:hAnsi="GHEA Grapalat"/>
          <w:color w:val="000000"/>
          <w:sz w:val="24"/>
          <w:szCs w:val="24"/>
          <w:lang w:eastAsia="hy-AM"/>
        </w:rPr>
        <w:lastRenderedPageBreak/>
        <w:t>րդ հոդվածի 5-րդ կետի 2-րդ ենթակետին համապատասխան՝ ժամանման վայրից մինչև ժամանակավոր պահպանման վայր ապրանքների տեղափոխման կարգը կարող է սահմանել Կառավարությունը։ Նույն օրենքի 70-րդ հոդվածի 3-րդ մասին համապատասխան՝ Եվրասիական տնտեսական միության մաքսային օրենսգրքի 98-րդ հոդվածի 8-րդ կետին համապատասխան՝ մինչև ապրանքների բացթողումը ժամանակավոր պահպանման վայրի փոփոխության դեպքում ժամանակավոր պահպանման վայրերից ապրանքների տեղափոխումը կարող է կատարվել առանց «Մաքսային տարանցում» մաքսային ընթացակարգով ձևակերպման՝ Կառավարության սահմանած կարգով և դեպքերում:</w:t>
      </w:r>
    </w:p>
    <w:p w:rsidR="00AE0A1F" w:rsidRDefault="00AE0A1F" w:rsidP="00AE0A1F">
      <w:pPr>
        <w:shd w:val="clear" w:color="auto" w:fill="FFFFFF"/>
        <w:spacing w:after="0" w:line="360" w:lineRule="auto"/>
        <w:ind w:firstLine="375"/>
        <w:rPr>
          <w:rFonts w:ascii="GHEA Grapalat" w:eastAsia="Times New Roman" w:hAnsi="GHEA Grapalat" w:cs="Times New Roman"/>
          <w:b/>
          <w:i/>
          <w:color w:val="000000"/>
          <w:sz w:val="24"/>
          <w:szCs w:val="24"/>
          <w:lang w:eastAsia="hy-AM"/>
        </w:rPr>
      </w:pPr>
      <w:r>
        <w:rPr>
          <w:rFonts w:ascii="Arial Unicode" w:eastAsia="Times New Roman" w:hAnsi="Arial Unicode" w:cs="Times New Roman"/>
          <w:color w:val="000000"/>
          <w:sz w:val="21"/>
          <w:szCs w:val="21"/>
        </w:rPr>
        <w:t> </w:t>
      </w:r>
      <w:r>
        <w:rPr>
          <w:rFonts w:ascii="GHEA Grapalat" w:eastAsia="Times New Roman" w:hAnsi="GHEA Grapalat" w:cs="Times New Roman"/>
          <w:b/>
          <w:i/>
          <w:color w:val="000000"/>
          <w:sz w:val="24"/>
          <w:szCs w:val="24"/>
          <w:lang w:eastAsia="hy-AM"/>
        </w:rPr>
        <w:t>Կարգավորման առարկան, ակնկալվող արդյունքը.</w:t>
      </w:r>
    </w:p>
    <w:p w:rsidR="00AE0A1F" w:rsidRDefault="00AE0A1F" w:rsidP="00AE0A1F">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Նախագծով նախատեսվում է սահմանել ժամանման վայրում ապրանքները ժամանակավոր պահպանության հանձնելու դեպքում ժամանման վայրից մինչև ժամանակավոր պահպանության վայր, ինչպես նաև ժամանակավոր պահպանության ահանձնված ապրանքների համար ժամանակավոր պահպանության վայրի փոփոխության դեպքում այդպիսի ապրանքների՝ ժամանակավոր պահպանության նոր վայրի փոխադրման հետ կապված հարաբերությունները։ </w:t>
      </w:r>
    </w:p>
    <w:p w:rsidR="00AE0A1F" w:rsidRDefault="00AE0A1F" w:rsidP="00AE0A1F">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Նախագծի ընդունման արդյունքում ակնկալվում է համապատասխան կատեգորիաների անձանց կողմից տեղափոխվող ապրանքների, ինչպես նաև սահմանված դեպքերում օտարերկրյա ապրանքների կարգավիճակ ունեցող ապրանքների փոխադրման գործընթացը դեպի ժամանակավոր պահպանության վայրեր կազմակերպել պարզեցված կարգով։ </w:t>
      </w:r>
    </w:p>
    <w:p w:rsidR="00AE0A1F" w:rsidRDefault="00AE0A1F" w:rsidP="00AE0A1F">
      <w:pPr>
        <w:shd w:val="clear" w:color="auto" w:fill="FFFFFF"/>
        <w:tabs>
          <w:tab w:val="left" w:pos="993"/>
        </w:tabs>
        <w:spacing w:after="0" w:line="360" w:lineRule="auto"/>
        <w:ind w:firstLine="567"/>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E0A1F" w:rsidRDefault="00AE0A1F" w:rsidP="00AE0A1F">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Նախագիծն ուղղակիորեն չի բխում ռազմավարական փաստաթղթերից</w:t>
      </w:r>
      <w:r>
        <w:rPr>
          <w:rFonts w:ascii="GHEA Grapalat" w:hAnsi="GHEA Grapalat"/>
          <w:bCs/>
          <w:color w:val="000000"/>
          <w:sz w:val="24"/>
          <w:szCs w:val="24"/>
          <w:lang w:eastAsia="hy-AM"/>
        </w:rPr>
        <w:t>։</w:t>
      </w:r>
    </w:p>
    <w:p w:rsidR="00AE0A1F" w:rsidRDefault="00AE0A1F" w:rsidP="00AE0A1F">
      <w:pPr>
        <w:shd w:val="clear" w:color="auto" w:fill="FFFFFF"/>
        <w:tabs>
          <w:tab w:val="left" w:pos="993"/>
        </w:tabs>
        <w:spacing w:after="0" w:line="360" w:lineRule="auto"/>
        <w:ind w:firstLine="567"/>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lastRenderedPageBreak/>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AE0A1F" w:rsidRDefault="00AE0A1F" w:rsidP="00AE0A1F">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r>
        <w:rPr>
          <w:rFonts w:ascii="GHEA Grapalat" w:hAnsi="GHEA Grapalat"/>
          <w:color w:val="000000"/>
          <w:sz w:val="24"/>
          <w:szCs w:val="24"/>
          <w:lang w:val="en-US" w:eastAsia="hy-AM"/>
        </w:rPr>
        <w:t>Հայաստանի</w:t>
      </w:r>
      <w:r>
        <w:rPr>
          <w:rFonts w:ascii="GHEA Grapalat" w:hAnsi="GHEA Grapalat"/>
          <w:color w:val="000000"/>
          <w:sz w:val="24"/>
          <w:szCs w:val="24"/>
          <w:lang w:val="fr-FR" w:eastAsia="hy-AM"/>
        </w:rPr>
        <w:t xml:space="preserve"> </w:t>
      </w:r>
      <w:r>
        <w:rPr>
          <w:rFonts w:ascii="GHEA Grapalat" w:hAnsi="GHEA Grapalat"/>
          <w:color w:val="000000"/>
          <w:sz w:val="24"/>
          <w:szCs w:val="24"/>
          <w:lang w:val="en-US" w:eastAsia="hy-AM"/>
        </w:rPr>
        <w:t>Հանրապետության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AE0A1F" w:rsidRDefault="00AE0A1F" w:rsidP="00AE0A1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AE0A1F" w:rsidRDefault="00AE0A1F" w:rsidP="00AE0A1F">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AE0A1F" w:rsidRDefault="00AE0A1F" w:rsidP="00AE0A1F">
      <w:pPr>
        <w:shd w:val="clear" w:color="auto" w:fill="FFFFFF"/>
        <w:tabs>
          <w:tab w:val="left" w:pos="993"/>
        </w:tabs>
        <w:spacing w:after="0" w:line="360" w:lineRule="auto"/>
        <w:ind w:firstLine="567"/>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AE0A1F" w:rsidRDefault="00AE0A1F" w:rsidP="00AE0A1F">
      <w:pPr>
        <w:shd w:val="clear" w:color="auto" w:fill="FFFFFF"/>
        <w:tabs>
          <w:tab w:val="left" w:pos="993"/>
        </w:tabs>
        <w:spacing w:after="0" w:line="360" w:lineRule="auto"/>
        <w:ind w:firstLine="567"/>
        <w:jc w:val="both"/>
        <w:rPr>
          <w:rFonts w:ascii="GHEA Grapalat" w:hAnsi="GHEA Grapalat"/>
          <w:b/>
          <w:color w:val="000000"/>
          <w:sz w:val="24"/>
          <w:szCs w:val="24"/>
          <w:lang w:eastAsia="hy-AM"/>
        </w:rPr>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092C54" w:rsidRDefault="00092C54">
      <w:bookmarkStart w:id="0" w:name="_GoBack"/>
      <w:bookmarkEnd w:id="0"/>
    </w:p>
    <w:sectPr w:rsidR="00092C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E80"/>
    <w:rsid w:val="00092C54"/>
    <w:rsid w:val="00531E80"/>
    <w:rsid w:val="00AE0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32353E-5025-4FBA-AE3C-37073FC1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A1F"/>
    <w:pPr>
      <w:spacing w:line="254"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728</Words>
  <Characters>4152</Characters>
  <Application>Microsoft Office Word</Application>
  <DocSecurity>0</DocSecurity>
  <Lines>34</Lines>
  <Paragraphs>9</Paragraphs>
  <ScaleCrop>false</ScaleCrop>
  <Company>tax</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Volodya Khachatryan</dc:creator>
  <cp:keywords/>
  <dc:description/>
  <cp:lastModifiedBy>Volodya Khachatryan</cp:lastModifiedBy>
  <cp:revision>2</cp:revision>
  <dcterms:created xsi:type="dcterms:W3CDTF">2023-08-30T08:06:00Z</dcterms:created>
  <dcterms:modified xsi:type="dcterms:W3CDTF">2023-08-30T08:06:00Z</dcterms:modified>
</cp:coreProperties>
</file>