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6307B4" w:rsidRPr="00A47F33" w:rsidRDefault="006307B4" w:rsidP="006307B4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A47F33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A47F33">
        <w:rPr>
          <w:rFonts w:ascii="GHEA Grapalat" w:hAnsi="GHEA Grapalat" w:cs="Sylfaen"/>
          <w:sz w:val="24"/>
          <w:szCs w:val="24"/>
        </w:rPr>
        <w:t>ԱՅՆ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ԴԵՊՔ</w:t>
      </w:r>
      <w:r>
        <w:rPr>
          <w:rFonts w:ascii="GHEA Grapalat" w:hAnsi="GHEA Grapalat" w:cs="Sylfaen"/>
          <w:sz w:val="24"/>
          <w:szCs w:val="24"/>
        </w:rPr>
        <w:t>ԵՐՆ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ՈՒ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ՊԱՅՄԱՆ</w:t>
      </w:r>
      <w:r>
        <w:rPr>
          <w:rFonts w:ascii="GHEA Grapalat" w:hAnsi="GHEA Grapalat" w:cs="Sylfaen"/>
          <w:sz w:val="24"/>
          <w:szCs w:val="24"/>
        </w:rPr>
        <w:t>ՆԵՐԸ</w:t>
      </w:r>
      <w:r w:rsidRPr="00A47F33">
        <w:rPr>
          <w:rFonts w:ascii="GHEA Grapalat" w:hAnsi="GHEA Grapalat" w:cs="Sylfaen"/>
          <w:sz w:val="24"/>
          <w:szCs w:val="24"/>
        </w:rPr>
        <w:t xml:space="preserve"> ՍԱՀՄԱՆԵԼՈՒ ՄԱՍԻՆ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ՈՐՈՆՑ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ՊԱՐԱԳԱՅՈՒՄ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ՄԱՔՍԱՏՈՒՐՔԵՐԻ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ՀԱՐԿԵՐԻ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ԸՆԴՀԱՆՈՒՐ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ՉԱՓԸ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ՈՐՈՆՔ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ՎՃԱՐԵԼՈՒ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ՊԱՐՏԱՎՈՐՈՒԹՅԱՆ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ԿԱՏԱՐՈՒՄՆ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ԱՊԱՀՈՎՎՈՒՄ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Է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ԲԱԶՄԱԿԻ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ԱՊԱՀՈՎՄԱՄԲ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ԳԵՐԱԶԱՆՑՈՒՄ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Է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ԴՐԱՆՈՎ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ՆԵՐԿԱՅԱՑՎՈՂ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ԱՊԱՀՈՎՄԱՆ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ՉԱՓԸ</w:t>
      </w:r>
      <w:r w:rsidRPr="00A47F33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64-րդ հոդվածի 4-րդ կետի համաձայն՝ ա</w:t>
      </w:r>
      <w:r w:rsidRPr="00A47F33">
        <w:rPr>
          <w:rFonts w:ascii="GHEA Grapalat" w:hAnsi="GHEA Grapalat" w:cs="Sylfaen"/>
          <w:sz w:val="24"/>
          <w:szCs w:val="24"/>
        </w:rPr>
        <w:t>յն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դեպքում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երբ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մաքսային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բոլոր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գործառնությունները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կատարվում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են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այն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անդամ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պետության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տարածքում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որի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մաքսային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մարմնին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տրամադրվել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է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ընդհանուր (բազմակի)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ապահովումը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մաքսատուրքերը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հարկերը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վճարելու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պարտավորության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կատարման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ընդհանուր (բազմակի)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ապահովումը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կիրառելու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կարգը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սահմանվում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է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տվյալ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անդամ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պետության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օրենսդրությամբ</w:t>
      </w:r>
      <w:r w:rsidRPr="00A47F33">
        <w:rPr>
          <w:rFonts w:ascii="GHEA Grapalat" w:hAnsi="GHEA Grapalat"/>
          <w:sz w:val="24"/>
          <w:szCs w:val="24"/>
        </w:rPr>
        <w:t xml:space="preserve">: </w:t>
      </w:r>
      <w:r w:rsidRPr="00A47F33">
        <w:rPr>
          <w:rFonts w:ascii="GHEA Grapalat" w:hAnsi="GHEA Grapalat" w:cs="Sylfaen"/>
          <w:sz w:val="24"/>
          <w:szCs w:val="24"/>
        </w:rPr>
        <w:t>Անդամ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պետության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օրենսդրությամբ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այդպիսի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կարգ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սահմանելու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դեպքում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կարող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են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սահմանվել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այն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դեպքերն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ու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պայմանները</w:t>
      </w:r>
      <w:r w:rsidRPr="00A47F33">
        <w:rPr>
          <w:rFonts w:ascii="GHEA Grapalat" w:hAnsi="GHEA Grapalat" w:cs="Times New Roman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որոնց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պարագայում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այն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մաքսատուրքերի</w:t>
      </w:r>
      <w:r w:rsidRPr="00A47F33">
        <w:rPr>
          <w:rFonts w:ascii="GHEA Grapalat" w:hAnsi="GHEA Grapalat" w:cs="Times New Roman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հարկերի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ընդհանուր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չափը</w:t>
      </w:r>
      <w:r w:rsidRPr="00A47F33">
        <w:rPr>
          <w:rFonts w:ascii="GHEA Grapalat" w:hAnsi="GHEA Grapalat" w:cs="Times New Roman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որոնք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վճարելու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պարտավորության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կատարումն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ապահովվում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է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այդպիսի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ընդհանուր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ապահովմամբ</w:t>
      </w:r>
      <w:r w:rsidRPr="00A47F33">
        <w:rPr>
          <w:rFonts w:ascii="GHEA Grapalat" w:hAnsi="GHEA Grapalat" w:cs="Times New Roman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գերազանցում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է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այդպիսի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ընդհանուր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ապահովման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չափը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և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այդպիսի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գերազանցման</w:t>
      </w:r>
      <w:r w:rsidRPr="00A47F33">
        <w:rPr>
          <w:rFonts w:ascii="GHEA Grapalat" w:hAnsi="GHEA Grapalat" w:cs="Times New Roman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սահմանները</w:t>
      </w:r>
      <w:r w:rsidRPr="00A47F33">
        <w:rPr>
          <w:rFonts w:ascii="GHEA Grapalat" w:hAnsi="GHEA Grapalat"/>
          <w:sz w:val="24"/>
          <w:szCs w:val="24"/>
        </w:rPr>
        <w:t>: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օրենքի 50-րդ հոդվածով սահմանված են </w:t>
      </w:r>
      <w:r w:rsidRPr="00A47F33">
        <w:rPr>
          <w:rFonts w:ascii="GHEA Grapalat" w:hAnsi="GHEA Grapalat" w:cs="Sylfaen"/>
          <w:sz w:val="24"/>
          <w:szCs w:val="24"/>
        </w:rPr>
        <w:t>մ</w:t>
      </w:r>
      <w:r w:rsidRPr="00A47F33">
        <w:rPr>
          <w:rFonts w:ascii="GHEA Grapalat" w:hAnsi="GHEA Grapalat" w:cs="Sylfaen"/>
          <w:bCs/>
          <w:sz w:val="24"/>
          <w:szCs w:val="24"/>
        </w:rPr>
        <w:t>աքսատուրքի</w:t>
      </w:r>
      <w:r w:rsidRPr="00A47F33">
        <w:rPr>
          <w:rFonts w:ascii="GHEA Grapalat" w:hAnsi="GHEA Grapalat"/>
          <w:bCs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bCs/>
          <w:sz w:val="24"/>
          <w:szCs w:val="24"/>
        </w:rPr>
        <w:t>հարկերի</w:t>
      </w:r>
      <w:r w:rsidRPr="00A47F33">
        <w:rPr>
          <w:rFonts w:ascii="GHEA Grapalat" w:hAnsi="GHEA Grapalat"/>
          <w:bCs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bCs/>
          <w:sz w:val="24"/>
          <w:szCs w:val="24"/>
        </w:rPr>
        <w:t>հատուկ</w:t>
      </w:r>
      <w:r w:rsidRPr="00A47F33">
        <w:rPr>
          <w:rFonts w:ascii="GHEA Grapalat" w:hAnsi="GHEA Grapalat"/>
          <w:bCs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bCs/>
          <w:sz w:val="24"/>
          <w:szCs w:val="24"/>
        </w:rPr>
        <w:t>հակագնագցման</w:t>
      </w:r>
      <w:r w:rsidRPr="00A47F33">
        <w:rPr>
          <w:rFonts w:ascii="GHEA Grapalat" w:hAnsi="GHEA Grapalat"/>
          <w:bCs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bCs/>
          <w:sz w:val="24"/>
          <w:szCs w:val="24"/>
        </w:rPr>
        <w:t>և</w:t>
      </w:r>
      <w:r w:rsidRPr="00A47F33">
        <w:rPr>
          <w:rFonts w:ascii="GHEA Grapalat" w:hAnsi="GHEA Grapalat"/>
          <w:bCs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bCs/>
          <w:sz w:val="24"/>
          <w:szCs w:val="24"/>
        </w:rPr>
        <w:t>փոխհատուցման</w:t>
      </w:r>
      <w:r w:rsidRPr="00A47F33">
        <w:rPr>
          <w:rFonts w:ascii="GHEA Grapalat" w:hAnsi="GHEA Grapalat"/>
          <w:bCs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bCs/>
          <w:sz w:val="24"/>
          <w:szCs w:val="24"/>
        </w:rPr>
        <w:t>տուրքերի</w:t>
      </w:r>
      <w:r w:rsidRPr="00A47F33">
        <w:rPr>
          <w:rFonts w:ascii="GHEA Grapalat" w:hAnsi="GHEA Grapalat"/>
          <w:bCs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bCs/>
          <w:sz w:val="24"/>
          <w:szCs w:val="24"/>
        </w:rPr>
        <w:t>վճարման</w:t>
      </w:r>
      <w:r w:rsidRPr="00A47F33">
        <w:rPr>
          <w:rFonts w:ascii="GHEA Grapalat" w:hAnsi="GHEA Grapalat"/>
          <w:bCs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bCs/>
          <w:sz w:val="24"/>
          <w:szCs w:val="24"/>
        </w:rPr>
        <w:t>բազմակի</w:t>
      </w:r>
      <w:r w:rsidRPr="00A47F33">
        <w:rPr>
          <w:bCs/>
          <w:sz w:val="24"/>
          <w:szCs w:val="24"/>
        </w:rPr>
        <w:t> </w:t>
      </w:r>
      <w:r w:rsidRPr="00A47F33">
        <w:rPr>
          <w:rFonts w:ascii="GHEA Grapalat" w:hAnsi="GHEA Grapalat" w:cs="Sylfaen"/>
          <w:bCs/>
          <w:sz w:val="24"/>
          <w:szCs w:val="24"/>
        </w:rPr>
        <w:t>ապահովման կիրառման դրույթները: Նույն հոդվածի 10-րդ մասին համապատասխան՝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 xml:space="preserve"> ՀՀ կ</w:t>
      </w:r>
      <w:r w:rsidRPr="00A47F33">
        <w:rPr>
          <w:rFonts w:ascii="GHEA Grapalat" w:hAnsi="GHEA Grapalat" w:cs="Sylfaen"/>
          <w:sz w:val="24"/>
          <w:szCs w:val="24"/>
        </w:rPr>
        <w:t>առավարությունը</w:t>
      </w:r>
      <w:r w:rsidRPr="00A47F33">
        <w:rPr>
          <w:rFonts w:ascii="GHEA Grapalat" w:hAnsi="GHEA Grapalat"/>
          <w:sz w:val="24"/>
          <w:szCs w:val="24"/>
        </w:rPr>
        <w:t>, Եվրասիական տնտեսական մ</w:t>
      </w:r>
      <w:r w:rsidRPr="00A47F33">
        <w:rPr>
          <w:rFonts w:ascii="GHEA Grapalat" w:hAnsi="GHEA Grapalat" w:cs="Sylfaen"/>
          <w:sz w:val="24"/>
          <w:szCs w:val="24"/>
        </w:rPr>
        <w:t>իության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մաքսային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օրենսգրքի</w:t>
      </w:r>
      <w:r w:rsidRPr="00A47F33">
        <w:rPr>
          <w:rFonts w:ascii="GHEA Grapalat" w:hAnsi="GHEA Grapalat"/>
          <w:sz w:val="24"/>
          <w:szCs w:val="24"/>
        </w:rPr>
        <w:t xml:space="preserve"> 64-</w:t>
      </w:r>
      <w:r w:rsidRPr="00A47F33">
        <w:rPr>
          <w:rFonts w:ascii="GHEA Grapalat" w:hAnsi="GHEA Grapalat" w:cs="Sylfaen"/>
          <w:sz w:val="24"/>
          <w:szCs w:val="24"/>
        </w:rPr>
        <w:t>րդ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հոդվածի</w:t>
      </w:r>
      <w:r w:rsidRPr="00A47F33">
        <w:rPr>
          <w:rFonts w:ascii="GHEA Grapalat" w:hAnsi="GHEA Grapalat"/>
          <w:sz w:val="24"/>
          <w:szCs w:val="24"/>
        </w:rPr>
        <w:t xml:space="preserve"> 4-</w:t>
      </w:r>
      <w:r w:rsidRPr="00A47F33">
        <w:rPr>
          <w:rFonts w:ascii="GHEA Grapalat" w:hAnsi="GHEA Grapalat" w:cs="Sylfaen"/>
          <w:sz w:val="24"/>
          <w:szCs w:val="24"/>
        </w:rPr>
        <w:t>րդ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կետին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համապատասխան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կարող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է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սահմանել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այն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դեպքերն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ու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պայմանները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որոնց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պարագայում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մաքսատուրքերի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հարկերի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ընդհանուր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չափը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որոնք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վճարելու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պարտավորության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կատարումն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ապահովվում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է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բազմակի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ապահովմամբ</w:t>
      </w:r>
      <w:r w:rsidRPr="00A47F33">
        <w:rPr>
          <w:rFonts w:ascii="GHEA Grapalat" w:hAnsi="GHEA Grapalat"/>
          <w:sz w:val="24"/>
          <w:szCs w:val="24"/>
        </w:rPr>
        <w:t xml:space="preserve">, </w:t>
      </w:r>
      <w:r w:rsidRPr="00A47F33">
        <w:rPr>
          <w:rFonts w:ascii="GHEA Grapalat" w:hAnsi="GHEA Grapalat" w:cs="Sylfaen"/>
          <w:sz w:val="24"/>
          <w:szCs w:val="24"/>
        </w:rPr>
        <w:t>գերազանցում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է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դրանով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ներկայացվող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ապահովման</w:t>
      </w:r>
      <w:r w:rsidRPr="00A47F33">
        <w:rPr>
          <w:rFonts w:ascii="GHEA Grapalat" w:hAnsi="GHEA Grapalat"/>
          <w:sz w:val="24"/>
          <w:szCs w:val="24"/>
        </w:rPr>
        <w:t xml:space="preserve"> </w:t>
      </w:r>
      <w:r w:rsidRPr="00A47F33">
        <w:rPr>
          <w:rFonts w:ascii="GHEA Grapalat" w:hAnsi="GHEA Grapalat" w:cs="Sylfaen"/>
          <w:sz w:val="24"/>
          <w:szCs w:val="24"/>
        </w:rPr>
        <w:t>չափը</w:t>
      </w:r>
      <w:r w:rsidRPr="00A47F33">
        <w:rPr>
          <w:rFonts w:ascii="GHEA Grapalat" w:hAnsi="GHEA Grapalat"/>
          <w:sz w:val="24"/>
          <w:szCs w:val="24"/>
        </w:rPr>
        <w:t>:</w:t>
      </w:r>
    </w:p>
    <w:p w:rsidR="006307B4" w:rsidRPr="00A47F33" w:rsidRDefault="006307B4" w:rsidP="006307B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 w:rsidRPr="00A47F33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6307B4" w:rsidRPr="00A47F33" w:rsidRDefault="006307B4" w:rsidP="006307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 w:rsidRPr="00A47F3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Նախագծով նախատեսվում է սահմանել </w:t>
      </w:r>
      <w:r w:rsidRPr="00A47F33">
        <w:rPr>
          <w:rFonts w:ascii="GHEA Grapalat" w:eastAsia="Times New Roman" w:hAnsi="GHEA Grapalat" w:cs="Sylfaen"/>
          <w:color w:val="000000"/>
          <w:sz w:val="24"/>
          <w:szCs w:val="24"/>
          <w:lang w:eastAsia="hy-AM"/>
        </w:rPr>
        <w:t>մաքսատուրքերի</w:t>
      </w:r>
      <w:r w:rsidRPr="00A47F3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, հարկերի ընդհանուր չափի՝ բազմակի ապահովմամբ դրանց վճարման պարտավորության կատարման ապահովման </w:t>
      </w:r>
      <w:r w:rsidRPr="00A47F3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lastRenderedPageBreak/>
        <w:t>նպատակով, այդպիսի ապահովման չափի գերազանցման համապատասխան դեպք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եր</w:t>
      </w:r>
      <w:r w:rsidRPr="00A47F3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և պայման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ներ</w:t>
      </w:r>
      <w:r w:rsidRPr="00A47F3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: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18</w:t>
      </w:r>
      <w:r w:rsidRPr="00A47F33">
        <w:rPr>
          <w:rFonts w:ascii="MS Mincho" w:eastAsia="MS Mincho" w:hAnsi="MS Mincho" w:cs="MS Mincho" w:hint="eastAsia"/>
          <w:color w:val="000000"/>
          <w:sz w:val="24"/>
          <w:szCs w:val="24"/>
          <w:lang w:eastAsia="hy-AM"/>
        </w:rPr>
        <w:t>․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11</w:t>
      </w:r>
      <w:r w:rsidRPr="00A47F33">
        <w:rPr>
          <w:rFonts w:ascii="MS Mincho" w:eastAsia="MS Mincho" w:hAnsi="MS Mincho" w:cs="MS Mincho" w:hint="eastAsia"/>
          <w:color w:val="000000"/>
          <w:sz w:val="24"/>
          <w:szCs w:val="24"/>
          <w:lang w:eastAsia="hy-AM"/>
        </w:rPr>
        <w:t>․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2021թ</w:t>
      </w:r>
      <w:r w:rsidRPr="00A47F33">
        <w:rPr>
          <w:rFonts w:ascii="MS Mincho" w:eastAsia="MS Mincho" w:hAnsi="MS Mincho" w:cs="MS Mincho" w:hint="eastAsia"/>
          <w:color w:val="000000"/>
          <w:sz w:val="24"/>
          <w:szCs w:val="24"/>
          <w:lang w:eastAsia="hy-AM"/>
        </w:rPr>
        <w:t>․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 xml:space="preserve"> N1902-Լ որոշմամբ սահմանված՝ «ՀՀ պետական եկամուտների կոմիտե» բաժնի 2</w:t>
      </w:r>
      <w:r w:rsidRPr="00A47F33">
        <w:rPr>
          <w:rFonts w:ascii="MS Mincho" w:eastAsia="MS Mincho" w:hAnsi="MS Mincho" w:cs="MS Mincho" w:hint="eastAsia"/>
          <w:color w:val="000000"/>
          <w:sz w:val="24"/>
          <w:szCs w:val="24"/>
          <w:lang w:eastAsia="hy-AM"/>
        </w:rPr>
        <w:t>․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3-րդ կետով նախատեսված՝ «Օրինապահ հարկ վճարողների համակարգի կատարելագործում» միջոցառմանը, ինչպես նաև ՀՀ կառավարության 12</w:t>
      </w:r>
      <w:r w:rsidRPr="00A47F33">
        <w:rPr>
          <w:rFonts w:ascii="MS Mincho" w:eastAsia="MS Mincho" w:hAnsi="MS Mincho" w:cs="MS Mincho" w:hint="eastAsia"/>
          <w:color w:val="000000"/>
          <w:sz w:val="24"/>
          <w:szCs w:val="24"/>
          <w:lang w:eastAsia="hy-AM"/>
        </w:rPr>
        <w:t>․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A47F33">
        <w:rPr>
          <w:rFonts w:ascii="MS Mincho" w:eastAsia="MS Mincho" w:hAnsi="MS Mincho" w:cs="MS Mincho" w:hint="eastAsia"/>
          <w:color w:val="000000"/>
          <w:sz w:val="24"/>
          <w:szCs w:val="24"/>
          <w:lang w:eastAsia="hy-AM"/>
        </w:rPr>
        <w:t>․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A47F33">
        <w:rPr>
          <w:rFonts w:ascii="MS Mincho" w:eastAsia="MS Mincho" w:hAnsi="MS Mincho" w:cs="MS Mincho" w:hint="eastAsia"/>
          <w:color w:val="000000"/>
          <w:sz w:val="24"/>
          <w:szCs w:val="24"/>
          <w:lang w:eastAsia="hy-AM"/>
        </w:rPr>
        <w:t>․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«</w:t>
      </w:r>
      <w:r w:rsidRPr="00A47F33">
        <w:rPr>
          <w:rFonts w:ascii="GHEA Grapalat" w:hAnsi="GHEA Grapalat"/>
          <w:bCs/>
          <w:color w:val="000000"/>
          <w:sz w:val="24"/>
          <w:szCs w:val="24"/>
          <w:lang w:eastAsia="hy-AM"/>
        </w:rPr>
        <w:t>2.1.4. Մաքսային հսկողության արդյունավետության բարձրացում» միջոցառմանը։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A47F33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A47F33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A47F33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A47F33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A47F33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A47F33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A47F33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A47F33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A47F33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A47F33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A47F33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A47F33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A47F33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6307B4" w:rsidRPr="00A47F33" w:rsidRDefault="006307B4" w:rsidP="006307B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6307B4" w:rsidRPr="00A47F33" w:rsidRDefault="006307B4" w:rsidP="006307B4"/>
    <w:p w:rsidR="00DC0C79" w:rsidRDefault="006307B4">
      <w:bookmarkStart w:id="0" w:name="_GoBack"/>
      <w:bookmarkEnd w:id="0"/>
    </w:p>
    <w:sectPr w:rsidR="00DC0C79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B16"/>
    <w:rsid w:val="000A478C"/>
    <w:rsid w:val="004A7B16"/>
    <w:rsid w:val="006307B4"/>
    <w:rsid w:val="0071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D48696-6534-4C3A-9F09-0BE3677B5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7B4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2578</Characters>
  <Application>Microsoft Office Word</Application>
  <DocSecurity>0</DocSecurity>
  <Lines>21</Lines>
  <Paragraphs>6</Paragraphs>
  <ScaleCrop>false</ScaleCrop>
  <Company>tax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2</cp:revision>
  <dcterms:created xsi:type="dcterms:W3CDTF">2023-08-28T07:02:00Z</dcterms:created>
  <dcterms:modified xsi:type="dcterms:W3CDTF">2023-08-28T07:02:00Z</dcterms:modified>
</cp:coreProperties>
</file>