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D1C" w:rsidRPr="00704D1C" w:rsidRDefault="00704D1C" w:rsidP="00704D1C">
      <w:pPr>
        <w:shd w:val="clear" w:color="auto" w:fill="FFFFFF"/>
        <w:tabs>
          <w:tab w:val="left" w:pos="993"/>
        </w:tabs>
        <w:spacing w:after="0" w:line="240" w:lineRule="auto"/>
        <w:jc w:val="center"/>
        <w:rPr>
          <w:rFonts w:ascii="GHEA Grapalat" w:hAnsi="GHEA Grapalat"/>
          <w:color w:val="000000"/>
          <w:sz w:val="24"/>
          <w:szCs w:val="24"/>
          <w:lang w:eastAsia="hy-AM"/>
        </w:rPr>
      </w:pPr>
      <w:r w:rsidRPr="00704D1C">
        <w:rPr>
          <w:rFonts w:ascii="GHEA Grapalat" w:hAnsi="GHEA Grapalat"/>
          <w:bCs/>
          <w:color w:val="000000"/>
          <w:sz w:val="24"/>
          <w:szCs w:val="24"/>
          <w:lang w:eastAsia="hy-AM"/>
        </w:rPr>
        <w:t>ՀԻՄՆԱՎՈՐՈՒՄ</w:t>
      </w:r>
    </w:p>
    <w:p w:rsidR="00704D1C" w:rsidRPr="00704D1C" w:rsidRDefault="008C279A" w:rsidP="00704D1C">
      <w:pPr>
        <w:shd w:val="clear" w:color="auto" w:fill="FFFFFF"/>
        <w:tabs>
          <w:tab w:val="left" w:pos="993"/>
        </w:tabs>
        <w:spacing w:after="0" w:line="24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w:t>
      </w:r>
      <w:r w:rsidR="00704D1C" w:rsidRPr="00704D1C">
        <w:rPr>
          <w:rFonts w:ascii="GHEA Grapalat" w:hAnsi="GHEA Grapalat"/>
          <w:bCs/>
          <w:color w:val="000000"/>
          <w:sz w:val="24"/>
          <w:szCs w:val="24"/>
          <w:lang w:eastAsia="hy-AM"/>
        </w:rPr>
        <w:t xml:space="preserve">ՈՐՊԵՍ ԺԱՄԱՆԱԿԱՎՈՐ ՊԱՀՊԱՆՄԱՆ ՊԱՀԵՍՏՆԵՐ ԵՎ ՄԱՔՍԱՅԻՆ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ԴՐԱՆՑ ՀԻՄՆՄԱՆ ԵՎ ԳՈՐԾՈՒՆԵՈՒԹՅԱՆ ԿԱՐԳԸ, ԺԱՄԱՆԱԿԱՎՈՐ ՊԱՀՊԱՆՄԱՆ </w:t>
      </w:r>
      <w:r>
        <w:rPr>
          <w:rFonts w:ascii="GHEA Grapalat" w:hAnsi="GHEA Grapalat"/>
          <w:bCs/>
          <w:color w:val="000000"/>
          <w:sz w:val="24"/>
          <w:szCs w:val="24"/>
          <w:lang w:eastAsia="hy-AM"/>
        </w:rPr>
        <w:t>Ա</w:t>
      </w:r>
      <w:r w:rsidR="00704D1C" w:rsidRPr="00704D1C">
        <w:rPr>
          <w:rFonts w:ascii="GHEA Grapalat" w:hAnsi="GHEA Grapalat"/>
          <w:bCs/>
          <w:color w:val="000000"/>
          <w:sz w:val="24"/>
          <w:szCs w:val="24"/>
          <w:lang w:eastAsia="hy-AM"/>
        </w:rPr>
        <w:t xml:space="preserve">ՅԼ ՎԱՅՐԵՐԻՆ ՆԵՐԿԱՅԱՑՎՈՂ ՊԱՀԱՆՋՆԵՐԸ, </w:t>
      </w:r>
      <w:r w:rsidR="004E4B33" w:rsidRPr="004E4B33">
        <w:rPr>
          <w:rFonts w:ascii="GHEA Grapalat" w:hAnsi="GHEA Grapalat"/>
          <w:bCs/>
          <w:color w:val="000000"/>
          <w:sz w:val="24"/>
          <w:szCs w:val="24"/>
          <w:lang w:eastAsia="hy-AM"/>
        </w:rPr>
        <w:t>ՕՐԵՆՔՈՎ</w:t>
      </w:r>
      <w:r w:rsidR="00704D1C" w:rsidRPr="00704D1C">
        <w:rPr>
          <w:rFonts w:ascii="GHEA Grapalat" w:hAnsi="GHEA Grapalat"/>
          <w:bCs/>
          <w:color w:val="000000"/>
          <w:sz w:val="24"/>
          <w:szCs w:val="24"/>
          <w:lang w:eastAsia="hy-AM"/>
        </w:rPr>
        <w:t xml:space="preserve"> ՆԱԽԱՏԵՍՎԱԾ ՊԱՀԱՆՋՆԵՐԻ ՊԱՀՊԱՆՈՒՄԸ ՀԱՎԱՍՏՈՂ ԼԻԱԶՈՐ ՄԱՐՄԻՆՆԵՐԸ ԵՎ ՄԱՔՍԱՅԻՆ ՄԱՐՄԻՆՆԵՐԻՆ ՓԱՍՏԱԹՂԹԵՐԻ ՆԵՐԿԱՅԱՑՄԱՆ ՊԱՐԲԵՐԱԿԱՆՈՒԹՅՈՒՆԸ ՍԱՀՄԱՆԵԼՈՒ ՄԱՍԻՆ</w:t>
      </w:r>
      <w:r>
        <w:rPr>
          <w:rFonts w:ascii="GHEA Grapalat" w:hAnsi="GHEA Grapalat"/>
          <w:bCs/>
          <w:color w:val="000000"/>
          <w:sz w:val="24"/>
          <w:szCs w:val="24"/>
          <w:lang w:eastAsia="hy-AM"/>
        </w:rPr>
        <w:t>» ՀՀ ԿԱՌԱՎԱՐՈՒԹՅԱՆ ՈՐՈՇՄԱՆ ՆԱԽԱԳԾԻ ԸՆԴՈՒՆՄԱՆ</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704D1C">
        <w:rPr>
          <w:rFonts w:ascii="GHEA Grapalat" w:hAnsi="GHEA Grapalat"/>
          <w:b/>
          <w:i/>
          <w:color w:val="000000"/>
          <w:sz w:val="24"/>
          <w:szCs w:val="24"/>
          <w:lang w:eastAsia="hy-AM"/>
        </w:rPr>
        <w:t>Իրավական ակտի ընդունման անհրաժեշտությունը, ընթացիկ իրավիճակը և խնդիրները.</w:t>
      </w:r>
      <w:bookmarkStart w:id="0" w:name="_GoBack"/>
      <w:bookmarkEnd w:id="0"/>
    </w:p>
    <w:p w:rsidR="00704D1C" w:rsidRPr="00704D1C" w:rsidRDefault="00704D1C"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704D1C">
        <w:rPr>
          <w:rFonts w:ascii="GHEA Grapalat" w:hAnsi="GHEA Grapalat"/>
          <w:color w:val="000000"/>
          <w:sz w:val="24"/>
          <w:szCs w:val="24"/>
          <w:lang w:eastAsia="hy-AM"/>
        </w:rPr>
        <w:t>Նախագծի մշակման անհրաժեշտությունը պայմանավորված է «Մաքսային կարգավորման մասին» ՀՕ-353-Ն օրենքի ընդունմամբ, ինչպես նաև ժամանակավոր պահպանության պահեստներում և մաքսային պահեստներում պահպանվող ապրանքների նկատմամբ մաքսային գործառնությունների իրականացման ավտոմատացման և դրա արդյունքում մաքսային հսկողության արդյունավետության բարձրացման հանգամանքով։</w:t>
      </w:r>
    </w:p>
    <w:p w:rsidR="00704D1C" w:rsidRPr="00704D1C" w:rsidRDefault="00704D1C" w:rsidP="00704D1C">
      <w:pPr>
        <w:tabs>
          <w:tab w:val="left" w:pos="993"/>
        </w:tabs>
        <w:spacing w:after="0" w:line="360" w:lineRule="auto"/>
        <w:ind w:firstLine="567"/>
        <w:jc w:val="both"/>
        <w:rPr>
          <w:rFonts w:ascii="GHEA Grapalat" w:hAnsi="GHEA Grapalat"/>
          <w:color w:val="000000"/>
          <w:sz w:val="24"/>
          <w:szCs w:val="24"/>
          <w:lang w:eastAsia="hy-AM"/>
        </w:rPr>
      </w:pPr>
      <w:r w:rsidRPr="00704D1C">
        <w:rPr>
          <w:rFonts w:ascii="GHEA Grapalat" w:hAnsi="GHEA Grapalat"/>
          <w:color w:val="000000"/>
          <w:sz w:val="24"/>
          <w:szCs w:val="24"/>
          <w:lang w:eastAsia="hy-AM"/>
        </w:rPr>
        <w:t>«Մաքսային կարգավորման մասին» օրենքի</w:t>
      </w:r>
      <w:r w:rsidR="008C279A">
        <w:rPr>
          <w:rFonts w:ascii="GHEA Grapalat" w:hAnsi="GHEA Grapalat"/>
          <w:color w:val="000000"/>
          <w:sz w:val="24"/>
          <w:szCs w:val="24"/>
          <w:lang w:eastAsia="hy-AM"/>
        </w:rPr>
        <w:t xml:space="preserve"> 270-րդ հոդվածի </w:t>
      </w:r>
      <w:r w:rsidRPr="00704D1C">
        <w:rPr>
          <w:rFonts w:ascii="GHEA Grapalat" w:hAnsi="GHEA Grapalat"/>
          <w:color w:val="000000"/>
          <w:sz w:val="24"/>
          <w:szCs w:val="24"/>
          <w:lang w:eastAsia="hy-AM"/>
        </w:rPr>
        <w:t xml:space="preserve">3-րդ և 4-րդ մասերի համաձայն՝ նույն հոդվածի 2-րդ մասի 1-ին կետով նախատեսված պահանջների պահպանումը հավաստվում է Կառավարության լիազորած մարմինների տրամադրած գրավոր փաստաթուղթը մաքսային մարմիններ ներկայացնելու միջոցով՝ Կառավարության որոշմամբ սահմանված պարբերականությամբ, իսկ նույն մասում նշված փաստաթուղթն ստանալու և մաքսային մարմիններ ներկայացնելու պարտավորությունը կրում է ժամանակավոր պահպանման պահեստի տիրապետողը: Որպես ժամանակավոր պահպանման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ինչպես նաև դրանց հիմնման և գործունեության կարգը սահմանում է Կառավարությունը: Նույն օրենքի 276-րդ հոդվածի 3-րդ, 4-րդ և 5-րդ մասերի համաձայն՝ նույն հոդվածի 2-րդ մասի 1-ին կետով նախատեսված պահանջների պահպանումը հավաստվում է Կառավարության լիազորած մարմինների տրամադրած գրավոր փաստաթուղթը մաքսային մարմիններ ներկայացնելու միջոցով՝ Կառավարության որոշմամբ սահմանված պարբերականությամբ, իսկ նույն մասում նշված փաստաթուղթն ստանալու և մաքսային մարմիններ ներկայացնելու պարտավորությունը կրում է մաքսային պահեստի տիրապետողը: </w:t>
      </w:r>
      <w:r w:rsidRPr="00704D1C">
        <w:rPr>
          <w:rFonts w:ascii="GHEA Grapalat" w:hAnsi="GHEA Grapalat"/>
          <w:color w:val="000000"/>
          <w:sz w:val="24"/>
          <w:szCs w:val="24"/>
          <w:lang w:eastAsia="hy-AM"/>
        </w:rPr>
        <w:lastRenderedPageBreak/>
        <w:t>Կառավարությունը կարող է սահմանել որպես մաքսային պահեստներ օգտագործվող կամ օգտագործման համար նախատեսվող տարածքների (տարածքների մասերի) կամ բաց հրապարակների տեղակայմանը, սարքավորվածությանը, մակերեսներին ներկայացվող այլ պահանջներ: Մաքսային պահեստների հիմնման և գործունեության կարգը սահմանում է Կառավարությունը: Նույն օրենքի 177-րդ հոդվածի 17-րդ մասով նաև Կառավարությանը վերապահված է մշտական բնակության ժամանող ֆիզիկական անձանց համար ապրանքների պահպանության վայրերին ներկայացվող պահանջների սահմանման իրավասություն։</w:t>
      </w:r>
    </w:p>
    <w:p w:rsidR="001A4CD0" w:rsidRDefault="00704D1C" w:rsidP="00704D1C">
      <w:pPr>
        <w:tabs>
          <w:tab w:val="left" w:pos="993"/>
        </w:tabs>
        <w:spacing w:after="0" w:line="360" w:lineRule="auto"/>
        <w:ind w:firstLine="567"/>
        <w:jc w:val="both"/>
        <w:rPr>
          <w:rFonts w:ascii="GHEA Grapalat" w:hAnsi="GHEA Grapalat"/>
          <w:color w:val="000000"/>
          <w:sz w:val="24"/>
          <w:szCs w:val="24"/>
          <w:lang w:eastAsia="hy-AM"/>
        </w:rPr>
      </w:pPr>
      <w:r w:rsidRPr="00704D1C">
        <w:rPr>
          <w:rFonts w:ascii="GHEA Grapalat" w:hAnsi="GHEA Grapalat"/>
          <w:color w:val="000000"/>
          <w:sz w:val="24"/>
          <w:szCs w:val="24"/>
          <w:lang w:eastAsia="hy-AM"/>
        </w:rPr>
        <w:t xml:space="preserve">Վերը նշված նորմերի կիրարկման նպատակով նախագծով նախատեսվում է վերանայել ժամանակավոր պահպանության պահեստներին և մաքսային պահեստներին ներկայացվող պահանջները՝ սահմանելով նաև նոր պահանջներ, որոնց ներդրման արդյունքում </w:t>
      </w:r>
      <w:proofErr w:type="spellStart"/>
      <w:r w:rsidRPr="00704D1C">
        <w:rPr>
          <w:rFonts w:ascii="GHEA Grapalat" w:hAnsi="GHEA Grapalat"/>
          <w:color w:val="000000"/>
          <w:sz w:val="24"/>
          <w:szCs w:val="24"/>
          <w:lang w:eastAsia="hy-AM"/>
        </w:rPr>
        <w:t>կարագացվեն</w:t>
      </w:r>
      <w:proofErr w:type="spellEnd"/>
      <w:r w:rsidRPr="00704D1C">
        <w:rPr>
          <w:rFonts w:ascii="GHEA Grapalat" w:hAnsi="GHEA Grapalat"/>
          <w:color w:val="000000"/>
          <w:sz w:val="24"/>
          <w:szCs w:val="24"/>
          <w:lang w:eastAsia="hy-AM"/>
        </w:rPr>
        <w:t xml:space="preserve"> և </w:t>
      </w:r>
      <w:proofErr w:type="spellStart"/>
      <w:r w:rsidRPr="00704D1C">
        <w:rPr>
          <w:rFonts w:ascii="GHEA Grapalat" w:hAnsi="GHEA Grapalat"/>
          <w:color w:val="000000"/>
          <w:sz w:val="24"/>
          <w:szCs w:val="24"/>
          <w:lang w:eastAsia="hy-AM"/>
        </w:rPr>
        <w:t>կպարզեցվեն</w:t>
      </w:r>
      <w:proofErr w:type="spellEnd"/>
      <w:r w:rsidRPr="00704D1C">
        <w:rPr>
          <w:rFonts w:ascii="GHEA Grapalat" w:hAnsi="GHEA Grapalat"/>
          <w:color w:val="000000"/>
          <w:sz w:val="24"/>
          <w:szCs w:val="24"/>
          <w:lang w:eastAsia="hy-AM"/>
        </w:rPr>
        <w:t xml:space="preserve"> ապրանքների և տրանսպորտային միջոցների նկատմամբ մաքսային մարմինների կողմից իրականացվող գործառնությունները՝ ապահովելով մաքսային մարմինների կողմից իրականացվող հսկողության արդյունավետությունը։</w:t>
      </w:r>
    </w:p>
    <w:p w:rsidR="00704D1C" w:rsidRPr="00704D1C" w:rsidRDefault="001A4CD0" w:rsidP="00704D1C">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Միաժամանակ, նախագծով նախատեսվում է նաև սահմանել ժամանակավոր պահպանության այլ վայրերին ներկայացվող համապատասխան պահանջները։</w:t>
      </w:r>
      <w:r w:rsidR="00704D1C" w:rsidRPr="00704D1C">
        <w:rPr>
          <w:rFonts w:ascii="GHEA Grapalat" w:hAnsi="GHEA Grapalat"/>
          <w:color w:val="000000"/>
          <w:sz w:val="24"/>
          <w:szCs w:val="24"/>
          <w:lang w:eastAsia="hy-AM"/>
        </w:rPr>
        <w:t xml:space="preserve">   </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704D1C">
        <w:rPr>
          <w:rFonts w:ascii="GHEA Grapalat" w:hAnsi="GHEA Grapalat"/>
          <w:b/>
          <w:i/>
          <w:color w:val="000000"/>
          <w:sz w:val="24"/>
          <w:szCs w:val="24"/>
          <w:lang w:eastAsia="hy-AM"/>
        </w:rPr>
        <w:t>Կարգավորման առարկան, ակնկալվող արդյունքը.</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704D1C">
        <w:rPr>
          <w:rFonts w:ascii="GHEA Grapalat" w:hAnsi="GHEA Grapalat"/>
          <w:color w:val="000000"/>
          <w:sz w:val="24"/>
          <w:szCs w:val="24"/>
          <w:lang w:eastAsia="hy-AM"/>
        </w:rPr>
        <w:t>Նախագծով մասնավորապես նախատեսվում է սահմանել՝</w:t>
      </w:r>
    </w:p>
    <w:p w:rsidR="00704D1C" w:rsidRPr="001A4CD0" w:rsidRDefault="00704D1C"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1A4CD0">
        <w:rPr>
          <w:rFonts w:ascii="GHEA Grapalat" w:hAnsi="GHEA Grapalat"/>
          <w:color w:val="000000"/>
          <w:sz w:val="24"/>
          <w:szCs w:val="24"/>
          <w:lang w:eastAsia="hy-AM"/>
        </w:rPr>
        <w:t>1</w:t>
      </w:r>
      <w:r w:rsidRPr="001A4CD0">
        <w:rPr>
          <w:rFonts w:ascii="Cambria Math" w:hAnsi="Cambria Math" w:cs="Cambria Math"/>
          <w:color w:val="000000"/>
          <w:sz w:val="24"/>
          <w:szCs w:val="24"/>
          <w:lang w:eastAsia="hy-AM"/>
        </w:rPr>
        <w:t>․</w:t>
      </w:r>
      <w:r w:rsidRPr="001A4CD0">
        <w:rPr>
          <w:rFonts w:ascii="GHEA Grapalat" w:hAnsi="GHEA Grapalat"/>
          <w:color w:val="000000"/>
          <w:sz w:val="24"/>
          <w:szCs w:val="24"/>
          <w:lang w:eastAsia="hy-AM"/>
        </w:rPr>
        <w:t xml:space="preserve"> Ժամանակավոր պահպանության պահեստներին ներկայացվող պահանջները՝ դրանք տարբերակելով նաև ըստ փոխադրողների, ինչի արդյունքում փոքրածավալ բեռներ փոխադրողների համար կնախատեսվեն ապրանքների ժամանակավոր պահպանության առավել մեղմ չափանիշներ՝ նշված անձանց կողմից տեղափոխվող բեռները սեփական պահեստներում պահպանելու նպատակով</w:t>
      </w:r>
      <w:r w:rsidRPr="001A4CD0">
        <w:rPr>
          <w:rFonts w:ascii="Cambria Math" w:hAnsi="Cambria Math" w:cs="Cambria Math"/>
          <w:color w:val="000000"/>
          <w:sz w:val="24"/>
          <w:szCs w:val="24"/>
          <w:lang w:eastAsia="hy-AM"/>
        </w:rPr>
        <w:t>․</w:t>
      </w:r>
    </w:p>
    <w:p w:rsidR="00704D1C" w:rsidRPr="001A4CD0" w:rsidRDefault="00704D1C" w:rsidP="00704D1C">
      <w:pPr>
        <w:shd w:val="clear" w:color="auto" w:fill="FFFFFF"/>
        <w:tabs>
          <w:tab w:val="left" w:pos="993"/>
        </w:tabs>
        <w:spacing w:after="0" w:line="360" w:lineRule="auto"/>
        <w:ind w:firstLine="567"/>
        <w:jc w:val="both"/>
        <w:rPr>
          <w:rFonts w:ascii="GHEA Grapalat" w:hAnsi="GHEA Grapalat" w:cs="Cambria Math"/>
          <w:color w:val="000000"/>
          <w:sz w:val="24"/>
          <w:szCs w:val="24"/>
          <w:lang w:eastAsia="hy-AM"/>
        </w:rPr>
      </w:pPr>
      <w:r w:rsidRPr="001A4CD0">
        <w:rPr>
          <w:rFonts w:ascii="GHEA Grapalat" w:hAnsi="GHEA Grapalat"/>
          <w:color w:val="000000"/>
          <w:sz w:val="24"/>
          <w:szCs w:val="24"/>
          <w:lang w:eastAsia="hy-AM"/>
        </w:rPr>
        <w:t>2</w:t>
      </w:r>
      <w:r w:rsidRPr="001A4CD0">
        <w:rPr>
          <w:rFonts w:ascii="Cambria Math" w:hAnsi="Cambria Math" w:cs="Cambria Math"/>
          <w:color w:val="000000"/>
          <w:sz w:val="24"/>
          <w:szCs w:val="24"/>
          <w:lang w:eastAsia="hy-AM"/>
        </w:rPr>
        <w:t>․</w:t>
      </w:r>
      <w:r w:rsidRPr="001A4CD0">
        <w:rPr>
          <w:rFonts w:ascii="GHEA Grapalat" w:hAnsi="GHEA Grapalat"/>
          <w:color w:val="000000"/>
          <w:sz w:val="24"/>
          <w:szCs w:val="24"/>
          <w:lang w:eastAsia="hy-AM"/>
        </w:rPr>
        <w:t xml:space="preserve"> Մաքսային պահեստներին ներկայացվող պահանջները</w:t>
      </w:r>
      <w:r w:rsidRPr="001A4CD0">
        <w:rPr>
          <w:rFonts w:ascii="Cambria Math" w:hAnsi="Cambria Math" w:cs="Cambria Math"/>
          <w:color w:val="000000"/>
          <w:sz w:val="24"/>
          <w:szCs w:val="24"/>
          <w:lang w:eastAsia="hy-AM"/>
        </w:rPr>
        <w:t>․</w:t>
      </w:r>
    </w:p>
    <w:p w:rsidR="001A4CD0" w:rsidRPr="001A4CD0" w:rsidRDefault="001A4CD0"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1A4CD0">
        <w:rPr>
          <w:rFonts w:ascii="GHEA Grapalat" w:hAnsi="GHEA Grapalat" w:cs="Cambria Math"/>
          <w:color w:val="000000"/>
          <w:sz w:val="24"/>
          <w:szCs w:val="24"/>
          <w:lang w:eastAsia="hy-AM"/>
        </w:rPr>
        <w:t>3</w:t>
      </w:r>
      <w:r w:rsidRPr="001A4CD0">
        <w:rPr>
          <w:rFonts w:ascii="Cambria Math" w:hAnsi="Cambria Math" w:cs="Cambria Math"/>
          <w:color w:val="000000"/>
          <w:sz w:val="24"/>
          <w:szCs w:val="24"/>
          <w:lang w:eastAsia="hy-AM"/>
        </w:rPr>
        <w:t>․</w:t>
      </w:r>
      <w:r w:rsidRPr="001A4CD0">
        <w:rPr>
          <w:rFonts w:ascii="GHEA Grapalat" w:hAnsi="GHEA Grapalat" w:cs="Cambria Math"/>
          <w:color w:val="000000"/>
          <w:sz w:val="24"/>
          <w:szCs w:val="24"/>
          <w:lang w:eastAsia="hy-AM"/>
        </w:rPr>
        <w:t xml:space="preserve"> Ժամանակավոր պահպանության այլ վայրերին ներկայացվող պահանջները</w:t>
      </w:r>
      <w:r w:rsidRPr="001A4CD0">
        <w:rPr>
          <w:rFonts w:ascii="Cambria Math" w:hAnsi="Cambria Math" w:cs="Cambria Math"/>
          <w:color w:val="000000"/>
          <w:sz w:val="24"/>
          <w:szCs w:val="24"/>
          <w:lang w:eastAsia="hy-AM"/>
        </w:rPr>
        <w:t>․</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1A4CD0">
        <w:rPr>
          <w:rFonts w:ascii="GHEA Grapalat" w:hAnsi="GHEA Grapalat"/>
          <w:color w:val="000000"/>
          <w:sz w:val="24"/>
          <w:szCs w:val="24"/>
          <w:lang w:eastAsia="hy-AM"/>
        </w:rPr>
        <w:t>3</w:t>
      </w:r>
      <w:r w:rsidRPr="001A4CD0">
        <w:rPr>
          <w:rFonts w:ascii="Cambria Math" w:hAnsi="Cambria Math" w:cs="Cambria Math"/>
          <w:color w:val="000000"/>
          <w:sz w:val="24"/>
          <w:szCs w:val="24"/>
          <w:lang w:eastAsia="hy-AM"/>
        </w:rPr>
        <w:t>․</w:t>
      </w:r>
      <w:r w:rsidRPr="001A4CD0">
        <w:rPr>
          <w:rFonts w:ascii="GHEA Grapalat" w:hAnsi="GHEA Grapalat"/>
          <w:color w:val="000000"/>
          <w:sz w:val="24"/>
          <w:szCs w:val="24"/>
          <w:lang w:eastAsia="hy-AM"/>
        </w:rPr>
        <w:t xml:space="preserve"> Ապրանքների պահպանության համար անհրաժեշտ սանիտարահիգիենիկ պատշաճ պայմանների, շինությունների պահպանության պահնորդաազդանշանային և հրդեհային</w:t>
      </w:r>
      <w:r w:rsidRPr="00704D1C">
        <w:rPr>
          <w:rFonts w:ascii="GHEA Grapalat" w:hAnsi="GHEA Grapalat"/>
          <w:color w:val="000000"/>
          <w:sz w:val="24"/>
          <w:szCs w:val="24"/>
          <w:lang w:eastAsia="hy-AM"/>
        </w:rPr>
        <w:t xml:space="preserve"> անվտանգության կանոնների, ինչպես նաև շինությունների նպատակային նշանակությամբ շահագործման անվտանգության պահանջների պահպանվածությունը հաստատող լիազոր մարմիններ։</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704D1C">
        <w:rPr>
          <w:rFonts w:ascii="GHEA Grapalat" w:hAnsi="GHEA Grapalat"/>
          <w:color w:val="000000"/>
          <w:sz w:val="24"/>
          <w:szCs w:val="24"/>
          <w:lang w:eastAsia="hy-AM"/>
        </w:rPr>
        <w:lastRenderedPageBreak/>
        <w:t>Նախագծի ընդունման արդյունքում ակնկալվում է ժամանակավոր պահպանության պահեստներում և մաքսային պահեստներում պահպանվող ապրանքների նկատմամբ մաքսային գործառնությունների ավտոմատացու</w:t>
      </w:r>
      <w:r>
        <w:rPr>
          <w:rFonts w:ascii="GHEA Grapalat" w:hAnsi="GHEA Grapalat"/>
          <w:color w:val="000000"/>
          <w:sz w:val="24"/>
          <w:szCs w:val="24"/>
          <w:lang w:eastAsia="hy-AM"/>
        </w:rPr>
        <w:t>մ</w:t>
      </w:r>
      <w:r w:rsidRPr="00704D1C">
        <w:rPr>
          <w:rFonts w:ascii="GHEA Grapalat" w:hAnsi="GHEA Grapalat"/>
          <w:color w:val="000000"/>
          <w:sz w:val="24"/>
          <w:szCs w:val="24"/>
          <w:lang w:eastAsia="hy-AM"/>
        </w:rPr>
        <w:t>, պարզեցում և մաքսային մարմինների կողմից իրականացվող մաքսային հսկողության արդյունավետության բարձրացում։</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704D1C">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4115" w:rsidRPr="005B4115" w:rsidRDefault="005B4115" w:rsidP="005B4115">
      <w:pPr>
        <w:shd w:val="clear" w:color="auto" w:fill="FFFFFF"/>
        <w:tabs>
          <w:tab w:val="left" w:pos="993"/>
        </w:tabs>
        <w:spacing w:after="0" w:line="360" w:lineRule="auto"/>
        <w:ind w:firstLine="567"/>
        <w:jc w:val="both"/>
        <w:rPr>
          <w:rFonts w:ascii="GHEA Grapalat" w:hAnsi="GHEA Grapalat"/>
          <w:bCs/>
          <w:color w:val="000000"/>
          <w:sz w:val="24"/>
          <w:szCs w:val="24"/>
          <w:lang w:eastAsia="hy-AM"/>
        </w:rPr>
      </w:pPr>
      <w:r w:rsidRPr="005B4115">
        <w:rPr>
          <w:rFonts w:ascii="GHEA Grapalat" w:hAnsi="GHEA Grapalat"/>
          <w:color w:val="000000"/>
          <w:sz w:val="24"/>
          <w:szCs w:val="24"/>
          <w:lang w:eastAsia="hy-AM"/>
        </w:rPr>
        <w:t xml:space="preserve">Նախագիծն առնչվում </w:t>
      </w:r>
      <w:r>
        <w:rPr>
          <w:rFonts w:ascii="GHEA Grapalat" w:hAnsi="GHEA Grapalat"/>
          <w:color w:val="000000"/>
          <w:sz w:val="24"/>
          <w:szCs w:val="24"/>
          <w:lang w:eastAsia="hy-AM"/>
        </w:rPr>
        <w:t>է</w:t>
      </w:r>
      <w:r w:rsidRPr="005B4115">
        <w:rPr>
          <w:rFonts w:ascii="GHEA Grapalat" w:hAnsi="GHEA Grapalat"/>
          <w:color w:val="000000"/>
          <w:sz w:val="24"/>
          <w:szCs w:val="24"/>
          <w:lang w:eastAsia="hy-AM"/>
        </w:rPr>
        <w:t xml:space="preserve"> Հայաստանի Հանրապետության կառավարության 12</w:t>
      </w:r>
      <w:r w:rsidRPr="005B4115">
        <w:rPr>
          <w:rFonts w:ascii="GHEA Grapalat" w:hAnsi="GHEA Grapalat" w:cs="Cambria Math"/>
          <w:color w:val="000000"/>
          <w:sz w:val="24"/>
          <w:szCs w:val="24"/>
          <w:lang w:eastAsia="hy-AM"/>
        </w:rPr>
        <w:t>.</w:t>
      </w:r>
      <w:r w:rsidRPr="005B4115">
        <w:rPr>
          <w:rFonts w:ascii="GHEA Grapalat" w:hAnsi="GHEA Grapalat"/>
          <w:color w:val="000000"/>
          <w:sz w:val="24"/>
          <w:szCs w:val="24"/>
          <w:lang w:eastAsia="hy-AM"/>
        </w:rPr>
        <w:t>12</w:t>
      </w:r>
      <w:r w:rsidRPr="005B4115">
        <w:rPr>
          <w:rFonts w:ascii="GHEA Grapalat" w:hAnsi="GHEA Grapalat" w:cs="Cambria Math"/>
          <w:color w:val="000000"/>
          <w:sz w:val="24"/>
          <w:szCs w:val="24"/>
          <w:lang w:eastAsia="hy-AM"/>
        </w:rPr>
        <w:t>.</w:t>
      </w:r>
      <w:r w:rsidRPr="005B4115">
        <w:rPr>
          <w:rFonts w:ascii="GHEA Grapalat" w:hAnsi="GHEA Grapalat"/>
          <w:color w:val="000000"/>
          <w:sz w:val="24"/>
          <w:szCs w:val="24"/>
          <w:lang w:eastAsia="hy-AM"/>
        </w:rPr>
        <w:t>2019թ</w:t>
      </w:r>
      <w:r w:rsidRPr="005B4115">
        <w:rPr>
          <w:rFonts w:ascii="GHEA Grapalat" w:hAnsi="GHEA Grapalat" w:cs="Cambria Math"/>
          <w:color w:val="000000"/>
          <w:sz w:val="24"/>
          <w:szCs w:val="24"/>
          <w:lang w:eastAsia="hy-AM"/>
        </w:rPr>
        <w:t>.</w:t>
      </w:r>
      <w:r w:rsidRPr="005B4115">
        <w:rPr>
          <w:rFonts w:ascii="GHEA Grapalat" w:hAnsi="GHEA Grapalat"/>
          <w:color w:val="000000"/>
          <w:sz w:val="24"/>
          <w:szCs w:val="24"/>
          <w:lang w:eastAsia="hy-AM"/>
        </w:rPr>
        <w:t xml:space="preserve"> N1830-Լ որոշմամբ հաստատված՝ Հայաստանի Հանրապետության պետական եկամուտների կոմիտեի զարգացման և վարչարարության բարելավման ռազմավարության </w:t>
      </w:r>
      <w:r w:rsidRPr="005B4115">
        <w:rPr>
          <w:rFonts w:ascii="GHEA Grapalat" w:hAnsi="GHEA Grapalat"/>
          <w:bCs/>
          <w:color w:val="000000"/>
          <w:sz w:val="24"/>
          <w:szCs w:val="24"/>
          <w:lang w:eastAsia="hy-AM"/>
        </w:rPr>
        <w:t>2.1.4-րդ կետին (մաքսային հսկողության արդյունավետության բարձրացում)։</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704D1C">
        <w:rPr>
          <w:rFonts w:ascii="GHEA Grapalat" w:hAnsi="GHEA Grapalat"/>
          <w:b/>
          <w:i/>
          <w:color w:val="000000"/>
          <w:sz w:val="24"/>
          <w:szCs w:val="24"/>
          <w:lang w:eastAsia="hy-AM"/>
        </w:rPr>
        <w:t xml:space="preserve">Նախագծի մշակման գործընթացում ներգրավված ինստիտուտները և անձինք. </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sidRPr="00704D1C">
        <w:rPr>
          <w:rFonts w:ascii="GHEA Grapalat" w:hAnsi="GHEA Grapalat"/>
          <w:color w:val="000000"/>
          <w:sz w:val="24"/>
          <w:szCs w:val="24"/>
          <w:lang w:eastAsia="hy-AM"/>
        </w:rPr>
        <w:t>Նախագիծը մշակվել է Հայաստանի Հանրապետության պետական եկամուտների կոմիտեի կողմից:</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704D1C">
        <w:rPr>
          <w:rFonts w:ascii="GHEA Grapalat" w:hAnsi="GHEA Grapalat"/>
          <w:b/>
          <w:i/>
          <w:color w:val="000000"/>
          <w:sz w:val="24"/>
          <w:szCs w:val="24"/>
          <w:lang w:eastAsia="hy-AM"/>
        </w:rPr>
        <w:t>Լրացուցիչ ֆինանսական միջոցների անհրաժեշտության վերաբերյալ.</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704D1C">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sidRPr="00704D1C">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sidRPr="00704D1C">
        <w:rPr>
          <w:rFonts w:ascii="GHEA Grapalat" w:hAnsi="GHEA Grapalat"/>
          <w:color w:val="000000"/>
          <w:sz w:val="24"/>
          <w:szCs w:val="24"/>
          <w:lang w:eastAsia="hy-AM"/>
        </w:rPr>
        <w:t xml:space="preserve">Նախագծի </w:t>
      </w:r>
      <w:r w:rsidRPr="00704D1C">
        <w:rPr>
          <w:rFonts w:ascii="GHEA Grapalat" w:hAnsi="GHEA Grapalat"/>
          <w:bCs/>
          <w:color w:val="000000"/>
          <w:sz w:val="24"/>
          <w:szCs w:val="24"/>
          <w:lang w:eastAsia="hy-AM"/>
        </w:rPr>
        <w:t xml:space="preserve">ընդունմամբ </w:t>
      </w:r>
      <w:r w:rsidRPr="00704D1C">
        <w:rPr>
          <w:rFonts w:ascii="GHEA Grapalat" w:hAnsi="GHEA Grapalat"/>
          <w:color w:val="000000"/>
          <w:sz w:val="24"/>
          <w:szCs w:val="24"/>
          <w:lang w:eastAsia="hy-AM"/>
        </w:rPr>
        <w:t xml:space="preserve">Հայաստանի Հանրապետության </w:t>
      </w:r>
      <w:r w:rsidRPr="00704D1C">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704D1C" w:rsidRPr="00704D1C" w:rsidRDefault="00704D1C" w:rsidP="00704D1C">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CA5AD3" w:rsidRPr="00704D1C" w:rsidRDefault="00CA5AD3"/>
    <w:sectPr w:rsidR="00CA5AD3" w:rsidRPr="00704D1C" w:rsidSect="004E4B33">
      <w:pgSz w:w="11906" w:h="16838"/>
      <w:pgMar w:top="1134" w:right="567" w:bottom="567"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D1C"/>
    <w:rsid w:val="001A0D63"/>
    <w:rsid w:val="001A4CD0"/>
    <w:rsid w:val="00430EC9"/>
    <w:rsid w:val="00463E91"/>
    <w:rsid w:val="004E4B33"/>
    <w:rsid w:val="005B4115"/>
    <w:rsid w:val="00704D1C"/>
    <w:rsid w:val="008C279A"/>
    <w:rsid w:val="00CA5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ADB00E-FB83-450E-8935-A4DBD3844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D1C"/>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67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https://mul2-taxservice.gov.am/tasks/2347284/oneclick/Himnavorum_Pahestner.docx?token=cb97684cea84658d12a137c4dadc3271</cp:keywords>
  <dc:description/>
  <cp:lastModifiedBy>Tigran Palyan</cp:lastModifiedBy>
  <cp:revision>7</cp:revision>
  <dcterms:created xsi:type="dcterms:W3CDTF">2023-01-23T13:07:00Z</dcterms:created>
  <dcterms:modified xsi:type="dcterms:W3CDTF">2023-06-12T12:58:00Z</dcterms:modified>
</cp:coreProperties>
</file>