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A89" w:rsidRDefault="006D1D47">
      <w:pPr>
        <w:pStyle w:val="headingtitleStyle"/>
      </w:pPr>
      <w:bookmarkStart w:id="0" w:name="_Toc1"/>
      <w:r>
        <w:t>Ամփոփաթերթ</w:t>
      </w:r>
      <w:bookmarkEnd w:id="0"/>
    </w:p>
    <w:p w:rsidR="00254A89" w:rsidRDefault="006D1D47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հարկային</w:t>
      </w:r>
      <w:r>
        <w:t xml:space="preserve"> </w:t>
      </w:r>
      <w:r>
        <w:t>օրենսգրքում</w:t>
      </w:r>
      <w:r>
        <w:t xml:space="preserve"> </w:t>
      </w:r>
      <w:r>
        <w:t>փոփոխություն</w:t>
      </w:r>
      <w:r>
        <w:t xml:space="preserve"> </w:t>
      </w:r>
      <w:r>
        <w:t>և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և</w:t>
      </w:r>
      <w:r>
        <w:t xml:space="preserve"> ««</w:t>
      </w:r>
      <w:r>
        <w:t>Սնանկության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օրենքների</w:t>
      </w:r>
      <w:r>
        <w:t xml:space="preserve"> </w:t>
      </w:r>
      <w:r>
        <w:t>նախագծեր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254A89" w:rsidRDefault="00254A89"/>
    <w:p w:rsidR="00254A89" w:rsidRDefault="00254A89"/>
    <w:p w:rsidR="00254A89" w:rsidRDefault="00254A89"/>
    <w:tbl>
      <w:tblPr>
        <w:tblW w:w="15120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85"/>
        <w:gridCol w:w="4815"/>
        <w:gridCol w:w="5046"/>
        <w:gridCol w:w="2610"/>
      </w:tblGrid>
      <w:tr w:rsidR="00254A89" w:rsidTr="007A3B16">
        <w:tblPrEx>
          <w:tblCellMar>
            <w:top w:w="0" w:type="dxa"/>
            <w:bottom w:w="0" w:type="dxa"/>
          </w:tblCellMar>
        </w:tblPrEx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4A89" w:rsidRDefault="006D1D4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254A89" w:rsidRDefault="006D1D4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4A89" w:rsidRDefault="006D1D4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4A89" w:rsidRDefault="006D1D4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50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4A89" w:rsidRDefault="006D1D4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4A89" w:rsidRDefault="006D1D4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54A89" w:rsidTr="007A3B16">
        <w:tblPrEx>
          <w:tblCellMar>
            <w:top w:w="0" w:type="dxa"/>
            <w:bottom w:w="0" w:type="dxa"/>
          </w:tblCellMar>
        </w:tblPrEx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4A89" w:rsidRDefault="00254A89">
            <w:pPr>
              <w:jc w:val="center"/>
            </w:pP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4A89" w:rsidRDefault="006D1D4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4A89" w:rsidRDefault="006D1D4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0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4A89" w:rsidRDefault="006D1D4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54A89" w:rsidRDefault="006D1D4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54A89" w:rsidRPr="007A3B16" w:rsidTr="007A3B16">
        <w:tblPrEx>
          <w:tblCellMar>
            <w:top w:w="0" w:type="dxa"/>
            <w:bottom w:w="0" w:type="dxa"/>
          </w:tblCellMar>
        </w:tblPrEx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4A89" w:rsidRDefault="006D1D4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4A89" w:rsidRDefault="006D1D4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Ալոյան</w:t>
            </w:r>
            <w:proofErr w:type="spellEnd"/>
          </w:p>
          <w:p w:rsidR="00254A89" w:rsidRDefault="006D1D4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10.06.2023 12:32:10</w:t>
            </w:r>
          </w:p>
        </w:tc>
        <w:tc>
          <w:tcPr>
            <w:tcW w:w="4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4A89" w:rsidRDefault="006D1D47" w:rsidP="007A3B16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չծանրաբեռնված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տարընկալումների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արգելանքները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ՊԷԿ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պարտապանին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սնանկ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վճիռն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ապահհո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ՊԷԿ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կոտնահարվեն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պարտատերերի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վերջիննեսրիս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կդառնա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ՊԷԿ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պարտատիրոջ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Խնդրահարույց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պահանջերնի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50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A3B16" w:rsidRPr="00B21C9B" w:rsidRDefault="007A3B16" w:rsidP="007A3B1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B21C9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Չի ընդունվել </w:t>
            </w: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7A3B16" w:rsidRPr="00B21C9B" w:rsidRDefault="007A3B16" w:rsidP="007A3B16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86" w:right="170" w:firstLine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1C9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քաղաքացիական օրենսգրքի 225.1-րդ հոդվածի 1-ին մասի համաձայն՝ ապահովված իրավունքը </w:t>
            </w:r>
            <w:r w:rsidRPr="00B21C9B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օրենքի</w:t>
            </w: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պայմանագրի </w:t>
            </w:r>
            <w:r w:rsidRPr="00B21C9B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ուժով</w:t>
            </w: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 ապահովումն պարտավորության կատարման, գույքի կամ գույքային իրավունքի կամ </w:t>
            </w: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պարտավորական իրավունքի նկատմամբ պարտատիրոջ իրավունքն է:</w:t>
            </w:r>
          </w:p>
          <w:p w:rsidR="007A3B16" w:rsidRPr="00B21C9B" w:rsidRDefault="007A3B16" w:rsidP="007A3B16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86" w:right="170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Օրենսգրքի 429-րդ հոդվածի համաձայն</w:t>
            </w:r>
            <w:r w:rsidRPr="00B21C9B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՝ </w:t>
            </w: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 արգելանքը հարկային պարտավորության կատարումն ապահովելու նպատակով հարկ վճարողի գույքային իրավունքների սահմանափակմանն ուղղված՝ հարկային մարմնի կողմից իրականացվող գործողություն է:</w:t>
            </w:r>
          </w:p>
          <w:p w:rsidR="007A3B16" w:rsidRPr="00B21C9B" w:rsidRDefault="007A3B16" w:rsidP="007A3B16">
            <w:pPr>
              <w:spacing w:line="240" w:lineRule="auto"/>
              <w:ind w:left="86" w:right="170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Վերը նշված իրավանորմերի համակարգային մեկնաբանությունը թույլ է տալիս փաստելու, որ որպես հարկային պարտավորությունների կատարումն ապահովող միջոց` մինչև սնանկության վարույթի հարուցումը կիրառված արգելանքը՝ </w:t>
            </w:r>
            <w:r w:rsidRPr="00B21C9B">
              <w:rPr>
                <w:rFonts w:ascii="GHEA Grapalat" w:hAnsi="GHEA Grapalat" w:cs="Sylfaen"/>
                <w:sz w:val="24"/>
                <w:szCs w:val="24"/>
                <w:u w:val="single"/>
                <w:lang w:val="hy-AM"/>
              </w:rPr>
              <w:t>օրենքի ուժով</w:t>
            </w: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հարկային պարտավորության կատարումն ապահովելու նպատակով հարկ վճարողի գույքային իրավունքների սահմանափակմանն ուղղված՝ հարկային մարմնի կողմից իրականացվող գործողություն է: Հետևաբար արգելանքը ևս հարկային մարմնի պահանջը ծանրաբեռնում է ապահովված իրավունքով:</w:t>
            </w:r>
          </w:p>
          <w:p w:rsidR="00254A89" w:rsidRPr="007A3B16" w:rsidRDefault="007A3B16" w:rsidP="007A3B16">
            <w:pPr>
              <w:spacing w:line="240" w:lineRule="auto"/>
              <w:ind w:left="86" w:right="170"/>
              <w:jc w:val="both"/>
              <w:rPr>
                <w:lang w:val="hy-AM"/>
              </w:rPr>
            </w:pP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Սակայն նկատի  ունենալով, որ Օրենքի 43-րդ հոդվածում ապահովված իրավունքով ծանրաբեռնված պահանջը համարվում է ապահովված պահանջ, իսկ Օրենքի 44-րդ հոդվածում օրենսդիրը ապահովված իրավունքին չի անդրադառնում, անհրաժեշտ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ություն</w:t>
            </w: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առաջացել</w:t>
            </w:r>
            <w:r w:rsidRPr="00B21C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21C9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21C9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Սնանկության մասին օրենքում</w:t>
            </w:r>
            <w:r w:rsidRPr="00B21C9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փոփոխություն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</w:t>
            </w:r>
            <w:r w:rsidRPr="00B21C9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լրացում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</w:t>
            </w:r>
            <w:r w:rsidRPr="00B21C9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կատարելու մասին» օրենքի նախագծի 7-րդ հոդվածով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Օրենքի 44-րդ հոդվածում կատարել համապատասխան փոփոխություն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54A89" w:rsidRPr="007A3B16" w:rsidRDefault="00254A89">
            <w:pPr>
              <w:jc w:val="center"/>
              <w:rPr>
                <w:lang w:val="hy-AM"/>
              </w:rPr>
            </w:pPr>
          </w:p>
        </w:tc>
      </w:tr>
    </w:tbl>
    <w:p w:rsidR="006D1D47" w:rsidRPr="007A3B16" w:rsidRDefault="006D1D47">
      <w:pPr>
        <w:rPr>
          <w:lang w:val="hy-AM"/>
        </w:rPr>
      </w:pPr>
      <w:bookmarkStart w:id="2" w:name="_GoBack"/>
      <w:bookmarkEnd w:id="2"/>
    </w:p>
    <w:sectPr w:rsidR="006D1D47" w:rsidRPr="007A3B1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755A5"/>
    <w:multiLevelType w:val="hybridMultilevel"/>
    <w:tmpl w:val="BFF24B36"/>
    <w:lvl w:ilvl="0" w:tplc="72EAFB20">
      <w:start w:val="1"/>
      <w:numFmt w:val="decimal"/>
      <w:lvlText w:val="%1)"/>
      <w:lvlJc w:val="left"/>
      <w:pPr>
        <w:ind w:left="720" w:hanging="360"/>
      </w:pPr>
      <w:rPr>
        <w:rFonts w:ascii="Cambria Math" w:eastAsia="Times New Roman" w:hAnsi="Cambria Math" w:cs="Times New Roman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A89"/>
    <w:rsid w:val="00254A89"/>
    <w:rsid w:val="003972C0"/>
    <w:rsid w:val="006D1D47"/>
    <w:rsid w:val="007A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7A3B16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A3B16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7A3B16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A3B16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Asatryan</dc:creator>
  <cp:lastModifiedBy>Marine Asatryan</cp:lastModifiedBy>
  <cp:revision>3</cp:revision>
  <cp:lastPrinted>2023-06-15T14:40:00Z</cp:lastPrinted>
  <dcterms:created xsi:type="dcterms:W3CDTF">2023-06-15T14:40:00Z</dcterms:created>
  <dcterms:modified xsi:type="dcterms:W3CDTF">2023-06-15T14:51:00Z</dcterms:modified>
</cp:coreProperties>
</file>