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C5D" w:rsidRDefault="000A3BCA">
      <w:pPr>
        <w:pStyle w:val="headingtitleStyle"/>
      </w:pPr>
      <w:bookmarkStart w:id="0" w:name="_Toc1"/>
      <w:r>
        <w:t>Ամփոփաթերթ</w:t>
      </w:r>
      <w:bookmarkEnd w:id="0"/>
    </w:p>
    <w:p w:rsidR="00A24C5D" w:rsidRDefault="000A3BCA">
      <w:pPr>
        <w:pStyle w:val="headingtitleStyle"/>
      </w:pPr>
      <w:bookmarkStart w:id="1" w:name="_Toc2"/>
      <w:r>
        <w:t>ՀԱՅԱՍՏԱՆԻ ՀԱՆՐԱՊԵՏՈՒԹՅԱՆ ՆԵՐԴՐՈՒ</w:t>
      </w:r>
      <w:bookmarkStart w:id="2" w:name="_GoBack"/>
      <w:bookmarkEnd w:id="2"/>
      <w:r>
        <w:t>ՄԱՅԻՆ ՔԱՂԱՔԱԿԱՆՈՒԹՅԱՆ ՌԱԶՄԱՎԱՐՈՒԹՅՈՒՆԸ ԵՎ ԴՐԱՆԻՑ ԲԽՈՂ ԳՈՐԾՈՂՈՒԹՅՈՒՆՆԵՐԻ ԾՐԱԳԻՐԸ ՀԱՍՏԱՏԵԼՈՒ ՄԱՍԻՆ ՀՀ ԿԱՌԱՎԱՐՈՒԹՅԱՆ ՈՐՈՇՄԱՆ ՆԱԽԱԳԻԾ նախագծի վերաբերյալ</w:t>
      </w:r>
      <w:bookmarkEnd w:id="1"/>
    </w:p>
    <w:p w:rsidR="00A24C5D" w:rsidRDefault="00A24C5D"/>
    <w:p w:rsidR="00A24C5D" w:rsidRDefault="00A24C5D"/>
    <w:p w:rsidR="00A24C5D" w:rsidRDefault="00A24C5D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"/>
        <w:gridCol w:w="2209"/>
        <w:gridCol w:w="4817"/>
        <w:gridCol w:w="3691"/>
        <w:gridCol w:w="2780"/>
      </w:tblGrid>
      <w:tr w:rsidR="00A24C5D" w:rsidRPr="007B08D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Default="000A3B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24C5D" w:rsidRDefault="000A3B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Pr="00875D5D" w:rsidRDefault="000A3BCA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Pr="00875D5D" w:rsidRDefault="000A3BCA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Pr="007B08D6" w:rsidRDefault="000A3BCA">
            <w:pPr>
              <w:jc w:val="center"/>
              <w:rPr>
                <w:sz w:val="24"/>
                <w:szCs w:val="24"/>
              </w:rPr>
            </w:pPr>
            <w:r w:rsidRPr="007B08D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Pr="007B08D6" w:rsidRDefault="000A3BCA">
            <w:pPr>
              <w:jc w:val="center"/>
              <w:rPr>
                <w:sz w:val="24"/>
                <w:szCs w:val="24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Կատարված</w:t>
            </w:r>
            <w:r w:rsidRPr="007B08D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փոփոխությունը</w:t>
            </w:r>
          </w:p>
        </w:tc>
      </w:tr>
      <w:tr w:rsidR="00A24C5D" w:rsidRPr="007B08D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4C5D" w:rsidRDefault="00A24C5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4C5D" w:rsidRPr="00875D5D" w:rsidRDefault="000A3BCA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4C5D" w:rsidRPr="00875D5D" w:rsidRDefault="000A3BCA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4C5D" w:rsidRPr="007B08D6" w:rsidRDefault="000A3BCA">
            <w:pPr>
              <w:jc w:val="center"/>
              <w:rPr>
                <w:sz w:val="24"/>
                <w:szCs w:val="24"/>
              </w:rPr>
            </w:pPr>
            <w:r w:rsidRPr="007B08D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24C5D" w:rsidRPr="007B08D6" w:rsidRDefault="000A3BCA">
            <w:pPr>
              <w:jc w:val="center"/>
              <w:rPr>
                <w:sz w:val="24"/>
                <w:szCs w:val="24"/>
              </w:rPr>
            </w:pPr>
            <w:r w:rsidRPr="007B08D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A24C5D" w:rsidRPr="00D6399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Default="000A3B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Pr="00875D5D" w:rsidRDefault="000A3BCA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Թրանսփարենսի Ինթերնեշնլ հակակոռուպցիոն կենտրոն</w:t>
            </w:r>
          </w:p>
          <w:p w:rsidR="00A24C5D" w:rsidRPr="00875D5D" w:rsidRDefault="000A3BCA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18.11.2022 15:11:06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55DC" w:rsidRPr="00875D5D" w:rsidRDefault="000A3BCA" w:rsidP="00875D5D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Առաջարկ.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Նախագծում ներկայացնել գործարար և ներդրումային միջավայրի բարելավմանը խոչընդոտող հիմնարար պատճառները՝ ոլորտի օրենսդրության հաճախակի փոփոխությունները, դրանց վերաբերյալ տնտեսական գործունեություն նախաձեռնողների և իրականացնողների իրազեկման խիստ անբավարար մակարդակը, տարբեր տնտեսվարողներին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(հիմնականում մոնոպոլ ոլորտներում օլիգարխիկ, ինչպես նաև քաղաքական իշխանության հետ փոխկապակցված տնտեսվարողներին) ad hoc արտոնությունների տրամադրման արատավոր պրակտիկայի վերացման անհրաժեշտությունը:</w:t>
            </w:r>
          </w:p>
          <w:p w:rsidR="007B08D6" w:rsidRDefault="007B08D6" w:rsidP="007B08D6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875D5D" w:rsidRPr="00875D5D" w:rsidRDefault="00875D5D" w:rsidP="007B08D6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875D5D" w:rsidRDefault="000A3BCA" w:rsidP="007B08D6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2.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Ինչպես նախկինում ներկայացված փաստաթղթերում, այնպես էլ քննարկվող նախագծով նախատեսվում է ձևավորել ներդրումների խթանման համար պատասխանատու մարմին (մաս 24): Միաժամանակ հարկ է նշել, որ նախագիծն արձանագրում է այն հանգամանքը, որ նախկինում ձևավորված նմանատիպ մարմինների գործունեությունը որևէ արդյունավետությամբ աչքի չեն ընկել: Նման արձանագրմամբ հանդերձ ռազմավարությունը չի ներկայացնում այն պատճառները և ինստիտուցիոնալ հիմքերը, որոնք նախկինի համեմատությամբ նման մարմնի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անհրաժեշտությունը կհստակեցնեն: Պետք է արձանագրել, որ ՀՀ յուրաքանչյուր նոր կառավարություն ստեղծել է ներդրումների խթանման համար պատասխանատու նոր կառույց (առանց մանդատի ամրագրման)՝ նոր կազմով և նախաձեռնություններով, ինչը բազմաթիվ անորոշություններ է առաջացրել ինչպես ներքին, այնպես էլ արտաքին ներդրողների մոտ՝ միջավայրի կանխատեսելիության առումով:  Առաջարկ.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Նախագծով ամրագրել նախաձեռնվող մարմնի մանդատը, գործառույթներն ու լիազորությունների ուղղությունները, դրանց իրացման արդյունքում հնարավոր դրական հետևանքները, դիմումների պարագայում ներդրողներին պատասխանելու ընթացակարգը և ժամկետները:  </w:t>
            </w:r>
          </w:p>
          <w:p w:rsidR="007B08D6" w:rsidRPr="00875D5D" w:rsidRDefault="007B08D6" w:rsidP="00875D5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875D5D" w:rsidRDefault="000A3BCA" w:rsidP="007B08D6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3.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Նախագծով որպես տնտեսության զարգացման հիմնական ոլորտներ մատնանշվում է հանքարդյունաբերությունը և շինարարության ոլորտը: Նման մոտեցումը փաստաթղթով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պայմանավորված է հանքանյութերի շուկայական գների աճով և անշարժ գույքի շուկայում նկատվող աշխուժությամբ: Նախագծով սակայն գնահատական չի տրվում քննարկվող ոլորտներում գերզգայուն իրավիճակի փոփոխությունների ազդեցությունը, մասնավորապես չկա նկարագրություն և կանխատեսում հանքանյութի շուկայում գնանկումների պարագայում հնարավոր ռիսկերի, ինչպես նաև արտաքին պատերազմներով պայմանավորված ՀՀ տնտեսության անշարժ գույքի շուկայում հնարավոր կտրուկ փոփոխությունների հետևանքների մասին: Բացակայում է նաև որևէ գնահատական առ այն, թե տնտեսության վերոնշյալ ճյուղերում առկա իրավիճակը և ծրագրվող զարգացումներն ինչպիսի ազդեցություն են թողնում շրջակա միջավայրի և մարդու առողջության, քաղաքային կառուցապատման գերկենտրոնացմամբ պայմանավորված անվտանգային միջավայրի տարբեր ուղղությունների վրա, մասնավորապես՝ բնակչության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առողջության ցածր որակով պայմանավորված գենոֆոնդի բնականոն զարգացման, հատկապես մայրաքաղաքում չկանոնակարգված, քաղաքաշինական և բնապահպանական տարրական նորմերի անտեսմամբ իրականացվող գերխիտ և անհագուրդ կառուցապատման արդյունքում բնակչության անհամաչափ բնակեցման և ձևավորված համապատասխան բնական միջավայրի նկատմամբ: Ընդհանուր առմամբ վերոնշյալ վերլուծությունները թույլ են տալիս եզրակացնել, որ լիազոր մարմինը չի կանխատեսում տնտեսության տարբեր ճյուղերում զարգացման հեռանկարները, ինչպիսիք են գիտատար ոլորտներ հանդիսացող գերճշգրիտ հաստոցաշինությունը, դրան ենթակա ռազմարդյունաբերությունը, քիմիական արդյունաբերությունը և այլ ուղղություններ:   Առաջարկ.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Կատարել վերլուծություններ և արդյունքում ներկայացնել ՀՀ տնտեսության համակարգաստեղծ ուղղություններում առկա իրավիճակը, հնարավոր ներդրումներին խոչընդոտող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տեխնիկական և այլ գործոնները, դրանցում պոտենցիալ հետաքրքրություն ենթադրող պետությունները և կառույցները, և այդ ուղղությամբ աշխատանքի իրավասու կառույցների գործողությունների հստակ ժամկետները և կանխատեսվող արդյունքները:  </w:t>
            </w:r>
          </w:p>
          <w:p w:rsidR="007B08D6" w:rsidRPr="00875D5D" w:rsidRDefault="007B08D6" w:rsidP="00875D5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875D5D" w:rsidRDefault="000A3BCA" w:rsidP="007B08D6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4.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Նախագծի 5.2. բաժնում ներկայացվում է ներդրումային արտոնությունների քաղաքականությունը: Արդարացիորեն արձանագրվում է, որ ի համեմատ հարևան և այլ երկրների, ՀՀ-ում ներդրումային արտոնությունները չեն տալիս դրական արդյունքներ: Սակայն փաստաթղթում չի ներկայացվում դրա հիմնական պատճառները, որոնք կապված են նաև կոռուպցիոն բարձր ռիսկերի հետ: Ինչպես վերևում նշվեց ՀՀ-ում ներդրումային արտոնությունների ճնշող չափաբաժինը և մեխանիզմն իրացվում է ad hoc տարբերակով կամ իրավիճակային լուծում պարունակող կոնկրետ տնտեսվաողների հարկային, մաքսային և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այլ տուրքերի մասով արտոնություններ տրամադրելով: Դրանք տրամադրվում են հիմնականում խոշոր տնտեսվարողների, որոնք տարիներ շարունակ ասոցացվում են քաղաքական իշխանության հետ սերտաճած կապերով: ՀՀ-ում արդեն իսկ տարածված պրակտիկա է այն,որ բազմաթիվ անգամներ ՀՀ կառավարությունը հարկային արտոնություններ (հիմնականում ներմուծումներով զբաղվող կազմակերպություններին ԱԱՀ գծով) է շնորհել խոշոր բիզնեսի ներկայացուցիչներին այն պարագայում, երբ տնտեսական գործունեության նույն ուղղությամբ զբաղվող փոքր և միջին բիզնեսի ներկայացուցիչները չեն օգտվել այդ պայմաններից : Մինչդեռ համակարգաստեղծ կամ ինստիտուցիոնալ արտոնությունների համակարգերը չեն աշխատել և չեն տվել արդյունքներ: Որպես վառ օրինակ է հանդիսանում ազատ տնտեսական գոտիների գործունեության անարդյունավետությունը: Այսպես, 2017թվականից կազմավորված Մեղրու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ազատ տնտեսական գոտում գործունեություն իրականացնող կազմակերպությունները եզակի են, ինչն ուղղակի վկայում է, որ ներկայացված նախագծով անհրաժեշտ է վերլուծել համակարգային արտոնությունների համակարգի անգործունակության պատճառները և ձեռնարկել հստակ քայլեր:  Որպես ներդրումային արտոնություն դիտարկվում է նաև արտաքին ներդրումների համար ներդրումային ոլորտի օրենսդրության անփոփոխելիության հնգամյա ռեժիմի մեխանիզմը: Հարկ է արձանագրել, որ ինչպես գործող իրավակարգավորմամբ, այնպես էլ նախագծով հստակեցված չէ ներդրումային օրենսդրության շրջանակը, ինչն իրավական անորոշության իրավիճակ է ձևավորում ներդրողի համար: Տնտեսական գործունեության միջազգային պրակտիկայում ներդրումների հետգնման նվազագույն ժամկետը դիտարկվում է նվազագույնը 5 տարի: Վերոնշյալ իրավակարգավորման լույսի ներքո կարող ենք արձանագրել, որ իրավական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որոշակիություն ՀՀ օրենսդրությունը երաշխավորում է բացառապես 5 տարվա ժամկետի համար, ինչն անթույլատրելի է: Ներդրումների կարևոր խթանիչ է հանդիսանում ոչ թե կոնկրետ ժամկետով, այլ ընդհանրապես իրավական որոշակիության ապահովման կարևոր հանգամանքը: Բացի այդ, տնտեսական գործունեության բնագավառում նման տարբերակումը ներքին և արտաքին ներդրողների պարագայում ձևավորում է ոչ արդարացի միջավայր միևնույն ոլորտում գործունեություն ծավալող տարբեր ներդրողների համար:  Առաջարկ.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Անհրաժեշտ է վերլուծել ներդրողների վերաբերյալ անհարկի վարչարարության գործոնները, հստակեցնել իրավական վեճերի լուծման մեխանիզմները և ամրագրել դրանց կարգավորման կարճ ժամկետներ,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իրավական կարգավորմամբ  արգելել արտոնությունների տրամադրման իրավիճակային ad hoc մեխանիզմի կիրառելիությունը, բացառությամբ՝ տարերային աղետներով կամ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անհաղթահարելի ուժի այլ դրսևորումներով պայմանավորված սոցիալական երաշխիքների իրացումն, ինչպես օրինակ գույքի հարկի արտոնությունները: Նման կարգավորումը կնվազեցնի ոլորտում կոռուպցիոն ռիսկերը իշխանության մարմինների վարքագծում և շեշտադրում կկատարի համընդհանուր արտոնությունների համակարգի ներդրման վրա՝ իրացնելով տարբեր բաղադրիչները՝ վարչարարական, դատական բարեփոխումների, իրավական որոշակիության և կանխատեսելիության ապահովման:  </w:t>
            </w:r>
          </w:p>
          <w:p w:rsidR="007B08D6" w:rsidRPr="00875D5D" w:rsidRDefault="007B08D6" w:rsidP="00875D5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875D5D" w:rsidRDefault="000A3BCA" w:rsidP="007B08D6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5.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Թեև գործարար միջավայրի բարելավման ռազմավարության նախագծի քննարկումներում նաև պատասխանատու մարմինների կողմից ընդունվել է արժեթղթերի շուկայի կայացման և զարգացման առաջարկի իրագործման անհրաժեշտությունը, ներկայացված նախագծով այդ խնդրին որևէ անդրադարձ չկա: Տնտեսության համակարգաստեղծ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ոլորտներում գործունեություն ծավալող ընկերությունների բաժնետոմսերի որոշակի ծավալի ազատ շրջանառության պահանջը նպաստում է նաև թափանցիկ կառավարման սկզբունքի իրացմանը, բարձրացնում է այդ կազմակերպությունների լիկվիդայնության աստիճանը: Ժամանակակից տնտեսական համակարգերում ներդրումներ կատարելու կարևորագույն գործիքներից է արժեթղթերի առուվաճառքը, ինչը բազմաթիվ անգամներ բարձրաձայնվել է որպես ՀՀ տնտեսական զարգացման հեռանկարային գործիքակազմի բաղադրիչ: Ընդ որում, քննարկումների ընթացքում ներկայացվել է նաև ոլորտում տարբեր երկրների հաջողված փորձը, ինչպես օրինակ՝ նավթաքիմիական արդյունաբերության ոլորտում գործող ընկերությունների համար Մեծ Բրիտանիայում, Սլովակիայի Հանրապետությունում, Գերմանիայի Դաշնային Հանրապետությունում նախատեսված պարտադիր պահանջը՝ բաց բաժնետիրական ընկերության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կազմակերպաիրավական ձևով գործելու վերաբերյալ՝ շրջանառության որոշակի չափը գերազանցելու դեպքում:  Առաջարկ.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ՀՀ-ում օրենսդրորեն սահմանել ընկերությունների համար շրջանառության կամ ցուցանիշային որևէ այլ շեմ, որի ապահովման դեպքում ընկերությունը պետք է գրանցվի կամ վերակազմակերպվի բաց բաժնետիրական ընկերության կազմակերպաիրավական ձևով: </w:t>
            </w:r>
          </w:p>
          <w:p w:rsidR="007B08D6" w:rsidRPr="00875D5D" w:rsidRDefault="007B08D6" w:rsidP="00875D5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24C5D" w:rsidRPr="00875D5D" w:rsidRDefault="000A3BCA" w:rsidP="007B08D6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6.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Նախագծում որպես տնտեսության մեջ ներդրումների ապահովման գործոն մատնանշվում է տնտեսական դիվանագիտության կարևորությունը և որպես դրա իրացման երաշխիք դիտարկվում է դիվանագիտական կորպուսի ինստիտուցիոնալ և մարդկային կարողությունների հզորացումը: 2016-2017թվականներին ՀՀ արտաքին գործերի նախարարության կառուցվածքում ձևավորվել է ներդրումների և արտահանման խթանման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ստորաբաժանում, սակայն դրա գործունեությունը կարճ է տևել և դիվանագիտական ներկայացուցչությունների համապատասխան գործառնությունների համակարգումը ապակենտրոնացվել է և վերապահվել է նախարարության տարածքային վարչություններին: 2017թվականից ի վեր սակայն արտաքին գերատեսչության կողմից իրականացվող քայլերը և արդյունքները ներդրումների ներգրավման ոլորտում հաշվետվողականության մեխանիզմների և վերահսկողության բացակայության պայմաններում որևէ վերլուծության չի ենթարկվել, չեն ներկայացվել կոնկրետ վիճակագրական տվյալներ: Այս առումով անհրաժեշտ է հստակեցնել այն մեխանիզմները, որոնք հնարավորություն կտան չափելիության համատեքստում դիտարկել և գնահատել արտաքին գերատեսչության և դիվանագիտական ներկայացուցչությունների աշխատանքները:  Առաջարկ.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Նախագծի գործողությունների ծրագրում ամրագրել 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ներդրումային ոլորտի իրավական դաշտին դիվանագիտական կորպուսին ինֆորմացնելու, վերապատրաստելու և անհրաժեշտ կադրեր ներգրավելու միջոցառումները և ժամկետները, •</w:t>
            </w:r>
            <w:r w:rsidRPr="00875D5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ամրագրել օրենսդրական փոփոխությունների շրջանակը՝ ներդրումային քաղաքականության դիվանագիտական ջանքերի չափելիությունն ու հաշվետվողականությունն ապահովելու համար: Առաջարկությունը հնարավորություն կտա նաև ապահովել պատասխանատու և հաշվետու կառավարման մեխանիզմները, գնահատել դիվանագիտական ներկայացուցչությունների աշխատանքը, այդ թվում՝ խորհրդարանական վերահսկողության մեխանիզմների իրավակարգավորումների սահմանմամբ: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08D6" w:rsidRPr="007B08D6" w:rsidRDefault="007B08D6" w:rsidP="007B08D6">
            <w:pPr>
              <w:spacing w:after="120"/>
              <w:ind w:left="173" w:right="173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Pr="007B08D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7B08D6" w:rsidRPr="007B08D6" w:rsidRDefault="007B08D6" w:rsidP="007B08D6">
            <w:pPr>
              <w:spacing w:after="200"/>
              <w:ind w:left="174" w:right="16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Նախագծում արդեն իսկ ներառված են վերոնշյալ գործոնները՝ առաջարկվող բարեփոխումներով:</w:t>
            </w:r>
          </w:p>
          <w:p w:rsidR="00A24C5D" w:rsidRPr="00875D5D" w:rsidRDefault="007B08D6" w:rsidP="00875D5D">
            <w:pPr>
              <w:spacing w:after="200"/>
              <w:ind w:left="174" w:right="168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Ոլորտի օրենսդրության հաճախակի փոփոխությունների և 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իրազեկման անբավարար մակարդակի խնդրի լուծմանն է ուղղված «5.1 Ներդրումային քաղաքականություն» բաժնի 2-րդ բարեփոխումը՝ Ներդրումային քաղաքականության ամփոփագրի մշակումը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  <w:p w:rsidR="007A55DC" w:rsidRDefault="007A55DC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Pr="007B08D6" w:rsidRDefault="007B08D6" w:rsidP="007B08D6">
            <w:pPr>
              <w:spacing w:after="120"/>
              <w:ind w:left="173" w:right="72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    </w:t>
            </w:r>
            <w:r w:rsidRPr="007B08D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7B08D6" w:rsidRPr="007B08D6" w:rsidRDefault="007B08D6" w:rsidP="007B08D6">
            <w:pPr>
              <w:spacing w:after="200"/>
              <w:ind w:left="174" w:right="78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24-րդ կետով արդեն իսկ ամրագրվել է Ներդրումների խթանման համար պատասխանատու մարմնի ինստիտուցիոնալ անկայունությունը և, որպես բարեփոխում, նախատեսվել է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ներդրումների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խթանման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մարմնի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կարգավիճակի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մանդատի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սահմանում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Օտարերկրյա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ներդրումների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մասին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օրենքով, ինչը նախատեսված է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Հավելված 2-ի գործողությունների ծրագրի 3-րդ կետով:</w:t>
            </w: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FF5C52" w:rsidRDefault="00FF5C52" w:rsidP="007B08D6">
            <w:pPr>
              <w:rPr>
                <w:sz w:val="24"/>
                <w:szCs w:val="24"/>
                <w:lang w:val="hy-AM"/>
              </w:rPr>
            </w:pPr>
          </w:p>
          <w:p w:rsidR="007B08D6" w:rsidRPr="007B08D6" w:rsidRDefault="007B08D6" w:rsidP="007B08D6">
            <w:pPr>
              <w:spacing w:after="120"/>
              <w:ind w:left="173" w:right="173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            </w:t>
            </w:r>
            <w:r w:rsidRPr="007B08D6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Չի ընդունվել</w:t>
            </w:r>
          </w:p>
          <w:p w:rsidR="007B08D6" w:rsidRPr="007B08D6" w:rsidRDefault="007B08D6" w:rsidP="007B08D6">
            <w:pPr>
              <w:spacing w:after="0"/>
              <w:ind w:left="174" w:right="168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վերլուծվել է ՀՀ ՕՈՒՆ կատարողականը և արտահանման </w:t>
            </w:r>
            <w:r w:rsidRPr="007B08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կառուցվածքը, որի համատեքստում ներկայացվել է տնտեսության իրական հատվածն ըստ ոլորտների, այդ թվում՝ հանքարդյունաբերության և</w:t>
            </w:r>
          </w:p>
          <w:p w:rsidR="007B08D6" w:rsidRPr="007B08D6" w:rsidRDefault="007B08D6" w:rsidP="007B08D6">
            <w:pPr>
              <w:spacing w:after="0"/>
              <w:ind w:left="174" w:right="168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շինարարության մասով:</w:t>
            </w:r>
          </w:p>
          <w:p w:rsidR="007B08D6" w:rsidRPr="007B08D6" w:rsidRDefault="007B08D6" w:rsidP="007B08D6">
            <w:pPr>
              <w:spacing w:after="0"/>
              <w:ind w:left="174" w:right="168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«5.1 Ներդրումային քաղաքականություն» բաժնի 1-ին բարեփոխումը՝ Մրցակցային առավելություն և ներդրումային պոտենցիալ ունեցող ոլորտների և արժեշղթաների ուսումնասիրությունների իրականացումը և դրան համապատասխան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Հավելված 2-ի գործողությունների ծրագրի 1-ին կետով</w:t>
            </w:r>
            <w:r w:rsidRPr="007B08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նախատեսված միջոցառումը ուղղված են ներկայացված առաջարկի իրագործմանը:</w:t>
            </w: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  <w:p w:rsidR="007B08D6" w:rsidRPr="007B08D6" w:rsidRDefault="007B08D6" w:rsidP="00875D5D">
            <w:pPr>
              <w:spacing w:after="120"/>
              <w:ind w:left="173" w:right="173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      </w:t>
            </w:r>
            <w:r w:rsidRPr="007B08D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7B08D6" w:rsidRP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Վեճերի կարգավորման հարցին անդրադարձ է կատարվելու «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Օտարերկրյա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ներդրումների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մասին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Հանրապետության օրենքի լրամշակման ընթացքում, ինչը նախատեսված է Հավելված 2-ի գործողությունների ծրագրի 3-րդ կետով:</w:t>
            </w: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«5.2 Ներդրումային արտոնություններ» բաժնում նախատեսված ոչ հարկային 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ներդրումային արտոնությունների վերաբերյալ իրավական ակտի ընդունմամբ կսահմանվեն հստակ չափանիշներ, որոնց կիրառման արդյունքում կապահովվեն թափանցիկ, մրցակցային և արդար պայմաններ նշված արտոնությունները ստանալու գործընթացում։</w:t>
            </w: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875D5D" w:rsidRDefault="00875D5D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875D5D" w:rsidRDefault="00875D5D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7B08D6" w:rsidRDefault="007B08D6" w:rsidP="00875D5D">
            <w:pPr>
              <w:spacing w:after="120"/>
              <w:ind w:left="173" w:right="173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      </w:t>
            </w:r>
            <w:r w:rsidRPr="007B08D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Ներկայացված առաջարկը նախագծով կարգավորվող առարկայի շրջանակից դուրս է և վերաբերում է պորտֆելային ներդրումներին: Նախագծի կարգավորման առարկան </w:t>
            </w: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հիմնականում օտարերկրյա ուղղակի ներդրումներն են:</w:t>
            </w: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Default="007B08D6" w:rsidP="00875D5D">
            <w:pPr>
              <w:spacing w:after="200"/>
              <w:ind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       </w:t>
            </w:r>
            <w:r w:rsidRPr="007B08D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7B08D6" w:rsidRP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B08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Համապատասխան միջոցառում է նախատեսվել Հավելված 2-ի գործողությունների ծրագրում: Բացի այդ, կներդրվի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ներդրումային քաղաքականության, ներդրումների խթանման և դյուրացման համակարգված մշտադիտարկման և գնահատման համակարգ, </w:t>
            </w:r>
            <w:r w:rsidRPr="007B08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որի շրջանակներում կսահմանվեն ներգրավված բոլոր մարմինների հաշվետվողականության շրջանակը, մշտադիտարկման չափորոշիչները, այդ թվում դիվանագիտական կորպուսի համար:</w:t>
            </w:r>
          </w:p>
          <w:p w:rsidR="007B08D6" w:rsidRP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7B08D6" w:rsidRDefault="007B08D6" w:rsidP="007B08D6">
            <w:pPr>
              <w:spacing w:after="200"/>
              <w:ind w:left="174" w:right="168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7B08D6" w:rsidRPr="007B08D6" w:rsidRDefault="007B08D6" w:rsidP="007B08D6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4C5D" w:rsidRPr="007B08D6" w:rsidRDefault="00A24C5D">
            <w:pPr>
              <w:jc w:val="center"/>
              <w:rPr>
                <w:sz w:val="24"/>
                <w:szCs w:val="24"/>
                <w:lang w:val="hy-AM"/>
              </w:rPr>
            </w:pPr>
          </w:p>
        </w:tc>
      </w:tr>
    </w:tbl>
    <w:p w:rsidR="000A3BCA" w:rsidRPr="007B08D6" w:rsidRDefault="000A3BCA">
      <w:pPr>
        <w:rPr>
          <w:lang w:val="hy-AM"/>
        </w:rPr>
      </w:pPr>
    </w:p>
    <w:sectPr w:rsidR="000A3BCA" w:rsidRPr="007B08D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C5D"/>
    <w:rsid w:val="000A3BCA"/>
    <w:rsid w:val="000F10DB"/>
    <w:rsid w:val="001F24CA"/>
    <w:rsid w:val="00744DE6"/>
    <w:rsid w:val="007A55DC"/>
    <w:rsid w:val="007B08D6"/>
    <w:rsid w:val="00875D5D"/>
    <w:rsid w:val="008D4AE6"/>
    <w:rsid w:val="009E0536"/>
    <w:rsid w:val="00A24C5D"/>
    <w:rsid w:val="00D51A0F"/>
    <w:rsid w:val="00D63991"/>
    <w:rsid w:val="00FF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C85BA0-D3B7-4ED6-B8C6-AC49A0E9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8D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8D6"/>
  </w:style>
  <w:style w:type="character" w:styleId="CommentReference">
    <w:name w:val="annotation reference"/>
    <w:uiPriority w:val="99"/>
    <w:rsid w:val="007B08D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8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1891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M. Ter-Gulanyan</dc:creator>
  <cp:keywords>https:/mul2-mineconomy.gov.am/tasks/507074/oneclick/ampopatert-e-draft.docx?token=c847da8d37ab15cc22bcd5f58899513d</cp:keywords>
  <dc:description/>
  <cp:lastModifiedBy>Davit M. Ter-Gulanyan</cp:lastModifiedBy>
  <cp:revision>2</cp:revision>
  <dcterms:created xsi:type="dcterms:W3CDTF">2023-08-23T11:39:00Z</dcterms:created>
  <dcterms:modified xsi:type="dcterms:W3CDTF">2023-08-23T11:39:00Z</dcterms:modified>
  <cp:category/>
</cp:coreProperties>
</file>