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850B50">
      <w:pPr>
        <w:spacing w:line="360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D31BCF" w:rsidRPr="00587C49" w:rsidRDefault="00850B50" w:rsidP="00850B50">
      <w:pPr>
        <w:pStyle w:val="NormalWeb"/>
        <w:tabs>
          <w:tab w:val="left" w:pos="0"/>
        </w:tabs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  <w:r w:rsidRPr="00850B50">
        <w:rPr>
          <w:rFonts w:ascii="GHEA Grapalat" w:hAnsi="GHEA Grapalat"/>
          <w:szCs w:val="20"/>
          <w:lang w:val="hy-AM"/>
        </w:rPr>
        <w:t>«ՄԱՔՍԱՅԻՆ ԿԱՐԳԱՎՈՐՄԱՆ ՄԱՍԻՆ» ՕՐԵՆՔՈՒՄ ԼՐԱՑՈՒՄ ԿԱՏԱՐԵԼՈՒ ՄԱՍԻՆ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6012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850B5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A9782B" w:rsidRPr="00A9782B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50B50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A9782B" w:rsidRPr="00A9782B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AE35E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601234">
        <w:trPr>
          <w:trHeight w:val="32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AE35ED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E35ED">
              <w:rPr>
                <w:rFonts w:ascii="GHEA Grapalat" w:hAnsi="GHEA Grapalat" w:cs="Sylfaen"/>
                <w:bCs/>
                <w:lang w:val="hy-AM"/>
              </w:rPr>
              <w:t>01/2-1/14146-2023</w:t>
            </w:r>
          </w:p>
        </w:tc>
      </w:tr>
      <w:tr w:rsidR="00F41A0E" w:rsidRPr="00850B50" w:rsidTr="00601234">
        <w:trPr>
          <w:trHeight w:val="179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ED211E" w:rsidP="00D5497E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t>Ս.թ. հուլիսի 4-ի Ձեր թիվ 01/3-2/40421-2023 գրությամբ ներկայացված՝ Մաքսային կարգա</w:t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վորման մասին» օրենքում լրացում կատարելու մասին» ՀՀ օրենքի նախա</w:t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գծի վերա</w:t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</w:t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յալ հայտ</w:t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ED211E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նում ենք, որ դիտողություններ և առաջարկություններ չկան։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0F4537" w:rsidP="00ED211E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ED211E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840C6E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D61C84" w:rsidRPr="0067445E" w:rsidTr="006012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AF44D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601234">
        <w:trPr>
          <w:trHeight w:val="152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AF44D2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F44D2">
              <w:rPr>
                <w:rFonts w:ascii="GHEA Grapalat" w:hAnsi="GHEA Grapalat" w:cs="Sylfaen"/>
                <w:bCs/>
                <w:lang w:val="hy-AM"/>
              </w:rPr>
              <w:t>04/13340-2023</w:t>
            </w:r>
          </w:p>
        </w:tc>
      </w:tr>
      <w:tr w:rsidR="008511A5" w:rsidRPr="00733D99" w:rsidTr="00601234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511A5" w:rsidRPr="00EB736F" w:rsidRDefault="00EE4F2A" w:rsidP="00D5497E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EE4F2A">
              <w:rPr>
                <w:rFonts w:ascii="GHEA Grapalat" w:eastAsia="Calibri" w:hAnsi="GHEA Grapalat" w:cs="Sylfaen"/>
                <w:color w:val="00000A"/>
                <w:lang w:val="hy-AM"/>
              </w:rPr>
              <w:t>Ի պատասխան Պետական եկամուտների կոմիտեից ստացված №01/3-2/40421-2023 գրության, հայտնում ենք, որ ««Մաքսային կարգավորման մասին» օրենքում լրացում կատարելու մասին» օրենքի նախագծի վերաբերյալ Էկոնոմիկայի նախարարությունը առաջարկություններ և դիտողություններ չունի։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8511A5" w:rsidRPr="00733D99" w:rsidRDefault="008511A5" w:rsidP="008511A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ի գիտություն: </w:t>
            </w:r>
          </w:p>
        </w:tc>
      </w:tr>
      <w:tr w:rsidR="002E5934" w:rsidRPr="008F0C02" w:rsidTr="006012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E5934" w:rsidRPr="008F0C02" w:rsidRDefault="006D3B8B" w:rsidP="002E593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2E5934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2E5934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094AD5">
              <w:rPr>
                <w:rFonts w:ascii="GHEA Grapalat" w:hAnsi="GHEA Grapalat" w:cs="Sylfaen"/>
                <w:bCs/>
                <w:lang w:val="hy-AM"/>
              </w:rPr>
              <w:t>բ</w:t>
            </w:r>
            <w:r w:rsidR="00094AD5" w:rsidRPr="00094AD5">
              <w:rPr>
                <w:rFonts w:ascii="GHEA Grapalat" w:hAnsi="GHEA Grapalat" w:cs="Sylfaen"/>
                <w:bCs/>
                <w:lang w:val="hy-AM"/>
              </w:rPr>
              <w:t>արձր տեխնոլոգիական արդյունաբերության</w:t>
            </w:r>
            <w:r w:rsidR="002E5934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E5934" w:rsidRPr="008F0C02" w:rsidRDefault="00094AD5" w:rsidP="0004261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  <w:r w:rsidR="002E5934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07</w:t>
            </w:r>
            <w:r w:rsidR="002E593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E5934">
              <w:rPr>
                <w:rFonts w:ascii="GHEA Grapalat" w:hAnsi="GHEA Grapalat" w:cs="Sylfaen"/>
                <w:bCs/>
                <w:lang w:val="hy-AM"/>
              </w:rPr>
              <w:t>3</w:t>
            </w:r>
            <w:r w:rsidR="002E593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E5934" w:rsidRPr="008F0C02" w:rsidTr="0060123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E5934" w:rsidRPr="008F0C02" w:rsidRDefault="002E5934" w:rsidP="0004261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E5934" w:rsidRPr="008F0C02" w:rsidRDefault="00094AD5" w:rsidP="0004261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94AD5">
              <w:rPr>
                <w:rFonts w:ascii="GHEA Grapalat" w:hAnsi="GHEA Grapalat" w:cs="Sylfaen"/>
                <w:bCs/>
                <w:lang w:val="hy-AM"/>
              </w:rPr>
              <w:t>01/17</w:t>
            </w:r>
            <w:r w:rsidRPr="00094AD5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094AD5">
              <w:rPr>
                <w:rFonts w:ascii="GHEA Grapalat" w:hAnsi="GHEA Grapalat" w:cs="Sylfaen"/>
                <w:bCs/>
                <w:lang w:val="hy-AM"/>
              </w:rPr>
              <w:t>2/6804-2023</w:t>
            </w:r>
          </w:p>
        </w:tc>
      </w:tr>
      <w:tr w:rsidR="00137535" w:rsidRPr="00733D99" w:rsidTr="007C3E8D">
        <w:trPr>
          <w:trHeight w:val="107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37535" w:rsidRDefault="00137535" w:rsidP="00137535">
            <w:pPr>
              <w:spacing w:line="360" w:lineRule="auto"/>
              <w:ind w:firstLine="525"/>
              <w:jc w:val="both"/>
            </w:pPr>
            <w:r w:rsidRPr="00137535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Ի պատասխան Ձեր՝ 2023 թվականի հուլիսի 4-ի թիվ 01/3-2/40421-2023 գրության՝ հայտնում ենք, որ ««Մաքսային կարգավորման մասին» օրենքում լրացում կատարելու մասին» օրենքի նախագծի վերաբերյալ Հայաստանի Հանրապետության բարձր տեխնոլոգիական </w:t>
            </w:r>
            <w:r w:rsidRPr="00137535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արդյունաբերության նախարարությունը դիտողություններ և առաջարկություններ չունի: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137535" w:rsidRPr="00733D99" w:rsidRDefault="00137535" w:rsidP="0013753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ի գիտություն: </w:t>
            </w:r>
          </w:p>
        </w:tc>
      </w:tr>
      <w:tr w:rsidR="00AD4F47" w:rsidRPr="008F0C02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D4F47" w:rsidRPr="008F0C02" w:rsidRDefault="008C0198" w:rsidP="00AD4F4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="00AD4F47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AD4F47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D4F47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AD4F47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D4F47" w:rsidRPr="008F0C02" w:rsidRDefault="00E3016F" w:rsidP="002336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AD4F47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08</w:t>
            </w:r>
            <w:r w:rsidR="00AD4F47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AD4F47">
              <w:rPr>
                <w:rFonts w:ascii="GHEA Grapalat" w:hAnsi="GHEA Grapalat" w:cs="Sylfaen"/>
                <w:bCs/>
                <w:lang w:val="hy-AM"/>
              </w:rPr>
              <w:t>3</w:t>
            </w:r>
            <w:r w:rsidR="00AD4F47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D4F47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D4F47" w:rsidRPr="008F0C02" w:rsidRDefault="00AD4F47" w:rsidP="002336D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D4F47" w:rsidRPr="008F0C02" w:rsidRDefault="00E3016F" w:rsidP="002336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3016F">
              <w:rPr>
                <w:rFonts w:ascii="GHEA Grapalat" w:hAnsi="GHEA Grapalat" w:cs="Sylfaen"/>
                <w:bCs/>
                <w:lang w:val="hy-AM"/>
              </w:rPr>
              <w:t>01/27.2/35926-2023</w:t>
            </w:r>
          </w:p>
        </w:tc>
      </w:tr>
      <w:tr w:rsidR="00AD4F47" w:rsidRPr="0080430F" w:rsidTr="008C0198">
        <w:trPr>
          <w:trHeight w:val="152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C0198" w:rsidRPr="008C0198" w:rsidRDefault="008C0198" w:rsidP="008C0198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>1. «Մաքսային կարգավորման մասին» օրենքում լրացում կատարելու մասին» օրենքի նախագծի (այսուհետ՝ Նախագիծ) 1-ին հոդվածով լրացվող 321.1-ին հոդվածի վերնագրում և 1-ին մասում «</w:t>
            </w:r>
            <w:r w:rsidRPr="008C0198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Միջազգային պայմանագրերով նախատեսված դեպքերում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>»,  «</w:t>
            </w:r>
            <w:r w:rsidRPr="008C0198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միջազգային պայմանագրերին համապատասխան սահմանված դեպքերում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>» և «</w:t>
            </w:r>
            <w:r w:rsidRPr="008C0198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միջազգային պայմանագրով սահմանված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>» ձևակերպումներն անհրաժեշտ է հստակեցնել՝ նկատի ունենալով «Նորմատիվ իրավական ակտերի մասին» օրենքի 17-րդ հոդվածի 4-րդ մասի պահանջը, այն է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>՝</w:t>
            </w:r>
            <w:r w:rsidRPr="008C0198">
              <w:rPr>
                <w:rFonts w:ascii="Calibri" w:eastAsia="Calibri" w:hAnsi="Calibri" w:cs="Calibri"/>
                <w:i/>
                <w:color w:val="00000A"/>
                <w:lang w:val="hy-AM"/>
              </w:rPr>
              <w:t> 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 xml:space="preserve"> </w:t>
            </w:r>
            <w:r w:rsidRPr="008C0198">
              <w:rPr>
                <w:rFonts w:ascii="GHEA Grapalat" w:eastAsia="Calibri" w:hAnsi="GHEA Grapalat" w:cs="Sylfaen"/>
                <w:b/>
                <w:i/>
                <w:color w:val="00000A"/>
                <w:lang w:val="hy-AM"/>
              </w:rPr>
              <w:t xml:space="preserve">հղումները կատարվում են հստակ և ուղղակի, 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ինչպես նաև ապահովելով իրավական որոշակիության սկզբունքի պահանջները, որոնց անդրադառնալով Սահմանադրական դատարանը իր մի շարք որոշումներում ամրագրել է հետևյալը՝ </w:t>
            </w:r>
            <w:r w:rsidRPr="008C0198"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  <w:t>«.… Սահմանադրական դատարանը գտնում է, որ իրավական որոշակիության սկզբունքը ենթադրում է ինչպես հնարավորինս հստակ իրավակարգավորման առկայություն, այնպես էլ դրա կանխատեսելիության ապահովում:</w:t>
            </w:r>
            <w:r w:rsidRPr="008C0198">
              <w:rPr>
                <w:rFonts w:ascii="Calibri" w:eastAsia="Calibri" w:hAnsi="Calibri" w:cs="Calibri"/>
                <w:i/>
                <w:iCs/>
                <w:color w:val="00000A"/>
                <w:lang w:val="hy-AM"/>
              </w:rPr>
              <w:t> </w:t>
            </w:r>
          </w:p>
          <w:p w:rsidR="008C0198" w:rsidRPr="008C0198" w:rsidRDefault="008C0198" w:rsidP="008C0198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</w:pPr>
            <w:r w:rsidRPr="008C0198"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  <w:t xml:space="preserve">...  որոշակիության սկզբունքն իր արտացոլումն է ստացել ոչ միայն Սահմանադրության 79-րդ հոդվածում` որպես հիմնական իրավունքների </w:t>
            </w:r>
            <w:r w:rsidRPr="008C0198"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  <w:lastRenderedPageBreak/>
              <w:t>և ազատությունների սահմանափակող օրենքներին ներկայացվող բովանդակային պահանջ, այլև՝ որպես օրինականության սկզբունքի հիմնարար բաղադրիչ, ըստ որի` ենթաօրենսդրական նորմատիվ իրավական ակտեր ընդունելուն լիազորող նորմերը պետք է համապատասխանեն իրավական որոշակիության պահանջներին (Սահմանադրության 6-րդ հոդվածի 2-րդ մասի երկրորդ նախադասություն) ... » (15.11.2019-ՍԴՈ-1488):</w:t>
            </w:r>
          </w:p>
          <w:p w:rsidR="008C0198" w:rsidRPr="008C0198" w:rsidRDefault="008C0198" w:rsidP="008C0198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</w:pPr>
            <w:r w:rsidRPr="008C0198">
              <w:rPr>
                <w:rFonts w:ascii="GHEA Grapalat" w:eastAsia="Calibri" w:hAnsi="GHEA Grapalat" w:cs="Sylfaen"/>
                <w:i/>
                <w:iCs/>
                <w:color w:val="00000A"/>
                <w:lang w:val="hy-AM"/>
              </w:rPr>
              <w:t>Բացի դրանից, իրավական որոշակիության սկզբունքը, լինելով իրավական պետության հիմնարար սկզբունքներից մեկը, ենթադրում է նաև, որ իրավահարաբերությունների բոլոր սուբյեկտների, այդ թվում՝ իշխանության կրողի գործողությունները պետք է լինեն կանխատեսելի ու իրավաչափ» (ՍԴՈ-1475):</w:t>
            </w:r>
          </w:p>
          <w:p w:rsidR="008C0198" w:rsidRPr="008C0198" w:rsidRDefault="008C0198" w:rsidP="008C0198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i/>
                <w:color w:val="00000A"/>
                <w:lang w:val="hy-AM"/>
              </w:rPr>
            </w:pPr>
            <w:r w:rsidRPr="008C0198">
              <w:rPr>
                <w:rFonts w:ascii="GHEA Grapalat" w:eastAsia="Calibri" w:hAnsi="GHEA Grapalat" w:cs="Sylfaen"/>
                <w:iCs/>
                <w:color w:val="00000A"/>
                <w:lang w:val="hy-AM"/>
              </w:rPr>
              <w:t xml:space="preserve">2. Նախագծի 2-րդ հոդվածի համաձայն՝ 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>սույն օրենքն ուժի մեջ է մտնում պաշտոնական հրապարակման օրվան հաջորդող տասներորդ օրը:</w:t>
            </w:r>
          </w:p>
          <w:p w:rsidR="00AD4F47" w:rsidRPr="008C0198" w:rsidRDefault="008C0198" w:rsidP="008C0198">
            <w:pPr>
              <w:spacing w:line="360" w:lineRule="auto"/>
              <w:ind w:firstLine="525"/>
              <w:jc w:val="both"/>
              <w:rPr>
                <w:rFonts w:ascii="GHEA Grapalat" w:eastAsia="Calibri" w:hAnsi="GHEA Grapalat" w:cs="Sylfaen"/>
                <w:i/>
                <w:color w:val="00000A"/>
                <w:lang w:val="hy-AM"/>
              </w:rPr>
            </w:pP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Այս առումով հարկ է նշել, որ Նախագծով նախատեսվում են կարգավորումներ, որոնց պահանջներին հասցեատերերը պետք է համապատասխանեցնեն իրենց վարքագիծը: Հետևաբար, անհրաժեշտություն կառաջանա նախատեսել օրենքի ուժի մեջ մտնելու ավելի </w:t>
            </w:r>
            <w:r w:rsidRPr="008C0198">
              <w:rPr>
                <w:rFonts w:ascii="GHEA Grapalat" w:eastAsia="Calibri" w:hAnsi="GHEA Grapalat" w:cs="Sylfaen"/>
                <w:b/>
                <w:color w:val="00000A"/>
                <w:lang w:val="hy-AM"/>
              </w:rPr>
              <w:t>ուշ ողջամիտ ժամկետ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՝ նկատի ունենալով </w:t>
            </w:r>
            <w:r w:rsidRPr="008C0198">
              <w:rPr>
                <w:rFonts w:ascii="GHEA Grapalat" w:eastAsia="Calibri" w:hAnsi="GHEA Grapalat" w:cs="Sylfaen"/>
                <w:bCs/>
                <w:color w:val="00000A"/>
                <w:lang w:val="hy-AM"/>
              </w:rPr>
              <w:t>«Նորմատիվ իրավական ակտերի մասին</w:t>
            </w:r>
            <w:r w:rsidRPr="008C019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» օրենքի 23-րդ հոդվածի 2-րդ մասի դրույթները, որոնց համաձայն՝ 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 xml:space="preserve">նորմատիվ իրավական ակտն ընդունելու իրավասություն ունեցող մարմինը պարտավոր է նախատեսել նորմատիվ 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lastRenderedPageBreak/>
              <w:t>իրավական ակտի ուժի մեջ մտնելու</w:t>
            </w:r>
            <w:r w:rsidRPr="008C0198">
              <w:rPr>
                <w:rFonts w:ascii="GHEA Grapalat" w:eastAsia="Calibri" w:hAnsi="GHEA Grapalat" w:cs="Sylfaen"/>
                <w:b/>
                <w:i/>
                <w:color w:val="00000A"/>
                <w:lang w:val="hy-AM"/>
              </w:rPr>
              <w:t xml:space="preserve"> ավելի ուշ ողջամիտ ժամկետ,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 xml:space="preserve"> բացառությամբ սույն հոդվածի 4-րդ մասով սահմանված նորմատիվ իրավական ակտերի, </w:t>
            </w:r>
            <w:r w:rsidRPr="008C0198">
              <w:rPr>
                <w:rFonts w:ascii="GHEA Grapalat" w:eastAsia="Calibri" w:hAnsi="GHEA Grapalat" w:cs="Sylfaen"/>
                <w:b/>
                <w:i/>
                <w:color w:val="00000A"/>
                <w:lang w:val="hy-AM"/>
              </w:rPr>
              <w:t>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</w:t>
            </w:r>
            <w:r w:rsidRPr="008C0198"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>, կամ սահմանված իրավակարգավորումները վատթարացնում են անձի իրավական վիճակը</w:t>
            </w:r>
            <w:r>
              <w:rPr>
                <w:rFonts w:ascii="GHEA Grapalat" w:eastAsia="Calibri" w:hAnsi="GHEA Grapalat" w:cs="Sylfaen"/>
                <w:i/>
                <w:color w:val="00000A"/>
                <w:lang w:val="hy-AM"/>
              </w:rPr>
              <w:t>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D4F47" w:rsidRDefault="00AD4F47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</w:t>
            </w:r>
            <w:r w:rsidR="00550CB5">
              <w:rPr>
                <w:rFonts w:ascii="GHEA Grapalat" w:hAnsi="GHEA Grapalat"/>
                <w:color w:val="000000"/>
                <w:lang w:val="hy-AM" w:eastAsia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550CB5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են համապատասխան փոփոխություններ։</w:t>
            </w: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4A26" w:rsidRDefault="00DB4A26" w:rsidP="00550CB5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0430F" w:rsidRDefault="006D190F" w:rsidP="006D190F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ի գիտություն։ Հայտնում ենք, որ </w:t>
            </w:r>
          </w:p>
          <w:p w:rsidR="00DB4A26" w:rsidRDefault="0080430F" w:rsidP="0080430F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B76C6">
              <w:rPr>
                <w:rFonts w:ascii="GHEA Grapalat" w:hAnsi="GHEA Grapalat"/>
                <w:color w:val="000000"/>
                <w:lang w:val="hy-AM" w:eastAsia="hy-AM"/>
              </w:rPr>
              <w:t>տեղորոշման կապարակնիքների կիրառմամբ հետագծելիությունն ապահովող ազգային օպերատոր</w:t>
            </w:r>
            <w:r w:rsidR="00D83236">
              <w:rPr>
                <w:rFonts w:ascii="GHEA Grapalat" w:hAnsi="GHEA Grapalat"/>
                <w:color w:val="000000"/>
                <w:lang w:val="hy-AM" w:eastAsia="hy-AM"/>
              </w:rPr>
              <w:t>ը նախկինում չգործող և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նոր ստեղծվող սուբյեկտ է, հետևաբար վարքագծի համապատասխանեցման անհրաժեշտություն չի առաջանում։ Միաժամանակ, </w:t>
            </w:r>
            <w:r w:rsidR="006D190F">
              <w:rPr>
                <w:rFonts w:ascii="GHEA Grapalat" w:hAnsi="GHEA Grapalat"/>
                <w:color w:val="000000"/>
                <w:lang w:val="hy-AM" w:eastAsia="hy-AM"/>
              </w:rPr>
              <w:t xml:space="preserve">նախագծով </w:t>
            </w:r>
            <w:r w:rsidR="000B76C6" w:rsidRPr="000B76C6">
              <w:rPr>
                <w:rFonts w:ascii="GHEA Grapalat" w:hAnsi="GHEA Grapalat"/>
                <w:color w:val="000000"/>
                <w:lang w:val="hy-AM" w:eastAsia="hy-AM"/>
              </w:rPr>
              <w:t>տեղորոշման կապարակնիքների կիրառմամբ հետագծելիությունն ապահովող ազգային օպերատորի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D190F">
              <w:rPr>
                <w:rFonts w:ascii="GHEA Grapalat" w:hAnsi="GHEA Grapalat"/>
                <w:color w:val="000000"/>
                <w:lang w:val="hy-AM" w:eastAsia="hy-AM"/>
              </w:rPr>
              <w:t>իրավական վիճակը վատթարացնող իրավակարգավորումներ չեն  սահմանվում։</w:t>
            </w:r>
          </w:p>
          <w:p w:rsidR="006D190F" w:rsidRPr="00733D99" w:rsidRDefault="000B76C6" w:rsidP="000B76C6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Նախագծով նախատեսվում է սահմանել </w:t>
            </w:r>
            <w:r w:rsidR="006D190F" w:rsidRPr="006D190F">
              <w:rPr>
                <w:rFonts w:ascii="GHEA Grapalat" w:hAnsi="GHEA Grapalat"/>
                <w:color w:val="000000"/>
                <w:lang w:val="hy-AM" w:eastAsia="hy-AM"/>
              </w:rPr>
              <w:t>«Եվրասիական տնտեսական միությունում փոխադրումների հետագծման համար նավիգացիոն կապարակնիքների կիրառման մասին» համաձայնագրով</w:t>
            </w:r>
            <w:r w:rsidR="006D190F">
              <w:rPr>
                <w:rFonts w:ascii="GHEA Grapalat" w:hAnsi="GHEA Grapalat"/>
                <w:color w:val="000000"/>
                <w:lang w:val="hy-AM" w:eastAsia="hy-AM"/>
              </w:rPr>
              <w:t xml:space="preserve"> արդեն իսկ սահմանված պարտականության </w:t>
            </w:r>
            <w:r w:rsidR="006D190F" w:rsidRPr="006D190F">
              <w:rPr>
                <w:rFonts w:ascii="GHEA Grapalat" w:hAnsi="GHEA Grapalat"/>
                <w:color w:val="000000"/>
                <w:lang w:val="hy-AM" w:eastAsia="hy-AM"/>
              </w:rPr>
              <w:t>չկատարման կամ ոչ պատշաճ կատարման համար</w:t>
            </w:r>
            <w:r w:rsidR="006D190F">
              <w:rPr>
                <w:rFonts w:ascii="GHEA Grapalat" w:hAnsi="GHEA Grapalat"/>
                <w:color w:val="000000"/>
                <w:lang w:val="hy-AM" w:eastAsia="hy-AM"/>
              </w:rPr>
              <w:t xml:space="preserve"> պատասխանատվության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նորմեր։</w:t>
            </w:r>
          </w:p>
        </w:tc>
      </w:tr>
    </w:tbl>
    <w:p w:rsidR="006A368A" w:rsidRDefault="006A368A" w:rsidP="00601234">
      <w:pPr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6A368A" w:rsidSect="007C3E8D">
      <w:pgSz w:w="15840" w:h="12240" w:orient="landscape"/>
      <w:pgMar w:top="720" w:right="1138" w:bottom="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62B" w:rsidRDefault="00A1762B" w:rsidP="006A368A">
      <w:r>
        <w:separator/>
      </w:r>
    </w:p>
  </w:endnote>
  <w:endnote w:type="continuationSeparator" w:id="0">
    <w:p w:rsidR="00A1762B" w:rsidRDefault="00A1762B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62B" w:rsidRDefault="00A1762B" w:rsidP="006A368A">
      <w:r>
        <w:separator/>
      </w:r>
    </w:p>
  </w:footnote>
  <w:footnote w:type="continuationSeparator" w:id="0">
    <w:p w:rsidR="00A1762B" w:rsidRDefault="00A1762B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3E8A"/>
    <w:rsid w:val="00067DCD"/>
    <w:rsid w:val="00094AD5"/>
    <w:rsid w:val="000A0CCB"/>
    <w:rsid w:val="000B76C6"/>
    <w:rsid w:val="000B7B68"/>
    <w:rsid w:val="000C6215"/>
    <w:rsid w:val="000C71EA"/>
    <w:rsid w:val="000D4B46"/>
    <w:rsid w:val="000E0DAD"/>
    <w:rsid w:val="000F18E4"/>
    <w:rsid w:val="000F4537"/>
    <w:rsid w:val="00101A36"/>
    <w:rsid w:val="00105BBD"/>
    <w:rsid w:val="00115450"/>
    <w:rsid w:val="0012313E"/>
    <w:rsid w:val="00137535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2858"/>
    <w:rsid w:val="00234EDC"/>
    <w:rsid w:val="00262BB0"/>
    <w:rsid w:val="00272861"/>
    <w:rsid w:val="00290862"/>
    <w:rsid w:val="002A554E"/>
    <w:rsid w:val="002C0C47"/>
    <w:rsid w:val="002C5E32"/>
    <w:rsid w:val="002E35F0"/>
    <w:rsid w:val="002E5934"/>
    <w:rsid w:val="00305C26"/>
    <w:rsid w:val="00306F32"/>
    <w:rsid w:val="00311C25"/>
    <w:rsid w:val="00314CDC"/>
    <w:rsid w:val="00323897"/>
    <w:rsid w:val="00323A33"/>
    <w:rsid w:val="00330E5F"/>
    <w:rsid w:val="00331AA5"/>
    <w:rsid w:val="00333325"/>
    <w:rsid w:val="00335CDE"/>
    <w:rsid w:val="00345B6F"/>
    <w:rsid w:val="003513F4"/>
    <w:rsid w:val="003515DE"/>
    <w:rsid w:val="00352AD6"/>
    <w:rsid w:val="0036790B"/>
    <w:rsid w:val="00372F38"/>
    <w:rsid w:val="003A01B9"/>
    <w:rsid w:val="003B08B1"/>
    <w:rsid w:val="003C7047"/>
    <w:rsid w:val="003C76F2"/>
    <w:rsid w:val="00416303"/>
    <w:rsid w:val="004258C9"/>
    <w:rsid w:val="0044071C"/>
    <w:rsid w:val="004454B2"/>
    <w:rsid w:val="0045210B"/>
    <w:rsid w:val="00453192"/>
    <w:rsid w:val="004538E8"/>
    <w:rsid w:val="004825F6"/>
    <w:rsid w:val="004832E6"/>
    <w:rsid w:val="004A0488"/>
    <w:rsid w:val="004A361D"/>
    <w:rsid w:val="004D6A1F"/>
    <w:rsid w:val="004E712A"/>
    <w:rsid w:val="0050383B"/>
    <w:rsid w:val="00510994"/>
    <w:rsid w:val="00514DAE"/>
    <w:rsid w:val="00517E26"/>
    <w:rsid w:val="00520316"/>
    <w:rsid w:val="00525F10"/>
    <w:rsid w:val="005276AA"/>
    <w:rsid w:val="005412EA"/>
    <w:rsid w:val="00550CB5"/>
    <w:rsid w:val="0056421B"/>
    <w:rsid w:val="00565379"/>
    <w:rsid w:val="00580B51"/>
    <w:rsid w:val="00583952"/>
    <w:rsid w:val="00587C49"/>
    <w:rsid w:val="0059254C"/>
    <w:rsid w:val="005D2F37"/>
    <w:rsid w:val="005D6F1A"/>
    <w:rsid w:val="005E17DD"/>
    <w:rsid w:val="005E720F"/>
    <w:rsid w:val="005F0018"/>
    <w:rsid w:val="005F4667"/>
    <w:rsid w:val="00601234"/>
    <w:rsid w:val="006061FC"/>
    <w:rsid w:val="006149F8"/>
    <w:rsid w:val="00623F0A"/>
    <w:rsid w:val="00625120"/>
    <w:rsid w:val="00631A17"/>
    <w:rsid w:val="006359C3"/>
    <w:rsid w:val="006401F8"/>
    <w:rsid w:val="00643518"/>
    <w:rsid w:val="00645638"/>
    <w:rsid w:val="006618B0"/>
    <w:rsid w:val="00673A22"/>
    <w:rsid w:val="0067445E"/>
    <w:rsid w:val="006758AA"/>
    <w:rsid w:val="00695191"/>
    <w:rsid w:val="006A368A"/>
    <w:rsid w:val="006A6FC8"/>
    <w:rsid w:val="006D190F"/>
    <w:rsid w:val="006D3B8B"/>
    <w:rsid w:val="006D5CFF"/>
    <w:rsid w:val="006E7975"/>
    <w:rsid w:val="00710EA1"/>
    <w:rsid w:val="00716610"/>
    <w:rsid w:val="00733D99"/>
    <w:rsid w:val="007463CA"/>
    <w:rsid w:val="00751FA6"/>
    <w:rsid w:val="00754666"/>
    <w:rsid w:val="00760B07"/>
    <w:rsid w:val="007619E4"/>
    <w:rsid w:val="00782781"/>
    <w:rsid w:val="007A01A9"/>
    <w:rsid w:val="007B705A"/>
    <w:rsid w:val="007C3E8D"/>
    <w:rsid w:val="007D09DF"/>
    <w:rsid w:val="0080430F"/>
    <w:rsid w:val="0082551F"/>
    <w:rsid w:val="00840C6E"/>
    <w:rsid w:val="00841922"/>
    <w:rsid w:val="00846045"/>
    <w:rsid w:val="00850362"/>
    <w:rsid w:val="00850B50"/>
    <w:rsid w:val="008511A5"/>
    <w:rsid w:val="00861637"/>
    <w:rsid w:val="00877E9A"/>
    <w:rsid w:val="008931DC"/>
    <w:rsid w:val="00896190"/>
    <w:rsid w:val="0089669C"/>
    <w:rsid w:val="008A2510"/>
    <w:rsid w:val="008A2843"/>
    <w:rsid w:val="008B7FBC"/>
    <w:rsid w:val="008C0198"/>
    <w:rsid w:val="008C722C"/>
    <w:rsid w:val="008C7C84"/>
    <w:rsid w:val="008D27D7"/>
    <w:rsid w:val="008E2F70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1762B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85D48"/>
    <w:rsid w:val="00A9116A"/>
    <w:rsid w:val="00A9344C"/>
    <w:rsid w:val="00A9782B"/>
    <w:rsid w:val="00AA41E9"/>
    <w:rsid w:val="00AB0F1E"/>
    <w:rsid w:val="00AB29C1"/>
    <w:rsid w:val="00AD4F47"/>
    <w:rsid w:val="00AE35ED"/>
    <w:rsid w:val="00AE5C6D"/>
    <w:rsid w:val="00AF1CF9"/>
    <w:rsid w:val="00AF3943"/>
    <w:rsid w:val="00AF44D2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80A73"/>
    <w:rsid w:val="00BA6B28"/>
    <w:rsid w:val="00BB1718"/>
    <w:rsid w:val="00BB4ADB"/>
    <w:rsid w:val="00BB517D"/>
    <w:rsid w:val="00BC5442"/>
    <w:rsid w:val="00BD34DF"/>
    <w:rsid w:val="00BD6BFA"/>
    <w:rsid w:val="00BF5E18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409A"/>
    <w:rsid w:val="00D253B0"/>
    <w:rsid w:val="00D31629"/>
    <w:rsid w:val="00D31BCF"/>
    <w:rsid w:val="00D40108"/>
    <w:rsid w:val="00D44F80"/>
    <w:rsid w:val="00D5497E"/>
    <w:rsid w:val="00D61017"/>
    <w:rsid w:val="00D61C84"/>
    <w:rsid w:val="00D72CF5"/>
    <w:rsid w:val="00D752F8"/>
    <w:rsid w:val="00D75BD1"/>
    <w:rsid w:val="00D83236"/>
    <w:rsid w:val="00D84B77"/>
    <w:rsid w:val="00DB3E60"/>
    <w:rsid w:val="00DB4A26"/>
    <w:rsid w:val="00DE29BA"/>
    <w:rsid w:val="00E00D3B"/>
    <w:rsid w:val="00E0297B"/>
    <w:rsid w:val="00E02B51"/>
    <w:rsid w:val="00E10148"/>
    <w:rsid w:val="00E13891"/>
    <w:rsid w:val="00E14B39"/>
    <w:rsid w:val="00E3016F"/>
    <w:rsid w:val="00E82F3A"/>
    <w:rsid w:val="00E92261"/>
    <w:rsid w:val="00EA1619"/>
    <w:rsid w:val="00EB4234"/>
    <w:rsid w:val="00EB736F"/>
    <w:rsid w:val="00ED09B3"/>
    <w:rsid w:val="00ED211E"/>
    <w:rsid w:val="00ED5B10"/>
    <w:rsid w:val="00EE316C"/>
    <w:rsid w:val="00EE4F2A"/>
    <w:rsid w:val="00EE7E02"/>
    <w:rsid w:val="00F061E7"/>
    <w:rsid w:val="00F0716B"/>
    <w:rsid w:val="00F41A0E"/>
    <w:rsid w:val="00F44728"/>
    <w:rsid w:val="00F7464E"/>
    <w:rsid w:val="00F76A2C"/>
    <w:rsid w:val="00F81827"/>
    <w:rsid w:val="00F860B2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2105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D9969-87C1-444B-A3D0-211FEF34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224</TotalTime>
  <Pages>4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131</cp:revision>
  <cp:lastPrinted>2021-09-01T13:43:00Z</cp:lastPrinted>
  <dcterms:created xsi:type="dcterms:W3CDTF">2021-09-14T12:11:00Z</dcterms:created>
  <dcterms:modified xsi:type="dcterms:W3CDTF">2023-08-09T08:06:00Z</dcterms:modified>
</cp:coreProperties>
</file>