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C1E" w:rsidRPr="008B7C1E" w:rsidRDefault="008B7C1E" w:rsidP="008B7C1E">
      <w:pPr>
        <w:spacing w:after="160" w:line="259" w:lineRule="auto"/>
        <w:jc w:val="center"/>
        <w:rPr>
          <w:rFonts w:eastAsia="Calibri"/>
          <w:bCs/>
          <w:color w:val="000000"/>
          <w:szCs w:val="24"/>
          <w:lang w:val="hy-AM" w:eastAsia="hy-AM"/>
        </w:rPr>
      </w:pPr>
      <w:bookmarkStart w:id="0" w:name="_GoBack"/>
      <w:bookmarkEnd w:id="0"/>
      <w:r w:rsidRPr="008B7C1E">
        <w:rPr>
          <w:rFonts w:eastAsia="Calibri"/>
          <w:bCs/>
          <w:color w:val="000000"/>
          <w:szCs w:val="24"/>
          <w:lang w:val="hy-AM" w:eastAsia="hy-AM"/>
        </w:rPr>
        <w:t>ՀԻՄՆԱՎՈՐՈՒՄ</w:t>
      </w:r>
    </w:p>
    <w:p w:rsidR="008B7C1E" w:rsidRPr="008B7C1E" w:rsidRDefault="008B7C1E" w:rsidP="008B7C1E">
      <w:pPr>
        <w:tabs>
          <w:tab w:val="left" w:pos="851"/>
          <w:tab w:val="left" w:pos="993"/>
        </w:tabs>
        <w:spacing w:after="0" w:line="360" w:lineRule="auto"/>
        <w:jc w:val="center"/>
        <w:rPr>
          <w:rFonts w:eastAsia="Calibri"/>
          <w:b/>
          <w:i/>
          <w:color w:val="000000"/>
          <w:szCs w:val="24"/>
          <w:lang w:val="hy-AM" w:eastAsia="hy-AM"/>
        </w:rPr>
      </w:pPr>
      <w:r w:rsidRPr="008B7C1E">
        <w:rPr>
          <w:rFonts w:eastAsia="Calibri"/>
          <w:bCs/>
          <w:color w:val="000000"/>
          <w:szCs w:val="24"/>
          <w:lang w:val="hy-AM" w:eastAsia="hy-AM"/>
        </w:rPr>
        <w:t>««ՄԱՔՍԱՅԻՆ ԿԱՐԳԱՎՈՐՄԱՆ ՄԱՍԻՆ» ՕՐԵՆՔՈՒՄ ԼՐԱՑՈՒՄ ԿԱՏԱՐԵԼՈՒ ՄԱՍԻՆ» ՀԱՅԱՍՏԱՆԻ ՀԱՆՐԱՊԵՏՈՒԹՅԱՆ ՕՐԵՆՔԻ ՆԱԽԱԳԾԻ</w:t>
      </w:r>
      <w:r w:rsidRPr="008B7C1E">
        <w:rPr>
          <w:rFonts w:eastAsia="Calibri"/>
          <w:bCs/>
          <w:iCs/>
          <w:color w:val="000000"/>
          <w:szCs w:val="24"/>
          <w:lang w:val="hy-AM" w:eastAsia="hy-AM"/>
        </w:rPr>
        <w:t xml:space="preserve"> ՎԵՐԱԲԵՐՅԱԼ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8B7C1E">
        <w:rPr>
          <w:rFonts w:eastAsia="Calibri"/>
          <w:b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8B7C1E">
        <w:rPr>
          <w:rFonts w:eastAsia="Calibri"/>
          <w:color w:val="000000"/>
          <w:szCs w:val="24"/>
          <w:lang w:val="hy-AM" w:eastAsia="hy-AM"/>
        </w:rPr>
        <w:t>Հայաստանի Հանրապետության Վարչապետի 07</w:t>
      </w:r>
      <w:r w:rsidRPr="008B7C1E">
        <w:rPr>
          <w:rFonts w:ascii="Cambria Math" w:eastAsia="Calibri" w:hAnsi="Cambria Math" w:cs="Cambria Math"/>
          <w:color w:val="000000"/>
          <w:szCs w:val="24"/>
          <w:lang w:val="hy-AM" w:eastAsia="hy-AM"/>
        </w:rPr>
        <w:t>․</w:t>
      </w:r>
      <w:r w:rsidRPr="008B7C1E">
        <w:rPr>
          <w:rFonts w:eastAsia="Calibri"/>
          <w:color w:val="000000"/>
          <w:szCs w:val="24"/>
          <w:lang w:val="hy-AM" w:eastAsia="hy-AM"/>
        </w:rPr>
        <w:t>04</w:t>
      </w:r>
      <w:r w:rsidRPr="008B7C1E">
        <w:rPr>
          <w:rFonts w:ascii="Cambria Math" w:eastAsia="Calibri" w:hAnsi="Cambria Math" w:cs="Cambria Math"/>
          <w:color w:val="000000"/>
          <w:szCs w:val="24"/>
          <w:lang w:val="hy-AM" w:eastAsia="hy-AM"/>
        </w:rPr>
        <w:t>․</w:t>
      </w:r>
      <w:r w:rsidRPr="008B7C1E">
        <w:rPr>
          <w:rFonts w:eastAsia="Calibri"/>
          <w:color w:val="000000"/>
          <w:szCs w:val="24"/>
          <w:lang w:val="hy-AM" w:eastAsia="hy-AM"/>
        </w:rPr>
        <w:t>2023թ</w:t>
      </w:r>
      <w:r w:rsidRPr="008B7C1E">
        <w:rPr>
          <w:rFonts w:ascii="Cambria Math" w:eastAsia="Calibri" w:hAnsi="Cambria Math" w:cs="Cambria Math"/>
          <w:color w:val="000000"/>
          <w:szCs w:val="24"/>
          <w:lang w:val="hy-AM" w:eastAsia="hy-AM"/>
        </w:rPr>
        <w:t>․</w:t>
      </w:r>
      <w:r w:rsidRPr="008B7C1E">
        <w:rPr>
          <w:rFonts w:eastAsia="Calibri"/>
          <w:color w:val="000000"/>
          <w:szCs w:val="24"/>
          <w:lang w:val="hy-AM" w:eastAsia="hy-AM"/>
        </w:rPr>
        <w:t xml:space="preserve"> N388-Ա որոշման հավելվածի 3-րդ կետով նախատեսված է </w:t>
      </w:r>
      <w:r w:rsidRPr="008B7C1E">
        <w:rPr>
          <w:rFonts w:eastAsia="Calibri"/>
          <w:color w:val="000000"/>
          <w:szCs w:val="24"/>
          <w:shd w:val="clear" w:color="auto" w:fill="FFFFFF"/>
          <w:lang w:val="hy-AM"/>
        </w:rPr>
        <w:t>«Եվրասիական տնտեսական միությունում փոխադրումների հետագծման համար նավիգացիոն կապարակնիքների կիրառման մասին» համաձայնագրով նախատեսված դեպքերում պատասխանատվության սահմանում «Մաքսային կարգավորման մասին» օրենքով։ Նշված համաձայնագրի 5-րդ հոդվածի 1-ին կետի 1-ին պարբերության համաձայն՝ ազգային օպերատորը ապահովում է Եվրասիական տնտեսական միության անդամ պետությունների տարածքներով փոխադրումների հետագծելիության կիրառման համար տեղեկատվական համակարգի աշխատանքը մշտական հիմունքներով՝ շաբաթական 7 օր և օրվա ընթացքում 24 ժամ։ Նույն կետի երկրորդ պարբերության համաձայն՝ նշված պարտավորության չկատարման կամ ոչ պատշաճ կատարման համար ազգային օպերատորը կրում է անդամ պետությունների օրենսդրությամբ սահմանված պատասխանատվություն, ինչը նախատեսվում է սահմանել նախագծով։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8B7C1E">
        <w:rPr>
          <w:rFonts w:eastAsia="Calibri"/>
          <w:b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8B7C1E">
        <w:rPr>
          <w:rFonts w:eastAsia="Calibri"/>
          <w:color w:val="000000"/>
          <w:szCs w:val="24"/>
          <w:lang w:val="hy-AM" w:eastAsia="hy-AM"/>
        </w:rPr>
        <w:t xml:space="preserve">Նախագծով նախատեսվում է </w:t>
      </w:r>
      <w:r w:rsidRPr="008B7C1E">
        <w:rPr>
          <w:rFonts w:eastAsia="Calibri"/>
          <w:bCs/>
          <w:color w:val="000000"/>
          <w:szCs w:val="24"/>
          <w:shd w:val="clear" w:color="auto" w:fill="FFFFFF"/>
          <w:lang w:val="hy-AM"/>
        </w:rPr>
        <w:t>«Մաքսային կարգավորման մասին» օրենքում</w:t>
      </w:r>
      <w:r w:rsidRPr="008B7C1E">
        <w:rPr>
          <w:rFonts w:eastAsia="Calibri"/>
          <w:color w:val="000000"/>
          <w:szCs w:val="24"/>
          <w:lang w:val="hy-AM" w:eastAsia="hy-AM"/>
        </w:rPr>
        <w:t xml:space="preserve"> </w:t>
      </w:r>
      <w:r w:rsidRPr="008B7C1E">
        <w:rPr>
          <w:rFonts w:eastAsia="Calibri"/>
          <w:color w:val="000000"/>
          <w:szCs w:val="24"/>
          <w:shd w:val="clear" w:color="auto" w:fill="FFFFFF"/>
          <w:lang w:val="hy-AM"/>
        </w:rPr>
        <w:t>«Եվրասիական տնտեսական միությունում փոխադրումների հետագծման համար նավիգացիոն կապարակնիքների կիրառման մասին» համաձայնագրով ազգային օրենսդրությանը վերապահված համապատասխան դրույթի սահմանում:</w:t>
      </w:r>
      <w:r w:rsidRPr="008B7C1E">
        <w:rPr>
          <w:rFonts w:eastAsia="Calibri"/>
          <w:color w:val="000000"/>
          <w:szCs w:val="24"/>
          <w:lang w:val="hy-AM" w:eastAsia="hy-AM"/>
        </w:rPr>
        <w:t xml:space="preserve"> Նախագծի ընդունման արդյունքում ակնկալվում է մաքսային մարմինների կողմից իրականացվող հսկողության արդյունավետության աճ։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8B7C1E">
        <w:rPr>
          <w:rFonts w:eastAsia="Calibri"/>
          <w:b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8B7C1E">
        <w:rPr>
          <w:rFonts w:eastAsia="Calibri"/>
          <w:color w:val="000000"/>
          <w:szCs w:val="24"/>
          <w:lang w:val="hy-AM" w:eastAsia="hy-AM"/>
        </w:rPr>
        <w:lastRenderedPageBreak/>
        <w:t>Նախագիծն ուղղակիորեն չի բխում ռազմավարական փաստաթղթերից։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fr-FR" w:eastAsia="hy-AM"/>
        </w:rPr>
      </w:pPr>
      <w:r w:rsidRPr="008B7C1E">
        <w:rPr>
          <w:rFonts w:eastAsia="Calibri"/>
          <w:b/>
          <w:i/>
          <w:color w:val="000000"/>
          <w:szCs w:val="24"/>
          <w:lang w:val="hy-AM" w:eastAsia="hy-AM"/>
        </w:rPr>
        <w:t>Նախագծի</w:t>
      </w:r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B7C1E">
        <w:rPr>
          <w:rFonts w:eastAsia="Calibri"/>
          <w:b/>
          <w:i/>
          <w:color w:val="000000"/>
          <w:szCs w:val="24"/>
          <w:lang w:val="hy-AM" w:eastAsia="hy-AM"/>
        </w:rPr>
        <w:t>մշակման</w:t>
      </w:r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B7C1E">
        <w:rPr>
          <w:rFonts w:eastAsia="Calibri"/>
          <w:b/>
          <w:i/>
          <w:color w:val="000000"/>
          <w:szCs w:val="24"/>
          <w:lang w:val="hy-AM" w:eastAsia="hy-AM"/>
        </w:rPr>
        <w:t>գործընթացում</w:t>
      </w:r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B7C1E">
        <w:rPr>
          <w:rFonts w:eastAsia="Calibri"/>
          <w:b/>
          <w:i/>
          <w:color w:val="000000"/>
          <w:szCs w:val="24"/>
          <w:lang w:val="hy-AM" w:eastAsia="hy-AM"/>
        </w:rPr>
        <w:t>ներգրավված</w:t>
      </w:r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B7C1E">
        <w:rPr>
          <w:rFonts w:eastAsia="Calibri"/>
          <w:b/>
          <w:i/>
          <w:color w:val="000000"/>
          <w:szCs w:val="24"/>
          <w:lang w:val="hy-AM" w:eastAsia="hy-AM"/>
        </w:rPr>
        <w:t>ինստիտուտները</w:t>
      </w:r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B7C1E">
        <w:rPr>
          <w:rFonts w:eastAsia="Calibri"/>
          <w:b/>
          <w:i/>
          <w:color w:val="000000"/>
          <w:szCs w:val="24"/>
          <w:lang w:val="hy-AM" w:eastAsia="hy-AM"/>
        </w:rPr>
        <w:t>և</w:t>
      </w:r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B7C1E">
        <w:rPr>
          <w:rFonts w:eastAsia="Calibri"/>
          <w:b/>
          <w:i/>
          <w:color w:val="000000"/>
          <w:szCs w:val="24"/>
          <w:lang w:val="hy-AM" w:eastAsia="hy-AM"/>
        </w:rPr>
        <w:t>անձինք</w:t>
      </w:r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. 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bCs/>
          <w:color w:val="000000"/>
          <w:szCs w:val="24"/>
          <w:lang w:val="fr-FR" w:eastAsia="hy-AM"/>
        </w:rPr>
      </w:pPr>
      <w:proofErr w:type="spellStart"/>
      <w:r w:rsidRPr="008B7C1E">
        <w:rPr>
          <w:rFonts w:eastAsia="Calibri"/>
          <w:color w:val="000000"/>
          <w:szCs w:val="24"/>
          <w:lang w:eastAsia="hy-AM"/>
        </w:rPr>
        <w:t>Նախագ</w:t>
      </w:r>
      <w:proofErr w:type="spellEnd"/>
      <w:r w:rsidRPr="008B7C1E">
        <w:rPr>
          <w:rFonts w:eastAsia="Calibri"/>
          <w:color w:val="000000"/>
          <w:szCs w:val="24"/>
          <w:lang w:val="hy-AM" w:eastAsia="hy-AM"/>
        </w:rPr>
        <w:t>ի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ծը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մշակվել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r w:rsidRPr="008B7C1E">
        <w:rPr>
          <w:rFonts w:eastAsia="Calibri"/>
          <w:color w:val="000000"/>
          <w:szCs w:val="24"/>
          <w:lang w:val="hy-AM" w:eastAsia="hy-AM"/>
        </w:rPr>
        <w:t>է</w:t>
      </w:r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Հայաստանի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Հանրապետության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պետական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եկամուտների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կոմիտեի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կողմից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>: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fr-FR" w:eastAsia="hy-AM"/>
        </w:rPr>
      </w:pP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Լրացուցիչ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ֆինանսական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միջոցների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վերաբերյալ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>.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fr-FR" w:eastAsia="hy-AM"/>
        </w:rPr>
      </w:pPr>
      <w:proofErr w:type="spellStart"/>
      <w:r w:rsidRPr="008B7C1E">
        <w:rPr>
          <w:rFonts w:eastAsia="Calibri"/>
          <w:color w:val="000000"/>
          <w:szCs w:val="24"/>
          <w:lang w:eastAsia="hy-AM"/>
        </w:rPr>
        <w:t>Նախագծի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ընդունմամբ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լրացուցիչ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ֆինանսական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միջոցների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ներգրավման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անհրաժեշտություն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առկա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չէ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>: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i/>
          <w:color w:val="000000"/>
          <w:szCs w:val="24"/>
          <w:lang w:val="fr-FR" w:eastAsia="hy-AM"/>
        </w:rPr>
      </w:pP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Պետական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բյուջեի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եկամուտներում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8B7C1E">
        <w:rPr>
          <w:rFonts w:eastAsia="Calibri"/>
          <w:b/>
          <w:i/>
          <w:color w:val="000000"/>
          <w:szCs w:val="24"/>
          <w:lang w:eastAsia="hy-AM"/>
        </w:rPr>
        <w:t>և</w:t>
      </w:r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ծախսերում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սպասվելիք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/>
          <w:i/>
          <w:color w:val="000000"/>
          <w:szCs w:val="24"/>
          <w:lang w:eastAsia="hy-AM"/>
        </w:rPr>
        <w:t>վերաբերյալ</w:t>
      </w:r>
      <w:proofErr w:type="spellEnd"/>
      <w:r w:rsidRPr="008B7C1E">
        <w:rPr>
          <w:rFonts w:eastAsia="Calibri"/>
          <w:b/>
          <w:i/>
          <w:color w:val="000000"/>
          <w:szCs w:val="24"/>
          <w:lang w:val="fr-FR" w:eastAsia="hy-AM"/>
        </w:rPr>
        <w:t>.</w:t>
      </w:r>
    </w:p>
    <w:p w:rsidR="008B7C1E" w:rsidRPr="008B7C1E" w:rsidRDefault="008B7C1E" w:rsidP="008B7C1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Cs/>
          <w:color w:val="000000"/>
          <w:szCs w:val="24"/>
          <w:lang w:val="fr-FR" w:eastAsia="hy-AM"/>
        </w:rPr>
      </w:pPr>
      <w:proofErr w:type="spellStart"/>
      <w:r w:rsidRPr="008B7C1E">
        <w:rPr>
          <w:rFonts w:eastAsia="Calibri"/>
          <w:color w:val="000000"/>
          <w:szCs w:val="24"/>
          <w:lang w:eastAsia="hy-AM"/>
        </w:rPr>
        <w:t>Նախագծի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Cs/>
          <w:color w:val="000000"/>
          <w:szCs w:val="24"/>
          <w:lang w:eastAsia="hy-AM"/>
        </w:rPr>
        <w:t>ընդունմամբ</w:t>
      </w:r>
      <w:proofErr w:type="spellEnd"/>
      <w:r w:rsidRPr="008B7C1E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Հայաստանի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color w:val="000000"/>
          <w:szCs w:val="24"/>
          <w:lang w:eastAsia="hy-AM"/>
        </w:rPr>
        <w:t>Հանրապետության</w:t>
      </w:r>
      <w:proofErr w:type="spellEnd"/>
      <w:r w:rsidRPr="008B7C1E">
        <w:rPr>
          <w:rFonts w:eastAsia="Calibri"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Cs/>
          <w:color w:val="000000"/>
          <w:szCs w:val="24"/>
          <w:lang w:eastAsia="hy-AM"/>
        </w:rPr>
        <w:t>պետական</w:t>
      </w:r>
      <w:proofErr w:type="spellEnd"/>
      <w:r w:rsidRPr="008B7C1E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Cs/>
          <w:color w:val="000000"/>
          <w:szCs w:val="24"/>
          <w:lang w:eastAsia="hy-AM"/>
        </w:rPr>
        <w:t>բյուջեում</w:t>
      </w:r>
      <w:proofErr w:type="spellEnd"/>
      <w:r w:rsidRPr="008B7C1E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Cs/>
          <w:color w:val="000000"/>
          <w:szCs w:val="24"/>
          <w:lang w:eastAsia="hy-AM"/>
        </w:rPr>
        <w:t>եկամուտների</w:t>
      </w:r>
      <w:proofErr w:type="spellEnd"/>
      <w:r w:rsidRPr="008B7C1E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r w:rsidRPr="008B7C1E">
        <w:rPr>
          <w:rFonts w:eastAsia="Calibri"/>
          <w:bCs/>
          <w:color w:val="000000"/>
          <w:szCs w:val="24"/>
          <w:lang w:eastAsia="hy-AM"/>
        </w:rPr>
        <w:t>և</w:t>
      </w:r>
      <w:r w:rsidRPr="008B7C1E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Cs/>
          <w:color w:val="000000"/>
          <w:szCs w:val="24"/>
          <w:lang w:eastAsia="hy-AM"/>
        </w:rPr>
        <w:t>ծախսերի</w:t>
      </w:r>
      <w:proofErr w:type="spellEnd"/>
      <w:r w:rsidRPr="008B7C1E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Cs/>
          <w:color w:val="000000"/>
          <w:szCs w:val="24"/>
          <w:lang w:eastAsia="hy-AM"/>
        </w:rPr>
        <w:t>ավելացում</w:t>
      </w:r>
      <w:proofErr w:type="spellEnd"/>
      <w:r w:rsidRPr="008B7C1E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Cs/>
          <w:color w:val="000000"/>
          <w:szCs w:val="24"/>
          <w:lang w:eastAsia="hy-AM"/>
        </w:rPr>
        <w:t>կամ</w:t>
      </w:r>
      <w:proofErr w:type="spellEnd"/>
      <w:r w:rsidRPr="008B7C1E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Cs/>
          <w:color w:val="000000"/>
          <w:szCs w:val="24"/>
          <w:lang w:eastAsia="hy-AM"/>
        </w:rPr>
        <w:t>նվազեցում</w:t>
      </w:r>
      <w:proofErr w:type="spellEnd"/>
      <w:r w:rsidRPr="008B7C1E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Cs/>
          <w:color w:val="000000"/>
          <w:szCs w:val="24"/>
          <w:lang w:eastAsia="hy-AM"/>
        </w:rPr>
        <w:t>չի</w:t>
      </w:r>
      <w:proofErr w:type="spellEnd"/>
      <w:r w:rsidRPr="008B7C1E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proofErr w:type="spellStart"/>
      <w:r w:rsidRPr="008B7C1E">
        <w:rPr>
          <w:rFonts w:eastAsia="Calibri"/>
          <w:bCs/>
          <w:color w:val="000000"/>
          <w:szCs w:val="24"/>
          <w:lang w:eastAsia="hy-AM"/>
        </w:rPr>
        <w:t>նախատեսվում</w:t>
      </w:r>
      <w:proofErr w:type="spellEnd"/>
      <w:r w:rsidRPr="008B7C1E">
        <w:rPr>
          <w:rFonts w:eastAsia="Calibri"/>
          <w:bCs/>
          <w:color w:val="000000"/>
          <w:szCs w:val="24"/>
          <w:lang w:eastAsia="hy-AM"/>
        </w:rPr>
        <w:t>։</w:t>
      </w:r>
    </w:p>
    <w:p w:rsidR="00E91704" w:rsidRPr="001717E0" w:rsidRDefault="00E91704" w:rsidP="001717E0">
      <w:pPr>
        <w:spacing w:line="360" w:lineRule="auto"/>
        <w:rPr>
          <w:lang w:val="fr-FR"/>
        </w:rPr>
      </w:pPr>
    </w:p>
    <w:sectPr w:rsidR="00E91704" w:rsidRPr="001717E0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04F" w:rsidRDefault="00BA204F" w:rsidP="006B5E11">
      <w:pPr>
        <w:spacing w:after="0" w:line="240" w:lineRule="auto"/>
      </w:pPr>
      <w:r>
        <w:separator/>
      </w:r>
    </w:p>
  </w:endnote>
  <w:endnote w:type="continuationSeparator" w:id="0">
    <w:p w:rsidR="00BA204F" w:rsidRDefault="00BA204F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04F" w:rsidRDefault="00BA204F" w:rsidP="006B5E11">
      <w:pPr>
        <w:spacing w:after="0" w:line="240" w:lineRule="auto"/>
      </w:pPr>
      <w:r>
        <w:separator/>
      </w:r>
    </w:p>
  </w:footnote>
  <w:footnote w:type="continuationSeparator" w:id="0">
    <w:p w:rsidR="00BA204F" w:rsidRDefault="00BA204F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7E0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97454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9B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055C5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1E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2F0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1E2F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04F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3FD0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140D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1F0B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4067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64681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DEDF9-5AA9-46E7-B4C8-38AC951AC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https://mul2-taxservice.gov.am/tasks/2374003/oneclick/Himnavorum_Operatori sahmanum.docx?token=783721edf38511279a824667524c98e7</cp:keywords>
  <cp:lastModifiedBy>Davit Prutyan</cp:lastModifiedBy>
  <cp:revision>60</cp:revision>
  <cp:lastPrinted>2022-06-17T07:38:00Z</cp:lastPrinted>
  <dcterms:created xsi:type="dcterms:W3CDTF">2022-05-10T11:34:00Z</dcterms:created>
  <dcterms:modified xsi:type="dcterms:W3CDTF">2023-08-02T13:26:00Z</dcterms:modified>
</cp:coreProperties>
</file>