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1A" w:rsidRPr="00DC28DC" w:rsidRDefault="00E6331A" w:rsidP="00E6331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6331A" w:rsidRPr="00DC28DC" w:rsidRDefault="00E6331A" w:rsidP="00E6331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DC28D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«ՊԵՏԱԿԱՆ ՊԱՇՏՈՆՆԵՐ ԵՎ ՊԵՏԱԿԱՆ ԾԱՌԱՅՈՒԹՅԱՆ ՊԱՇՏՈՆՆԵՐ ԶԲԱՂԵՑՆՈՂ ԱՆՁԱՆՑ ՎԱՐՁԱՏՐՈՒԹՅԱՆ ՄԱՍԻՆ» ՕՐԵՆՔՈՒՄ 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ԼՐԱՑՈՒՄՆԵՐ</w:t>
      </w:r>
      <w:r w:rsidRPr="00DC28D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hAnsi="GHEA Grapalat"/>
          <w:b/>
          <w:sz w:val="24"/>
          <w:szCs w:val="24"/>
          <w:lang w:val="hy-AM"/>
        </w:rPr>
        <w:t xml:space="preserve">ՕՐԵՆՔԻ </w:t>
      </w:r>
      <w:r w:rsidRPr="00DC28DC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:rsidR="00E6331A" w:rsidRPr="003418AE" w:rsidRDefault="00E6331A" w:rsidP="00E6331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331A" w:rsidRPr="00DC28DC" w:rsidRDefault="00E6331A" w:rsidP="00E6331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C28DC">
        <w:rPr>
          <w:rFonts w:ascii="GHEA Grapalat" w:hAnsi="GHEA Grapalat"/>
          <w:b/>
          <w:sz w:val="24"/>
          <w:szCs w:val="24"/>
          <w:lang w:val="hy-AM"/>
        </w:rPr>
        <w:t xml:space="preserve"> ենթակա խնդիրը </w:t>
      </w:r>
    </w:p>
    <w:p w:rsidR="00E6331A" w:rsidRPr="00DC28DC" w:rsidRDefault="00D161C3" w:rsidP="00E633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E6331A" w:rsidRPr="00DC28D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6331A" w:rsidRPr="003418AE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առաջին ատյանի դատարանների դատավորներին տրվող վարձատրության համակարգի վերանայման անհրաժեշտությամբ և </w:t>
      </w:r>
      <w:r w:rsidR="00E6331A" w:rsidRPr="00DC28DC">
        <w:rPr>
          <w:rFonts w:ascii="GHEA Grapalat" w:hAnsi="GHEA Grapalat"/>
          <w:sz w:val="24"/>
          <w:szCs w:val="24"/>
          <w:lang w:val="hy-AM"/>
        </w:rPr>
        <w:t xml:space="preserve"> բխում է դատավորի անկախությունը երաշխավորելու, ինչպես նաև առաջին ատյանի դատարանների դատավորների առկա թափուր պաշտոնները համալրելու նպատակով  համապատասխան բարձր որակավորում ունեցող մասնագետների համար գրավչություն ապահովելու անհրաժեշտությունից: </w:t>
      </w:r>
    </w:p>
    <w:p w:rsidR="00E6331A" w:rsidRPr="00DC28DC" w:rsidRDefault="00E6331A" w:rsidP="00E633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6331A" w:rsidRPr="00DC28DC" w:rsidRDefault="00E6331A" w:rsidP="00E6331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C28DC">
        <w:rPr>
          <w:rFonts w:ascii="GHEA Grapalat" w:hAnsi="GHEA Grapalat" w:cs="Sylfaen"/>
          <w:b/>
          <w:sz w:val="24"/>
          <w:szCs w:val="24"/>
          <w:lang w:val="hy-AM"/>
        </w:rPr>
        <w:t>Առկա իրավիճակը</w:t>
      </w:r>
    </w:p>
    <w:p w:rsidR="00E6331A" w:rsidRPr="003418AE" w:rsidRDefault="00E6331A" w:rsidP="00E6331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DC28DC">
        <w:rPr>
          <w:rFonts w:ascii="GHEA Grapalat" w:eastAsiaTheme="minorHAnsi" w:hAnsi="GHEA Grapalat"/>
          <w:lang w:val="hy-AM"/>
        </w:rPr>
        <w:tab/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>Սահմանադրության 164-րդ հոդվածի 10-րդ մասի համաձայն՝ դատավորի համար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>սահմանվում է նրա բարձր կարգավիճակին և պատասխանատվությանը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 xml:space="preserve">համապատասխանող վարձատրություն: 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>Առաջին ատյանի դատարանների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 xml:space="preserve"> դատավորների վարձատրության հետ կապված հարաբերությունները, այդ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>թվում՝ աշխատավարձի չափը, կարգավորվում են «Պետական պաշտոններ և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>պետական ծառայության պաշտոններ զբաղեցնող անձանց վարձատրության մասին»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DC28DC">
        <w:rPr>
          <w:rFonts w:ascii="GHEA Grapalat" w:eastAsiaTheme="minorHAnsi" w:hAnsi="GHEA Grapalat"/>
          <w:sz w:val="24"/>
          <w:szCs w:val="24"/>
          <w:lang w:val="hy-AM"/>
        </w:rPr>
        <w:t>օրենքով (այսուհետ՝ Օրենք):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t xml:space="preserve"> Սակայն հարկ է նկատել, որ Օրենքով առաջին ատյանի դատարանների դատավորների համար սահմանված վարձատրության չափը չի համապատասխանում վերջիններիս կարգավիճակին և պատասխանատվությանը: </w:t>
      </w:r>
    </w:p>
    <w:p w:rsidR="00E6331A" w:rsidRPr="003418AE" w:rsidRDefault="00E6331A" w:rsidP="00E6331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3418AE">
        <w:rPr>
          <w:rFonts w:ascii="GHEA Grapalat" w:eastAsiaTheme="minorHAnsi" w:hAnsi="GHEA Grapalat"/>
          <w:sz w:val="24"/>
          <w:szCs w:val="24"/>
          <w:lang w:val="hy-AM"/>
        </w:rPr>
        <w:tab/>
        <w:t xml:space="preserve">Ընդգծվում է դատավորների՝ կարմիր նշակետը հատող գերծանրաբեռնվածությունը և այդ ծանրաբեռնվածության ու դատավորների ներկայիս վարձատրության անհամապատասխանությունը: Ընդ որում, վիճակագրության արդյունքներով քննվող դատական գործերի քանակով եռաստիճան դատական համակարգում ծանրաբեռնվածության ամենամեծ բեռը կրում են հենց առաջին ատյանի դատարանների դատավորները: Արդյունքում, դատական համակարգում արդեն իսկ նկատվում են իրական ռիսկեր համապատասխան բարձր որակավորում ունեցող մասնագետների կողմից առաջին ատյանի դատարանների </w:t>
      </w:r>
      <w:r w:rsidRPr="003418AE">
        <w:rPr>
          <w:rFonts w:ascii="GHEA Grapalat" w:eastAsiaTheme="minorHAnsi" w:hAnsi="GHEA Grapalat"/>
          <w:sz w:val="24"/>
          <w:szCs w:val="24"/>
          <w:lang w:val="hy-AM"/>
        </w:rPr>
        <w:lastRenderedPageBreak/>
        <w:t>դատավորների առկա թափուր պաշտոնները համալրելու ցանկության և շահագրգռվածության բացակայության մասով:</w:t>
      </w:r>
    </w:p>
    <w:p w:rsidR="00E6331A" w:rsidRPr="003418AE" w:rsidRDefault="00E6331A" w:rsidP="00E6331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lang w:val="hy-AM"/>
        </w:rPr>
      </w:pPr>
      <w:r w:rsidRPr="003418AE">
        <w:rPr>
          <w:rFonts w:ascii="GHEA Grapalat" w:eastAsiaTheme="minorHAnsi" w:hAnsi="GHEA Grapalat" w:cstheme="minorBidi"/>
          <w:lang w:val="hy-AM"/>
        </w:rPr>
        <w:tab/>
        <w:t>Այս առումով պետք է նկատի ունենալ, որ Օրենքում նախկինում կատարված փոփոխությունների արդյունքում հավելում է սահմանվել հակակոռուպցիոն դատարանի դատավորների համար, այնուհետև վերանայվել են նաև Վճռաբեկ դատարանի և Սահմանադրական դատարանի դատավորների վարձատրության չափերը: Որպես նշված փոփոխությունների տրամաբանական շարունակություն՝ անհրաժեշտություն է վերանայել նաև դատական համակարգում ծանրաբեռնվածության մեծ բեռ կրող առաջին ատյանի դատարանների դատավորների վարձատրության չափը:</w:t>
      </w:r>
    </w:p>
    <w:p w:rsidR="00E6331A" w:rsidRPr="00E6331A" w:rsidRDefault="00E6331A" w:rsidP="00E6331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 w:cs="GHEAGrapalat"/>
          <w:lang w:val="hy-AM"/>
        </w:rPr>
      </w:pPr>
      <w:r w:rsidRPr="003418AE">
        <w:rPr>
          <w:rFonts w:ascii="GHEA Grapalat" w:eastAsiaTheme="minorHAnsi" w:hAnsi="GHEA Grapalat" w:cstheme="minorBidi"/>
          <w:lang w:val="hy-AM"/>
        </w:rPr>
        <w:tab/>
      </w:r>
      <w:r w:rsidRPr="003418AE">
        <w:rPr>
          <w:rFonts w:ascii="GHEA Grapalat" w:hAnsi="GHEA Grapalat" w:cs="GHEAGrapalat"/>
          <w:lang w:val="hy-AM"/>
        </w:rPr>
        <w:t xml:space="preserve">Հարկ է նշել, որ դատական իշխանության մարմիններին տրվող սոցիալական երաշխիքներին և վարձատրությանը, ինչպես նաև դրանց տարբերակվածությանը անդրադարձ են կատարել նաև միջազգային կառույցները: Մասնավորապես, «Ժողովրդավարություն՝ իրավունքի միջոցով» եվրոպական հանձնաժողովը (Վենետիկի հանձնաժողով) բազմիցս դիրքորոշում է հայտնել դատավորների նյութական երաշխիքների ապահովման անհրաժեշտության վերաբերյալ: Վենետիկի հանձնաժողովը 2009 թվականի հունիսի 4-ի «Դատական համակարգի անկախությունը. Մաս 1. Դատավորների անկախությունը» զեկույցի շրջանակներում նշել է, որ. «Դատավորների վարձատրությունը պետք է համապատասխանի նրանց մասնագիտական արժանապատվությանը և այդ համարժեք վարձատրությունը անփոխարինելի է դատավորներին արտաքին անհարկի միջամտությունից պաշտպանելու համար։ </w:t>
      </w:r>
      <w:r w:rsidRPr="00E6331A">
        <w:rPr>
          <w:rFonts w:ascii="GHEA Grapalat" w:hAnsi="GHEA Grapalat" w:cs="GHEAGrapalat"/>
          <w:lang w:val="hy-AM"/>
        </w:rPr>
        <w:t>(…) Վարձատրությունը պետք է հիմնված լինի ընդհանուր ստանդարտների վրա և համապատասխանի օբյեկտիվության, թափանցիկության չափանիշներին և չհիմնվի դատավորի անհատական գործունեության գնահատման</w:t>
      </w:r>
      <w:r w:rsidRPr="00E6331A">
        <w:rPr>
          <w:rFonts w:ascii="GHEA Grapalat" w:eastAsiaTheme="minorHAnsi" w:hAnsi="GHEA Grapalat" w:cstheme="minorBidi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 xml:space="preserve">վրա»: Վենետիկի հանձնաժողովը 2019 թվականի դեկտեմբերի 11-ին Դատարանների և դատավորների մասին Վենետիկի հանձնաժողովի կարծիքներ և զեկույցներ ժողովածուի շրջանակներում ամփոփելով դատական համակարգի, այդ թվում՝ դատավորների վարձատրության վերաբերյալ արտահայտած դիրքորոշումները, նշել է. Դատավորի վարձատրությունը պետք է սահմանվի օրենքով և պետք է հավասար լինի նույն պարտականությունները կատարող դատավորների համար։ Տարբերություններ կարող են լինել </w:t>
      </w:r>
      <w:r w:rsidRPr="00E6331A">
        <w:rPr>
          <w:rFonts w:ascii="GHEA Grapalat" w:hAnsi="GHEA Grapalat" w:cs="GHEAGrapalat"/>
          <w:i/>
          <w:iCs/>
          <w:lang w:val="hy-AM"/>
        </w:rPr>
        <w:t>ավագության, դատարանի աստիճանի կամ օրենքով հստակորեն</w:t>
      </w:r>
      <w:r w:rsidRPr="00E6331A">
        <w:rPr>
          <w:rFonts w:ascii="GHEA Grapalat" w:hAnsi="GHEA Grapalat" w:cs="GHEAGrapalat"/>
          <w:lang w:val="hy-AM"/>
        </w:rPr>
        <w:t xml:space="preserve"> </w:t>
      </w:r>
      <w:r w:rsidRPr="00E6331A">
        <w:rPr>
          <w:rFonts w:ascii="GHEA Grapalat" w:hAnsi="GHEA Grapalat" w:cs="GHEAGrapalat"/>
          <w:i/>
          <w:iCs/>
          <w:lang w:val="hy-AM"/>
        </w:rPr>
        <w:t xml:space="preserve">սահմանված այլ </w:t>
      </w:r>
      <w:r w:rsidRPr="00E6331A">
        <w:rPr>
          <w:rFonts w:ascii="GHEA Grapalat" w:hAnsi="GHEA Grapalat" w:cs="GHEAGrapalat"/>
          <w:i/>
          <w:iCs/>
          <w:lang w:val="hy-AM"/>
        </w:rPr>
        <w:lastRenderedPageBreak/>
        <w:t xml:space="preserve">չափանիշների </w:t>
      </w:r>
      <w:r w:rsidRPr="00E6331A">
        <w:rPr>
          <w:rFonts w:ascii="GHEA Grapalat" w:hAnsi="GHEA Grapalat" w:cs="GHEAGrapalat"/>
          <w:lang w:val="hy-AM"/>
        </w:rPr>
        <w:t>հիման վրա (…)»։ Դատավորների վարձատրությանը անդրադարձ է կատարվել նաև Եվրոպայի խորհրդի նախարարների կոմիտեի CM/Rec(2010)12 «Դատավորներ</w:t>
      </w:r>
      <w:r w:rsidRPr="00E6331A">
        <w:rPr>
          <w:rFonts w:ascii="MS Mincho" w:eastAsia="MS Mincho" w:hAnsi="MS Mincho" w:cs="MS Mincho" w:hint="eastAsia"/>
          <w:lang w:val="hy-AM"/>
        </w:rPr>
        <w:t>․</w:t>
      </w:r>
      <w:r w:rsidRPr="00E6331A">
        <w:rPr>
          <w:rFonts w:ascii="GHEA Grapalat" w:hAnsi="GHEA Grapalat" w:cs="GHEAGrapalat"/>
          <w:lang w:val="hy-AM"/>
        </w:rPr>
        <w:t xml:space="preserve"> անկախություն, արդյունավետություն և պատասխանատվություն» հանձնարարականի շրջանակներում։ Մասնավորապես նշվել է, որ «Դատավորների վարձատրությունը պետք է համաչափ լինի իրենց մասնագիտությանն ու պարտականություններին, և </w:t>
      </w:r>
      <w:r w:rsidRPr="00E6331A">
        <w:rPr>
          <w:rFonts w:ascii="GHEA Grapalat" w:hAnsi="GHEA Grapalat" w:cs="GHEAGrapalat"/>
          <w:b/>
          <w:bCs/>
          <w:lang w:val="hy-AM"/>
        </w:rPr>
        <w:t>պետք է հանդիսանա</w:t>
      </w:r>
      <w:r w:rsidRPr="00E6331A">
        <w:rPr>
          <w:rFonts w:ascii="GHEA Grapalat" w:hAnsi="GHEA Grapalat" w:cs="GHEAGrapalat"/>
          <w:lang w:val="hy-AM"/>
        </w:rPr>
        <w:t xml:space="preserve"> </w:t>
      </w:r>
      <w:r w:rsidRPr="00E6331A">
        <w:rPr>
          <w:rFonts w:ascii="GHEA Grapalat" w:hAnsi="GHEA Grapalat" w:cs="GHEAGrapalat"/>
          <w:b/>
          <w:bCs/>
          <w:lang w:val="hy-AM"/>
        </w:rPr>
        <w:t>նրանց որոշումների կայացման վրա ազդեցություն գործելու նպատակ հետապնդող</w:t>
      </w:r>
      <w:r w:rsidRPr="00E6331A">
        <w:rPr>
          <w:rFonts w:ascii="GHEA Grapalat" w:hAnsi="GHEA Grapalat" w:cs="GHEAGrapalat"/>
          <w:lang w:val="hy-AM"/>
        </w:rPr>
        <w:t xml:space="preserve"> </w:t>
      </w:r>
      <w:r w:rsidRPr="00E6331A">
        <w:rPr>
          <w:rFonts w:ascii="GHEA Grapalat" w:hAnsi="GHEA Grapalat" w:cs="GHEAGrapalat"/>
          <w:b/>
          <w:bCs/>
          <w:lang w:val="hy-AM"/>
        </w:rPr>
        <w:t>ազդակներից պաշտպանության արդյունավետ միջոց</w:t>
      </w:r>
      <w:r w:rsidRPr="00E6331A">
        <w:rPr>
          <w:rFonts w:ascii="GHEA Grapalat" w:hAnsi="GHEA Grapalat" w:cs="GHEAGrapalat"/>
          <w:lang w:val="hy-AM"/>
        </w:rPr>
        <w:t xml:space="preserve">։»։ Եվրոպայի խորհրդի շրջանակներում 1998 թվականին ընդունված «Դատավորների կարգավիճակի մասին» եվրոպական խարտիայի 6.2-րդ կետի համաձայն՝ դատավորի վարձատրության չափը մյուս դատավորի վարձատրության համեմատությամբ կարող է փոփոխվել կախված ծառայության տևողությունից, </w:t>
      </w:r>
      <w:r w:rsidRPr="00E6331A">
        <w:rPr>
          <w:rFonts w:ascii="GHEA Grapalat" w:hAnsi="GHEA Grapalat" w:cs="GHEAGrapalat"/>
          <w:bCs/>
          <w:iCs/>
          <w:lang w:val="hy-AM"/>
        </w:rPr>
        <w:t>իրենց</w:t>
      </w:r>
      <w:r w:rsidRPr="00E6331A">
        <w:rPr>
          <w:rFonts w:ascii="GHEA Grapalat" w:hAnsi="GHEA Grapalat" w:cs="GHEAGrapalat"/>
          <w:lang w:val="hy-AM"/>
        </w:rPr>
        <w:t xml:space="preserve"> </w:t>
      </w:r>
      <w:r w:rsidRPr="00E6331A">
        <w:rPr>
          <w:rFonts w:ascii="GHEA Grapalat" w:hAnsi="GHEA Grapalat" w:cs="GHEAGrapalat"/>
          <w:bCs/>
          <w:iCs/>
          <w:lang w:val="hy-AM"/>
        </w:rPr>
        <w:t>կողմից կատարվող պարտականությունների բնույթից և իրենց վրա դրված</w:t>
      </w:r>
      <w:r w:rsidRPr="00E6331A">
        <w:rPr>
          <w:rFonts w:ascii="GHEA Grapalat" w:hAnsi="GHEA Grapalat" w:cs="GHEAGrapalat"/>
          <w:lang w:val="hy-AM"/>
        </w:rPr>
        <w:t xml:space="preserve"> </w:t>
      </w:r>
      <w:r w:rsidRPr="00E6331A">
        <w:rPr>
          <w:rFonts w:ascii="GHEA Grapalat" w:hAnsi="GHEA Grapalat" w:cs="GHEAGrapalat"/>
          <w:bCs/>
          <w:iCs/>
          <w:lang w:val="hy-AM"/>
        </w:rPr>
        <w:t>առաջադրանքների կարևորությունից</w:t>
      </w:r>
      <w:r w:rsidRPr="00E6331A">
        <w:rPr>
          <w:rFonts w:ascii="GHEA Grapalat" w:hAnsi="GHEA Grapalat" w:cs="GHEAGrapalat"/>
          <w:lang w:val="hy-AM"/>
        </w:rPr>
        <w:t>: Այնուհետև կարևորվում է նման առաջադրանքների գնահատման չափորոշիչների թափանցիկությունը՝ խուսափելու այնպիսի տարբերակումներից, որոնք կապված չեն կատարված աշխատանքի կամ դրա պիտանիության հետ: Միջազգային կառույցների նշված դիրքորոշումների համադրությունից կարելի է առանձնացնել դատավորների վարձատրության համակարգի մի քանի կարևոր չափանիշներ, այն է. 1) դատավորների վարձատրության համակարգը պետք է ամրագրվի օրենքով՝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բացառելու համար հնարավոր հայեցողության դրսևորումը, 2) դատավորների վարձատրությունը պետք է համապատասխանի նրանց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մասնագիտությանը, մասնագիտությունից բխող պարտականություններին և պետք է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չեզոքացնի մասնագիտական պարտականություններին խոչընդոտ հանդիսացող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հնարավոր ազդեցությունները, 3) դատավորների վարձատրությունը կարող է տարբերակվել դատավորների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ավագությամբ, դատարանի աստիճանով, դատավորների վրա դրված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առաջադրանքների կարևորությամբ, դատավորի կողմից կատարվող</w:t>
      </w:r>
      <w:r w:rsidRPr="00E6331A">
        <w:rPr>
          <w:rFonts w:ascii="GHEA Grapalat" w:eastAsia="MS Mincho" w:hAnsi="GHEA Grapalat" w:cs="MS Mincho"/>
          <w:lang w:val="hy-AM"/>
        </w:rPr>
        <w:t xml:space="preserve"> </w:t>
      </w:r>
      <w:r w:rsidRPr="00E6331A">
        <w:rPr>
          <w:rFonts w:ascii="GHEA Grapalat" w:hAnsi="GHEA Grapalat" w:cs="GHEAGrapalat"/>
          <w:lang w:val="hy-AM"/>
        </w:rPr>
        <w:t>պարտականությունների բնույթով և օրենքով հստակ սահմանված այլ չափանիշներով:</w:t>
      </w:r>
    </w:p>
    <w:p w:rsidR="00E6331A" w:rsidRPr="00E6331A" w:rsidRDefault="00E6331A" w:rsidP="00E6331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 w:cs="GHEAGrapalat"/>
          <w:lang w:val="hy-AM"/>
        </w:rPr>
      </w:pPr>
      <w:r w:rsidRPr="00E6331A">
        <w:rPr>
          <w:rFonts w:ascii="GHEA Grapalat" w:hAnsi="GHEA Grapalat" w:cs="GHEAGrapalat"/>
          <w:lang w:val="hy-AM"/>
        </w:rPr>
        <w:tab/>
        <w:t xml:space="preserve">Հարկ է նկատել, որ Սահմանադրական դատարանը ևս անդրադարձ է կատարել վարձատրության առկա խնդիրներին։ Մասնավորապես 2019 թվականի հունիսի 18-ի ՍԴՈ-1463, 2019 թվականի փետրվարի 12-ի ՍԴՈ-1443, 2010 թվականի մայիսի 10-ի ՍԴՈ-881 և այլ որոշումներով անդրադարձ է կատարել տարբերակված վարձատրության հիմնահարցին: </w:t>
      </w:r>
      <w:r w:rsidRPr="00E6331A">
        <w:rPr>
          <w:rFonts w:ascii="GHEA Grapalat" w:hAnsi="GHEA Grapalat" w:cs="GHEAGrapalat"/>
          <w:lang w:val="hy-AM"/>
        </w:rPr>
        <w:lastRenderedPageBreak/>
        <w:t>Դրանցում արտահայտված դիրքորոշումների ամփոփմամբ՝ կարելի է եզրահանգել, որ Սահմանադրական դատարանը նույնիսկ միևնույն կատեգորիայի անձանց շրջանակում թույլատրելի է համարում տարբերակված մոտեցումը, եթե այն համապատասխանում է հետևյալ երկու չափանիշներին, այն է՝ ունի օբյեկտիվ հիմք և հետապնդում է իրավաչափ նպատակ:</w:t>
      </w:r>
    </w:p>
    <w:p w:rsidR="00E6331A" w:rsidRPr="00E6331A" w:rsidRDefault="00E6331A" w:rsidP="00E6331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 w:cs="GHEAGrapalat"/>
          <w:lang w:val="hy-AM"/>
        </w:rPr>
      </w:pPr>
    </w:p>
    <w:p w:rsidR="00E6331A" w:rsidRPr="00DC28DC" w:rsidRDefault="00E6331A" w:rsidP="00E6331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</w:rPr>
        <w:t>Առաջարկվող կարգավորման բնույթը</w:t>
      </w:r>
    </w:p>
    <w:p w:rsidR="00E6331A" w:rsidRPr="00DC28DC" w:rsidRDefault="00E6331A" w:rsidP="00E6331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 w:cs="Sylfaen"/>
          <w:sz w:val="24"/>
          <w:szCs w:val="24"/>
          <w:lang w:val="hy-AM"/>
        </w:rPr>
        <w:t>Նախագծ</w:t>
      </w:r>
      <w:r w:rsidRPr="003418AE">
        <w:rPr>
          <w:rFonts w:ascii="GHEA Grapalat" w:hAnsi="GHEA Grapalat" w:cs="Sylfaen"/>
          <w:sz w:val="24"/>
          <w:szCs w:val="24"/>
          <w:lang w:val="hy-AM"/>
        </w:rPr>
        <w:t xml:space="preserve">ով առաջարկվում է 60% հավելում սահմանել 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առաջին ատյանի ընդհանուր իրավասության դատարանի, սնանկության դատարանի և վարչական դատարանի դատավորների համար՝</w:t>
      </w:r>
      <w:r w:rsidRPr="00DC28DC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Pr="003418AE">
        <w:rPr>
          <w:rFonts w:ascii="GHEA Grapalat" w:hAnsi="GHEA Grapalat"/>
          <w:sz w:val="24"/>
          <w:szCs w:val="24"/>
          <w:lang w:val="hy-AM"/>
        </w:rPr>
        <w:t>ով</w:t>
      </w:r>
      <w:r w:rsidRPr="00DC28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8AE">
        <w:rPr>
          <w:rFonts w:ascii="GHEA Grapalat" w:hAnsi="GHEA Grapalat"/>
          <w:sz w:val="24"/>
          <w:szCs w:val="24"/>
          <w:lang w:val="hy-AM"/>
        </w:rPr>
        <w:t xml:space="preserve">դատավորի </w:t>
      </w:r>
      <w:r w:rsidRPr="00DC28DC">
        <w:rPr>
          <w:rFonts w:ascii="GHEA Grapalat" w:hAnsi="GHEA Grapalat"/>
          <w:sz w:val="24"/>
          <w:szCs w:val="24"/>
          <w:lang w:val="hy-AM"/>
        </w:rPr>
        <w:t>բարձր կարգավիճակին և պատասխանատվությանը համապատասխանող վարձատրությունը:</w:t>
      </w:r>
    </w:p>
    <w:p w:rsidR="00E6331A" w:rsidRPr="00DC28DC" w:rsidRDefault="00E6331A" w:rsidP="00E6331A">
      <w:pPr>
        <w:pStyle w:val="ListParagraph"/>
        <w:widowControl w:val="0"/>
        <w:tabs>
          <w:tab w:val="left" w:pos="993"/>
        </w:tabs>
        <w:spacing w:after="0" w:line="360" w:lineRule="auto"/>
        <w:ind w:right="124"/>
        <w:jc w:val="both"/>
        <w:rPr>
          <w:rFonts w:ascii="GHEA Grapalat" w:hAnsi="GHEA Grapalat"/>
          <w:sz w:val="24"/>
          <w:szCs w:val="24"/>
          <w:lang w:val="hy-AM"/>
        </w:rPr>
      </w:pPr>
    </w:p>
    <w:p w:rsidR="00E6331A" w:rsidRPr="00DC28DC" w:rsidRDefault="00E6331A" w:rsidP="00E6331A">
      <w:pPr>
        <w:spacing w:after="0" w:line="360" w:lineRule="auto"/>
        <w:ind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DC28DC">
        <w:rPr>
          <w:rFonts w:ascii="GHEA Grapalat" w:hAnsi="GHEA Grapalat" w:cs="GHEA Mariam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E6331A" w:rsidRPr="00DC28DC" w:rsidRDefault="00E6331A" w:rsidP="00E6331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 w:cs="GHEA Mariam"/>
          <w:spacing w:val="-6"/>
          <w:sz w:val="24"/>
          <w:szCs w:val="24"/>
          <w:lang w:val="hy-AM"/>
        </w:rPr>
        <w:t xml:space="preserve">Նախագիծը մշակվել է Արդարադատության նախարարության </w:t>
      </w:r>
      <w:r w:rsidRPr="00DC28DC">
        <w:rPr>
          <w:rFonts w:ascii="GHEA Grapalat" w:hAnsi="GHEA Grapalat" w:cs="GHEA Mariam"/>
          <w:sz w:val="24"/>
          <w:szCs w:val="24"/>
          <w:lang w:val="hy-AM"/>
        </w:rPr>
        <w:t>կողմից:</w:t>
      </w:r>
      <w:r w:rsidRPr="00DC28DC">
        <w:rPr>
          <w:rFonts w:ascii="GHEA Grapalat" w:hAnsi="GHEA Grapalat"/>
          <w:sz w:val="24"/>
          <w:szCs w:val="24"/>
          <w:lang w:val="hy-AM"/>
        </w:rPr>
        <w:tab/>
      </w:r>
    </w:p>
    <w:p w:rsidR="00E6331A" w:rsidRPr="00DC28DC" w:rsidRDefault="00E6331A" w:rsidP="00E6331A">
      <w:pPr>
        <w:spacing w:after="0" w:line="360" w:lineRule="auto"/>
        <w:ind w:firstLine="709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E6331A" w:rsidRPr="00DC28DC" w:rsidRDefault="00E6331A" w:rsidP="00E6331A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5. Օ</w:t>
      </w:r>
      <w:r w:rsidRPr="00DC28DC">
        <w:rPr>
          <w:rFonts w:ascii="GHEA Grapalat" w:hAnsi="GHEA Grapalat" w:cs="Sylfaen"/>
          <w:b/>
          <w:sz w:val="24"/>
          <w:szCs w:val="24"/>
          <w:lang w:val="hy-AM"/>
        </w:rPr>
        <w:t>րենքի</w:t>
      </w:r>
      <w:r w:rsidRPr="00DC28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DC28D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DC28DC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DC28D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:rsidR="00E6331A" w:rsidRPr="00D161C3" w:rsidRDefault="00E6331A" w:rsidP="00D161C3">
      <w:pPr>
        <w:tabs>
          <w:tab w:val="left" w:pos="90"/>
        </w:tabs>
        <w:spacing w:line="360" w:lineRule="auto"/>
        <w:jc w:val="both"/>
        <w:rPr>
          <w:rFonts w:ascii="GHEA Grapalat" w:eastAsiaTheme="minorHAnsi" w:hAnsi="GHEA Grapalat"/>
          <w:spacing w:val="-6"/>
          <w:sz w:val="24"/>
          <w:szCs w:val="24"/>
          <w:lang w:val="hy-AM"/>
        </w:rPr>
      </w:pPr>
      <w:r w:rsidRPr="00DC28DC">
        <w:rPr>
          <w:rFonts w:ascii="GHEA Grapalat" w:hAnsi="GHEA Grapalat"/>
          <w:sz w:val="24"/>
          <w:szCs w:val="24"/>
          <w:lang w:val="hy-AM"/>
        </w:rPr>
        <w:tab/>
      </w:r>
      <w:r w:rsidRPr="00DC28DC">
        <w:rPr>
          <w:rFonts w:ascii="GHEA Grapalat" w:hAnsi="GHEA Grapalat"/>
          <w:sz w:val="24"/>
          <w:szCs w:val="24"/>
          <w:lang w:val="hy-AM"/>
        </w:rPr>
        <w:tab/>
      </w:r>
      <w:r w:rsidRPr="003418AE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DC28DC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</w:t>
      </w:r>
      <w:r w:rsidRPr="00DC28DC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կապակցությամբ </w:t>
      </w:r>
      <w:r w:rsidRPr="00DC28DC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այլ իրավական ակտերի ընդունման անհրաժեշտությունը բացակայում է: </w:t>
      </w:r>
      <w:r w:rsidR="00D921CE">
        <w:rPr>
          <w:rFonts w:ascii="GHEA Grapalat" w:hAnsi="GHEA Grapalat"/>
          <w:sz w:val="24"/>
          <w:szCs w:val="24"/>
        </w:rPr>
        <w:t>Նախագծերի</w:t>
      </w:r>
      <w:r w:rsidR="00D921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1C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 կապակցությամբ Հայաստանի Հանրապետության պետական բյուջեի եկամուտների էական նվազեցում կամ ծախսերի ավելացում չի նախատեսվում։</w:t>
      </w:r>
      <w:bookmarkStart w:id="0" w:name="_GoBack"/>
      <w:bookmarkEnd w:id="0"/>
    </w:p>
    <w:p w:rsidR="00E6331A" w:rsidRPr="00DC28DC" w:rsidRDefault="00E6331A" w:rsidP="00E6331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</w:t>
      </w:r>
    </w:p>
    <w:p w:rsidR="00E6331A" w:rsidRPr="00DC28DC" w:rsidRDefault="00E6331A" w:rsidP="00E6331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/>
          <w:sz w:val="24"/>
          <w:szCs w:val="24"/>
          <w:lang w:val="hy-AM"/>
        </w:rPr>
        <w:t>Նախագծի մշակումը բխում է Դատաիրավական բարեփոխումների 2022-2026 թվականների ռազմավարությունից, որում որպես նպատակ նախատեսված է դատական համակարգի բարեփոխումների շարունակական ապահովումը</w:t>
      </w:r>
      <w:r w:rsidRPr="003418AE">
        <w:rPr>
          <w:rFonts w:ascii="GHEA Grapalat" w:hAnsi="GHEA Grapalat"/>
          <w:sz w:val="24"/>
          <w:szCs w:val="24"/>
          <w:lang w:val="hy-AM"/>
        </w:rPr>
        <w:t>:</w:t>
      </w:r>
      <w:r w:rsidRPr="00DC28D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6331A" w:rsidRDefault="00E6331A" w:rsidP="00E6331A">
      <w:pPr>
        <w:spacing w:after="160" w:line="259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662C5F" w:rsidRPr="00E6331A" w:rsidRDefault="00662C5F">
      <w:pPr>
        <w:rPr>
          <w:lang w:val="hy-AM"/>
        </w:rPr>
      </w:pPr>
    </w:p>
    <w:sectPr w:rsidR="00662C5F" w:rsidRPr="00E6331A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4A"/>
    <w:rsid w:val="00003145"/>
    <w:rsid w:val="000036AE"/>
    <w:rsid w:val="0000372C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DFF"/>
    <w:rsid w:val="000727EF"/>
    <w:rsid w:val="00073149"/>
    <w:rsid w:val="0007495C"/>
    <w:rsid w:val="00075DAC"/>
    <w:rsid w:val="00076591"/>
    <w:rsid w:val="000774C6"/>
    <w:rsid w:val="000775AD"/>
    <w:rsid w:val="00077F9D"/>
    <w:rsid w:val="0008055A"/>
    <w:rsid w:val="00081BC4"/>
    <w:rsid w:val="00083AFD"/>
    <w:rsid w:val="0008424F"/>
    <w:rsid w:val="00085EFA"/>
    <w:rsid w:val="0008769E"/>
    <w:rsid w:val="00087999"/>
    <w:rsid w:val="00090077"/>
    <w:rsid w:val="000900D2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EC6"/>
    <w:rsid w:val="000C1FE9"/>
    <w:rsid w:val="000C2D3B"/>
    <w:rsid w:val="000C3690"/>
    <w:rsid w:val="000D1405"/>
    <w:rsid w:val="000D256E"/>
    <w:rsid w:val="000D3163"/>
    <w:rsid w:val="000D673D"/>
    <w:rsid w:val="000E0D4E"/>
    <w:rsid w:val="000E2521"/>
    <w:rsid w:val="000E2F7A"/>
    <w:rsid w:val="000E327E"/>
    <w:rsid w:val="000E34A6"/>
    <w:rsid w:val="000E625E"/>
    <w:rsid w:val="000E7BD9"/>
    <w:rsid w:val="000F0F80"/>
    <w:rsid w:val="000F1414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119C"/>
    <w:rsid w:val="00143A1F"/>
    <w:rsid w:val="0014400C"/>
    <w:rsid w:val="00145DD6"/>
    <w:rsid w:val="001500A7"/>
    <w:rsid w:val="0015212A"/>
    <w:rsid w:val="00152410"/>
    <w:rsid w:val="001540FF"/>
    <w:rsid w:val="001546BC"/>
    <w:rsid w:val="001558CB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6660A"/>
    <w:rsid w:val="001708EF"/>
    <w:rsid w:val="00170996"/>
    <w:rsid w:val="00170C6A"/>
    <w:rsid w:val="001748B2"/>
    <w:rsid w:val="001752F1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24FA"/>
    <w:rsid w:val="001A26C7"/>
    <w:rsid w:val="001A28CA"/>
    <w:rsid w:val="001A3128"/>
    <w:rsid w:val="001A5400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DD8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6FC6"/>
    <w:rsid w:val="00287B43"/>
    <w:rsid w:val="00291546"/>
    <w:rsid w:val="002915DD"/>
    <w:rsid w:val="00292748"/>
    <w:rsid w:val="00292D3C"/>
    <w:rsid w:val="00292FC1"/>
    <w:rsid w:val="0029406E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2BEB"/>
    <w:rsid w:val="002B2F63"/>
    <w:rsid w:val="002B32AB"/>
    <w:rsid w:val="002B3B33"/>
    <w:rsid w:val="002B3FE9"/>
    <w:rsid w:val="002B66BA"/>
    <w:rsid w:val="002B7800"/>
    <w:rsid w:val="002C359E"/>
    <w:rsid w:val="002C5A0C"/>
    <w:rsid w:val="002C7D81"/>
    <w:rsid w:val="002D088D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26D7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78D7"/>
    <w:rsid w:val="00361F2A"/>
    <w:rsid w:val="0036204E"/>
    <w:rsid w:val="00362714"/>
    <w:rsid w:val="0036298F"/>
    <w:rsid w:val="003638CD"/>
    <w:rsid w:val="00364397"/>
    <w:rsid w:val="00364563"/>
    <w:rsid w:val="00365589"/>
    <w:rsid w:val="0036593D"/>
    <w:rsid w:val="00366C62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4B2B"/>
    <w:rsid w:val="003D5DFE"/>
    <w:rsid w:val="003D6EC8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421"/>
    <w:rsid w:val="003F6045"/>
    <w:rsid w:val="003F6F9C"/>
    <w:rsid w:val="003F7649"/>
    <w:rsid w:val="004011BA"/>
    <w:rsid w:val="00404F73"/>
    <w:rsid w:val="004073BF"/>
    <w:rsid w:val="0040761C"/>
    <w:rsid w:val="004079A5"/>
    <w:rsid w:val="00411E2A"/>
    <w:rsid w:val="00417084"/>
    <w:rsid w:val="0042107F"/>
    <w:rsid w:val="004220B7"/>
    <w:rsid w:val="0042318F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68DA"/>
    <w:rsid w:val="00467609"/>
    <w:rsid w:val="00471C3F"/>
    <w:rsid w:val="00472E97"/>
    <w:rsid w:val="00473962"/>
    <w:rsid w:val="004740CE"/>
    <w:rsid w:val="004756CD"/>
    <w:rsid w:val="00475844"/>
    <w:rsid w:val="00477B92"/>
    <w:rsid w:val="0048151B"/>
    <w:rsid w:val="004837C9"/>
    <w:rsid w:val="00485737"/>
    <w:rsid w:val="004860CA"/>
    <w:rsid w:val="0048638E"/>
    <w:rsid w:val="00487FC1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E5AF1"/>
    <w:rsid w:val="004F102C"/>
    <w:rsid w:val="004F5F8C"/>
    <w:rsid w:val="004F6FE6"/>
    <w:rsid w:val="004F7EF5"/>
    <w:rsid w:val="005008B8"/>
    <w:rsid w:val="0050274B"/>
    <w:rsid w:val="005032AE"/>
    <w:rsid w:val="00503577"/>
    <w:rsid w:val="00505397"/>
    <w:rsid w:val="005058F5"/>
    <w:rsid w:val="0050602F"/>
    <w:rsid w:val="00506F44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31B6B"/>
    <w:rsid w:val="00533240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AB3"/>
    <w:rsid w:val="00551B91"/>
    <w:rsid w:val="00553112"/>
    <w:rsid w:val="0055424C"/>
    <w:rsid w:val="0055677E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A02"/>
    <w:rsid w:val="005A6845"/>
    <w:rsid w:val="005A7008"/>
    <w:rsid w:val="005B04C0"/>
    <w:rsid w:val="005B04F8"/>
    <w:rsid w:val="005B1EC9"/>
    <w:rsid w:val="005B3E72"/>
    <w:rsid w:val="005B5DA4"/>
    <w:rsid w:val="005B5E57"/>
    <w:rsid w:val="005B6305"/>
    <w:rsid w:val="005B73D8"/>
    <w:rsid w:val="005C0DEA"/>
    <w:rsid w:val="005C3B63"/>
    <w:rsid w:val="005C4511"/>
    <w:rsid w:val="005D1339"/>
    <w:rsid w:val="005D15DF"/>
    <w:rsid w:val="005D65C9"/>
    <w:rsid w:val="005E0934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6581"/>
    <w:rsid w:val="0060732D"/>
    <w:rsid w:val="006101F5"/>
    <w:rsid w:val="006168F1"/>
    <w:rsid w:val="00616C11"/>
    <w:rsid w:val="006200F9"/>
    <w:rsid w:val="006237A6"/>
    <w:rsid w:val="006265DA"/>
    <w:rsid w:val="0062679D"/>
    <w:rsid w:val="00627CCE"/>
    <w:rsid w:val="00630706"/>
    <w:rsid w:val="006317CA"/>
    <w:rsid w:val="00632A72"/>
    <w:rsid w:val="00632AB7"/>
    <w:rsid w:val="00633DC0"/>
    <w:rsid w:val="00636C02"/>
    <w:rsid w:val="00636E71"/>
    <w:rsid w:val="00637FF8"/>
    <w:rsid w:val="00641D0F"/>
    <w:rsid w:val="00642CD4"/>
    <w:rsid w:val="006436F4"/>
    <w:rsid w:val="00650F23"/>
    <w:rsid w:val="00651074"/>
    <w:rsid w:val="00652E4D"/>
    <w:rsid w:val="00652FCB"/>
    <w:rsid w:val="00653292"/>
    <w:rsid w:val="00654E85"/>
    <w:rsid w:val="00654EBB"/>
    <w:rsid w:val="00662C5F"/>
    <w:rsid w:val="00663DFF"/>
    <w:rsid w:val="00663F31"/>
    <w:rsid w:val="00665292"/>
    <w:rsid w:val="00671BF5"/>
    <w:rsid w:val="00675AC4"/>
    <w:rsid w:val="006762DF"/>
    <w:rsid w:val="00676E3A"/>
    <w:rsid w:val="006804C8"/>
    <w:rsid w:val="0068217F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767"/>
    <w:rsid w:val="006D5B76"/>
    <w:rsid w:val="006D6E42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BE3"/>
    <w:rsid w:val="00705D31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77079"/>
    <w:rsid w:val="0078144C"/>
    <w:rsid w:val="007819AB"/>
    <w:rsid w:val="00782BDF"/>
    <w:rsid w:val="00785784"/>
    <w:rsid w:val="007927DF"/>
    <w:rsid w:val="00794728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4DF"/>
    <w:rsid w:val="007D271B"/>
    <w:rsid w:val="007D3D2C"/>
    <w:rsid w:val="007D4511"/>
    <w:rsid w:val="007D5D93"/>
    <w:rsid w:val="007E09B5"/>
    <w:rsid w:val="007E0F79"/>
    <w:rsid w:val="007E1236"/>
    <w:rsid w:val="007E3C8F"/>
    <w:rsid w:val="007E5933"/>
    <w:rsid w:val="007E64E7"/>
    <w:rsid w:val="007E6DBE"/>
    <w:rsid w:val="007E73D9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66965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6D8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C69"/>
    <w:rsid w:val="00906648"/>
    <w:rsid w:val="00906EB5"/>
    <w:rsid w:val="00910B35"/>
    <w:rsid w:val="00910E50"/>
    <w:rsid w:val="009112FA"/>
    <w:rsid w:val="009121A9"/>
    <w:rsid w:val="0092056B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2C39"/>
    <w:rsid w:val="00934C14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60AC9"/>
    <w:rsid w:val="00960C94"/>
    <w:rsid w:val="0096296F"/>
    <w:rsid w:val="0096393C"/>
    <w:rsid w:val="00965F8B"/>
    <w:rsid w:val="009702FC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3926"/>
    <w:rsid w:val="009863AF"/>
    <w:rsid w:val="00986D71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4D0B"/>
    <w:rsid w:val="009B514E"/>
    <w:rsid w:val="009B60CB"/>
    <w:rsid w:val="009C2117"/>
    <w:rsid w:val="009C3FAA"/>
    <w:rsid w:val="009C5639"/>
    <w:rsid w:val="009C660E"/>
    <w:rsid w:val="009C701A"/>
    <w:rsid w:val="009D16D8"/>
    <w:rsid w:val="009D255D"/>
    <w:rsid w:val="009D3706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5187"/>
    <w:rsid w:val="009F5413"/>
    <w:rsid w:val="009F6435"/>
    <w:rsid w:val="009F6610"/>
    <w:rsid w:val="00A0268A"/>
    <w:rsid w:val="00A0351E"/>
    <w:rsid w:val="00A04641"/>
    <w:rsid w:val="00A05854"/>
    <w:rsid w:val="00A06042"/>
    <w:rsid w:val="00A10D63"/>
    <w:rsid w:val="00A125DC"/>
    <w:rsid w:val="00A13220"/>
    <w:rsid w:val="00A13CF1"/>
    <w:rsid w:val="00A13FEF"/>
    <w:rsid w:val="00A16009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984"/>
    <w:rsid w:val="00A820F4"/>
    <w:rsid w:val="00A84A0F"/>
    <w:rsid w:val="00A84EA3"/>
    <w:rsid w:val="00A85FDB"/>
    <w:rsid w:val="00A877B5"/>
    <w:rsid w:val="00A877C5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4337"/>
    <w:rsid w:val="00AC5552"/>
    <w:rsid w:val="00AC6209"/>
    <w:rsid w:val="00AD0473"/>
    <w:rsid w:val="00AD0898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512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301DB"/>
    <w:rsid w:val="00B336CF"/>
    <w:rsid w:val="00B34726"/>
    <w:rsid w:val="00B360B0"/>
    <w:rsid w:val="00B36462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530"/>
    <w:rsid w:val="00B71720"/>
    <w:rsid w:val="00B740D6"/>
    <w:rsid w:val="00B742B3"/>
    <w:rsid w:val="00B7630E"/>
    <w:rsid w:val="00B7704C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74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334"/>
    <w:rsid w:val="00C438F2"/>
    <w:rsid w:val="00C47204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0B4A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67B"/>
    <w:rsid w:val="00C94EF9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5A3"/>
    <w:rsid w:val="00CB3B9A"/>
    <w:rsid w:val="00CB3CD6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2C2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4BE3"/>
    <w:rsid w:val="00D0652B"/>
    <w:rsid w:val="00D111EC"/>
    <w:rsid w:val="00D15D1B"/>
    <w:rsid w:val="00D161C3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3A16"/>
    <w:rsid w:val="00D33D9C"/>
    <w:rsid w:val="00D3553C"/>
    <w:rsid w:val="00D41624"/>
    <w:rsid w:val="00D42E03"/>
    <w:rsid w:val="00D43566"/>
    <w:rsid w:val="00D46518"/>
    <w:rsid w:val="00D46E16"/>
    <w:rsid w:val="00D53638"/>
    <w:rsid w:val="00D553DE"/>
    <w:rsid w:val="00D55DFD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3986"/>
    <w:rsid w:val="00D87E32"/>
    <w:rsid w:val="00D90444"/>
    <w:rsid w:val="00D9076A"/>
    <w:rsid w:val="00D921CE"/>
    <w:rsid w:val="00D9274C"/>
    <w:rsid w:val="00D92A89"/>
    <w:rsid w:val="00D938C9"/>
    <w:rsid w:val="00D9746A"/>
    <w:rsid w:val="00DA028F"/>
    <w:rsid w:val="00DA1B78"/>
    <w:rsid w:val="00DA4B4E"/>
    <w:rsid w:val="00DA4CA6"/>
    <w:rsid w:val="00DA7294"/>
    <w:rsid w:val="00DB19D3"/>
    <w:rsid w:val="00DB1FE1"/>
    <w:rsid w:val="00DB20A4"/>
    <w:rsid w:val="00DB32CD"/>
    <w:rsid w:val="00DB4428"/>
    <w:rsid w:val="00DB4625"/>
    <w:rsid w:val="00DB4E9C"/>
    <w:rsid w:val="00DB6E2F"/>
    <w:rsid w:val="00DB72E9"/>
    <w:rsid w:val="00DC1E12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D74B0"/>
    <w:rsid w:val="00DD7AEA"/>
    <w:rsid w:val="00DE12F8"/>
    <w:rsid w:val="00DE75A7"/>
    <w:rsid w:val="00DF180A"/>
    <w:rsid w:val="00DF21BB"/>
    <w:rsid w:val="00DF3254"/>
    <w:rsid w:val="00DF478C"/>
    <w:rsid w:val="00DF4FFC"/>
    <w:rsid w:val="00E030CB"/>
    <w:rsid w:val="00E03DD1"/>
    <w:rsid w:val="00E0615C"/>
    <w:rsid w:val="00E075F8"/>
    <w:rsid w:val="00E07760"/>
    <w:rsid w:val="00E10EC7"/>
    <w:rsid w:val="00E10FDA"/>
    <w:rsid w:val="00E11B79"/>
    <w:rsid w:val="00E12CEE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EEB"/>
    <w:rsid w:val="00E42606"/>
    <w:rsid w:val="00E42609"/>
    <w:rsid w:val="00E4670B"/>
    <w:rsid w:val="00E4710D"/>
    <w:rsid w:val="00E524CB"/>
    <w:rsid w:val="00E539B2"/>
    <w:rsid w:val="00E61764"/>
    <w:rsid w:val="00E6331A"/>
    <w:rsid w:val="00E64488"/>
    <w:rsid w:val="00E64BDC"/>
    <w:rsid w:val="00E650AB"/>
    <w:rsid w:val="00E66461"/>
    <w:rsid w:val="00E67578"/>
    <w:rsid w:val="00E70E33"/>
    <w:rsid w:val="00E7170B"/>
    <w:rsid w:val="00E71750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D3C81"/>
    <w:rsid w:val="00ED3CC5"/>
    <w:rsid w:val="00ED5233"/>
    <w:rsid w:val="00EE10BB"/>
    <w:rsid w:val="00EE172E"/>
    <w:rsid w:val="00EE499B"/>
    <w:rsid w:val="00EE6F90"/>
    <w:rsid w:val="00EE7C14"/>
    <w:rsid w:val="00EF133D"/>
    <w:rsid w:val="00EF161B"/>
    <w:rsid w:val="00EF16A1"/>
    <w:rsid w:val="00EF17C7"/>
    <w:rsid w:val="00EF194C"/>
    <w:rsid w:val="00EF2CE5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238E"/>
    <w:rsid w:val="00F939EF"/>
    <w:rsid w:val="00F93DC7"/>
    <w:rsid w:val="00F940F5"/>
    <w:rsid w:val="00F95332"/>
    <w:rsid w:val="00F9533F"/>
    <w:rsid w:val="00F95F90"/>
    <w:rsid w:val="00F964D7"/>
    <w:rsid w:val="00F96F0C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1E68"/>
    <w:rsid w:val="00FB5C0E"/>
    <w:rsid w:val="00FB69EB"/>
    <w:rsid w:val="00FB6B9D"/>
    <w:rsid w:val="00FC01EB"/>
    <w:rsid w:val="00FC13BE"/>
    <w:rsid w:val="00FC5354"/>
    <w:rsid w:val="00FC6C70"/>
    <w:rsid w:val="00FD0983"/>
    <w:rsid w:val="00FD357E"/>
    <w:rsid w:val="00FD4637"/>
    <w:rsid w:val="00FD6990"/>
    <w:rsid w:val="00FE048E"/>
    <w:rsid w:val="00FE0729"/>
    <w:rsid w:val="00FE0FF6"/>
    <w:rsid w:val="00FE2F31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AB8F"/>
  <w15:chartTrackingRefBased/>
  <w15:docId w15:val="{7A8EA19F-A9CB-431A-B11C-C30FA617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31A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6331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E6331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6331A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5952</Characters>
  <Application>Microsoft Office Word</Application>
  <DocSecurity>0</DocSecurity>
  <Lines>49</Lines>
  <Paragraphs>13</Paragraphs>
  <ScaleCrop>false</ScaleCrop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https://mul2-moj.gov.am/tasks/623790/oneclick/himnavorum.docx?token=4fc52db79e697b821cd7cedb45f9256b</cp:keywords>
  <dc:description/>
  <cp:lastModifiedBy>Tatevik Nahapetyan</cp:lastModifiedBy>
  <cp:revision>6</cp:revision>
  <dcterms:created xsi:type="dcterms:W3CDTF">2023-05-24T11:34:00Z</dcterms:created>
  <dcterms:modified xsi:type="dcterms:W3CDTF">2023-07-07T12:54:00Z</dcterms:modified>
</cp:coreProperties>
</file>