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4343A741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FF6B17" w:rsidRPr="00FF6B17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>ԵՐԵՎԱՆԻ ՇՈԿՈԼԱԴԻ ԳՈՐԾԱՐԱՆ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1" w:name="_GoBack"/>
      <w:r w:rsidR="00FF6B17" w:rsidRPr="00FF6B1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ՓԱԿ ԲԱԺՆԵՏԻՐԱԿԱՆ </w:t>
      </w:r>
      <w:bookmarkEnd w:id="1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FC829C4" w:rsidR="0077537C" w:rsidRPr="00BC55FB" w:rsidRDefault="00215A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F1D24A3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</w:rPr>
              <w:t>01/2-1/12884-2023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586D9F" w14:textId="77777777" w:rsidR="00FF6B17" w:rsidRPr="00FF6B17" w:rsidRDefault="005032E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հավելվածով հաստատվող՝ ներմուծվող ապրանքների ցանկի 1-2-րդ, 5-րդ, 7-րդ, 9-րդ, 13-րդ, 22-րդ, 29-30-րդ, 36-րդ, 39-րդ և 41-րդ տողերում ներառված ապրանքների ԵԱՏՄ ԱՏԳ ԱԱ ծածկագրերը չեն համա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տեմ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որոշմամբ սահմանված ապրան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քային անվանացանկին, իսկ ցանկի 3-4-րդ, 6-րդ, 10-12-րդ, 31-32-րդ, 48-50-րդ տողերում ներառված ապրանքների ԵԱՏՄ ԱՏԳ ԱԱ ծած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կագրերի չափման միավորները չեն համապատասխանում վերոնշյալ որոշմամբ հաս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տատ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չափման միավորներին:</w:t>
            </w:r>
          </w:p>
          <w:p w14:paraId="09721CA5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</w:t>
            </w:r>
            <w:r w:rsidRPr="00FF6B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խություններ:</w:t>
            </w:r>
          </w:p>
          <w:p w14:paraId="04328472" w14:textId="79C19C09" w:rsidR="0016145A" w:rsidRPr="00BC55FB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BBC1D6A" w:rsidR="0077537C" w:rsidRPr="00BC55FB" w:rsidRDefault="00FF6B1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8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1B3678F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</w:rPr>
              <w:t>01/3-2/39259-2023</w:t>
            </w:r>
          </w:p>
        </w:tc>
      </w:tr>
      <w:tr w:rsidR="0077537C" w:rsidRPr="00FF6B17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3D8AA4" w14:textId="77777777" w:rsidR="00FF6B17" w:rsidRPr="00FF6B17" w:rsidRDefault="000B260F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F6B17"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</w:t>
            </w:r>
            <w:r w:rsidR="00FF6B17" w:rsidRPr="00FF6B1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նույն կ</w:t>
            </w:r>
            <w:r w:rsidR="00FF6B17"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արգի 14-րդ կետին համապատասխան «ԵՐԵՎԱՆԻ ՇՈԿՈԼԱԴԻ ԳՈՐԾԱՐԱՆ» փակ բաժնետիրական ընկերության կողմից ներկայացված հայտի, ինչպես նաև «Գերակա ոլորտում իրականացվող ներդրումային ծրագրի շրջանակներում ներմուծվող տեխնոլոգիա</w:t>
            </w:r>
            <w:r w:rsidR="00FF6B17"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softHyphen/>
              <w:t>կան սարքավորումների, դրանց բաղկացուցիչ ու համալրող մասերի, հումքի և (կամ) նյութերի նկատմամբ սակագնային, մասնավորապես, ներմուծման մաքսատուրքից ազա</w:t>
            </w:r>
            <w:r w:rsidR="00FF6B17"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softHyphen/>
              <w:t>տելու արտոնությունից օգտվելու համար «ԵՐԵՎԱՆԻ ՇՈԿՈԼԱԴԻ ԳՈՐԾԱՐԱՆ» փակ բաժնետիրական ընկերության կողմից ներկայացված հայտը բավարարելու և «ԵՐԵՎԱՆԻ ՇՈԿՈԼԱԴԻ ԳՈՐԾԱՐԱՆ» փակ բաժնետիրական ընկերության, «ԱՐՄՍՎԻՍԲԱՆԿ» փակ բաժնետիրական ընկերության նկատմամբ արտոնությունը կիրառելու մասին» Հայաստանի Հանրապետության կառավարության որոշման նախագծի (այսուհետ` Նախագիծ) վերաբերյալ հայտնում ենք հետևյալը.</w:t>
            </w:r>
          </w:p>
          <w:p w14:paraId="1BFCA61F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1</w:t>
            </w:r>
            <w:r w:rsidRPr="00FF6B1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Նախագծի 2-րդ կետի համաձայն՝  նախագծի առաջին կետով սահմանված ծրագրի շրջանակներում ներմուծվող և հավելվածով սահմանված ցանկում ներկայացված լիզինգով ձեռքբերվող ապրանքների (ցանկի 1-ին կետի) ներմուծման ժամանակ մաքսատուրքից ազատման արտոնություն տրամադրվում է լիզինգի թիվ LAB19-0017 պայմանագրով սահմանված «ԱՐՄՍՎԻՍԲԱՆԿ» փակ բաժնետիրական ընկերությանը (այսուհետ՝ Լիզինգատու կազմակերպություն)՝ պայմանով, որ ապրանքները ներմուծելուց հետո հանձնվելու են «ԵՐԵՎԱՆԻ ՇՈԿՈԼԱԴԻ ԳՈՐԾԱՐԱՆ» փակ բաժնետիրական ընկերությանը ներդրումային ծրագրի իրականացման համար։</w:t>
            </w:r>
          </w:p>
          <w:p w14:paraId="467DC65B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Միաժամանակ՝ Եվրասիական տնտեսական միության մաքսային օրենսգրքի (այսուհետ՝ Օրենսգիրք) 126-րդ հոդվածի 1-ին կետի 1-ին ենթակետի համաձայն՝ պայմանականորեն բաց թողնված են համարվում «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ացթողում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՝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ներքին սպառման 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lastRenderedPageBreak/>
              <w:t>համար» մաքսային ընթացակարգով ձևակերպվող այն ապրանքները, որոնց դեպքում կիրառվել են ներմուծման մաքսատուրքերի, հարկերի վճարման համար սահմանված արտոնություններ, որոնք զուգակցված են այդ ապրանքների օգտագործման և (կամ) տնօրինման հետ կապված սահմանափակումներով։ Նույն հոդվածի 2-րդ կետի 1-ին պարբերության համաձայն` նույն հոդվածի 1-ին կետի 1-ին ենթակետում նշված՝ պայմանականորեն բաց թողնված ապ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softHyphen/>
              <w:t>րանքների առնչությամբ պետք է պահպանվեն ներմուծման մաքսատուրքերի, հարկերի վճարման արտոնությունների տրամադրման նպատակներն ու պայմանները, ինչպես նաև այդպիսի արտոնությունների կիրառման հետ կապված այդ ապրանքների օգտագործման և (կամ) տնօրինման մասով սահմանափակումները: Օրենսգրքի 84-րդ հոդվածի 3-րդ կետի համաձայն՝ հայտարարատուն, անդամ պետությունների օրենսդրությանը համապատաս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softHyphen/>
              <w:t>խան, պատասխանատվություն է կրում նույն հոդվածի 2-րդ կետով նախատեսված պարտա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softHyphen/>
              <w:t>կանությունները չկատարելու համար (այդ թվում՝ մաքսային ընթացակարգի համաձայն ապրանքների օգտագործման պայմանների պահպանման մասով):</w:t>
            </w:r>
          </w:p>
          <w:p w14:paraId="622F7BC1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Հաշվի առնելով վերոնշյալը և այն հանգամանքը, որ Նախագծով ներկայացված պայմանների դեպքում որպես հայտարարատու հանդես է գալու լիզինգատու կազմակերպությունը, հայտնում ենք, որ Օրենսգրքի 126-րդ հոդվածի 2-րդ կետի համաձայն՝ լիզինգատու կազմակերպության նկատմամբ կկիրառվեն ներմուծված ապրանքների տնօրինման, տիրապետման և օգտագործման հետ կապված սահմանափակումները, հետևաբար՝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lastRenderedPageBreak/>
              <w:t>պահանջները, որի նկատմամբ մաքսային մարմիններն իրականացնում են մաքսային հսկողություն: Նշված նորմերին, ըստ էության, Նախագծով սահմանվող դրույթները կհակասեն: Միաժամանակ, տվյալ դեպքում ՀՀ կառավարության 17</w:t>
            </w:r>
            <w:r w:rsidRPr="00FF6B17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09</w:t>
            </w:r>
            <w:r w:rsidRPr="00FF6B17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2015թ</w:t>
            </w:r>
            <w:r w:rsidRPr="00FF6B17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N 1118-Ն որոշմամբ հաստատված կարգի 22-ից 24-րդ կետերով նախատեսված մոնիթորինգը, ինչպես նաև հետբացթողումային հսկողությունը կիրականացվի լիզինգատու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կազմակերպության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նկատմամբ, ինչը մեր կարծիքով չի բխում իրականացվող ներդրումային ծրագրի բովանդակությունից: </w:t>
            </w:r>
          </w:p>
          <w:p w14:paraId="52AB8E21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Միաժամանակ, Օրենսգրքի 83-րդ հոդվածի 1-ին կետի 1-ին, 2-րդ և 3-րդ պարբերությունների համաձայն՝ որպես մաքսային ընթացակարգերով ձևակերպվող ապրանքների հայտարարատու կարող է հանդես գալ անդամ պետության անձը՝</w:t>
            </w:r>
          </w:p>
          <w:p w14:paraId="1A785ADD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1) որն օտարերկրյա անձի կետ կնքված այն գործարքի կողմերից է, որի հիման վրա ապրանքները տեղափոխվում են Եվրասիական տնտեսական միության մաքսային սահմանով,</w:t>
            </w:r>
          </w:p>
          <w:p w14:paraId="16427FB8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2) որի անունից և (կամ) որի հանձնարարությամբ կնքվել է 1-ին ենթակետի մեջ նշված գործարքը,</w:t>
            </w:r>
          </w:p>
          <w:p w14:paraId="102A6880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3) որն ունի ապրանքների տիրապետման, օգտագործման և (կամ) տնօրինման իրավունք, եթե ապրանքները Միության մաքսային սահմանով տեղափոխվում են այն գործարքի շրջանակներից դուրս, որի կողմերից մեկն օտարերկրյա անձ է:</w:t>
            </w:r>
          </w:p>
          <w:p w14:paraId="45F7A1E2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Հաշվի առնելով նշվածը հայտնում ենք, որ ապրանքների ներմուծման ժամանակ դրանց տնօրինման, տիրապետման և օգտագործման պայմանը չի հանդիսանում պարտադիր պայման և վերոգրյալ 1-ին և 2-րդ կետերի համաձայն՝ ապրանքների հայտարարատու կարող է հանդես գալ անդամ պետության այն անձը, որն 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lastRenderedPageBreak/>
              <w:t>օտարերկրյա անձի կետ կնքված այն գործարքի կողմերից է, որի հիման վրա ապրանքները տեղափոխվում են Եվրասիական տնտեսական միության մաքսային սահմանով կամ որի անունից և (կամ) որի հանձնարարությամբ կնքվել է նշված գործարքը: Նշված նորմերից հետևում է, որ անկախ տիրապետման, օգտագործման և (կամ) տնօրինման իրավունքից ներդրումային ծրագիր իրականացնող կազմակերպությունը կարող է հանդես գալ որպես ներմուծվող ապրանքների հայտարարատու վերոնշյալ  պայմաններին բավարարելու դեպքում:</w:t>
            </w:r>
          </w:p>
          <w:p w14:paraId="480A3B76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2</w:t>
            </w:r>
            <w:r w:rsidRPr="00FF6B1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4B97E7F9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Միաժամանակ, «ԵՐԵՎԱՆԻ ՇՈԿՈԼԱԴԻ ԳՈՐԾԱՐԱՆ» փակ բաժնետիրական ընկերությունը (ՀՎՀՀ 02579983, գրանցված 30.12.2010թ.` ըստ Պետական ռեգիստրի գործակալության գրանցամատյանի) գործում է հարկման ընդհանուր համակարգում, ըստ ներկայացրած վերջին՝ 2023թ. մայիս ամսվա եկամտային հարկի և սոցիալական վճարի ամսական հաշվարկի ունի 350 հարկման բազա ունեցող վարձու աշխատողներ, որոնց միջին հարկման բազան կազմում է 153,562 ՀՀ դրամ: Ընկերության 2021 թվականի հարկման բազա ունեցող վարձու աշխատողների միջին ամսական թվաքանակը կազմել է 268, իսկ միջին հարկման բազան` 172,281 ՀՀ դրամ, 2022 թվականի հարկման բազա ունեցող վարձու աշխատողների միջին ամսական թվաքանակը կազմել է 427, իսկ միջին հարկման բազան` 182,109 ՀՀ դրամ:</w:t>
            </w:r>
          </w:p>
          <w:p w14:paraId="1DAB0796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lastRenderedPageBreak/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տրամադրման:</w:t>
            </w:r>
          </w:p>
          <w:p w14:paraId="454ECDF3" w14:textId="77777777" w:rsidR="00FF6B17" w:rsidRPr="00FF6B17" w:rsidRDefault="00FF6B17" w:rsidP="00FF6B1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Հայտնում ենք նաև, որ ընկերությունը 26.06.2023թ</w:t>
            </w:r>
            <w:r w:rsidRPr="00FF6B17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դրությամբ ունի հարկային մարմնի կողմից վերահսկվող եկամուտների գծով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ժամկետանց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պարտավորություններ:</w:t>
            </w:r>
            <w:r w:rsidRPr="00FF6B17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4E403A18" w14:textId="7B3FAF8D" w:rsidR="00BD02D8" w:rsidRPr="00BD02D8" w:rsidRDefault="00BD02D8" w:rsidP="0018554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BD02D8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38EFB245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զրոյական տեղեկանքը կցվում է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Ինչ վերաբերում է </w:t>
            </w:r>
            <w:r w:rsidR="00B144DA" w:rsidRP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իրացման վերաբերյալ </w:t>
            </w:r>
            <w:r w:rsidR="00B144DA" w:rsidRP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դիմումին կից ներկայացված տեղեկատվությ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</w:t>
            </w:r>
            <w:r w:rsidR="00AB77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ապա </w:t>
            </w:r>
            <w:r w:rsidR="00AB77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ծրագրում 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նշված ցուցանիշներ</w:t>
            </w:r>
            <w:r w:rsidR="00AB77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ներառ</w:t>
            </w:r>
            <w:r w:rsidR="00AB77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 </w:t>
            </w:r>
            <w:r w:rsidR="00AB77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նաև </w:t>
            </w:r>
            <w:r w:rsidR="00B144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հարկերը։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220E606" w:rsidR="00571130" w:rsidRPr="00BC55FB" w:rsidRDefault="00FF6B1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8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0B3AC86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F6B17" w:rsidRPr="00FF6B17">
              <w:rPr>
                <w:rFonts w:ascii="GHEA Grapalat" w:eastAsia="Times New Roman" w:hAnsi="GHEA Grapalat" w:cs="Times New Roman"/>
                <w:sz w:val="24"/>
                <w:szCs w:val="24"/>
              </w:rPr>
              <w:t>01/27.2/30980-2023</w:t>
            </w:r>
          </w:p>
        </w:tc>
      </w:tr>
      <w:tr w:rsidR="00571130" w:rsidRPr="0018554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4B4B42DD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ղու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յուն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ներ և առա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ջար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կու</w:t>
            </w:r>
            <w:r w:rsidR="00185540" w:rsidRPr="00185540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2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  <w:rsid w:val="00FF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72072-CA1A-4EB9-9229-C125954D3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6</Pages>
  <Words>1132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22</cp:revision>
  <dcterms:created xsi:type="dcterms:W3CDTF">2021-11-10T11:33:00Z</dcterms:created>
  <dcterms:modified xsi:type="dcterms:W3CDTF">2023-07-17T13:58:00Z</dcterms:modified>
</cp:coreProperties>
</file>