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09D" w:rsidRPr="00743344" w:rsidRDefault="00C027F1" w:rsidP="00766E6C">
      <w:pPr>
        <w:spacing w:after="0" w:line="360" w:lineRule="auto"/>
        <w:jc w:val="center"/>
        <w:rPr>
          <w:rFonts w:ascii="GHEA Grapalat" w:eastAsia="GHEA Grapalat" w:hAnsi="GHEA Grapalat" w:cs="GHEA Grapalat"/>
          <w:b/>
          <w:spacing w:val="20"/>
          <w:sz w:val="24"/>
          <w:szCs w:val="24"/>
        </w:rPr>
      </w:pPr>
      <w:r w:rsidRPr="00743344">
        <w:rPr>
          <w:rFonts w:ascii="GHEA Grapalat" w:eastAsia="GHEA Grapalat" w:hAnsi="GHEA Grapalat" w:cs="GHEA Grapalat"/>
          <w:b/>
          <w:spacing w:val="20"/>
          <w:sz w:val="24"/>
          <w:szCs w:val="24"/>
        </w:rPr>
        <w:t>ՀԻՄՆԱՎՈՐՈՒՄ</w:t>
      </w:r>
    </w:p>
    <w:p w:rsidR="00DF009D" w:rsidRPr="00766E6C" w:rsidRDefault="00C027F1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66E6C">
        <w:rPr>
          <w:rFonts w:ascii="GHEA Grapalat" w:eastAsia="GHEA Grapalat" w:hAnsi="GHEA Grapalat" w:cs="GHEA Grapalat"/>
          <w:b/>
          <w:sz w:val="24"/>
          <w:szCs w:val="24"/>
        </w:rPr>
        <w:t>««ՓՈՂԵՐԻ ԼՎԱՑՄԱՆ ԵՎ ԱՀԱԲԵԿՉՈՒԹՅԱՆ ՖԻՆԱՆՍԱՎՈՐՄԱՆ ԴԵՄ ՊԱՅՔԱՐԻ ՄԱՍԻՆ» ՕՐԵՆՔՈՒՄ ՓՈՓՈԽՈՒԹՅՈՒՆ</w:t>
      </w:r>
      <w:r w:rsidR="0047799C" w:rsidRPr="0047799C">
        <w:rPr>
          <w:rFonts w:ascii="GHEA Grapalat" w:eastAsia="GHEA Grapalat" w:hAnsi="GHEA Grapalat" w:cs="GHEA Grapalat"/>
          <w:b/>
          <w:sz w:val="24"/>
          <w:szCs w:val="24"/>
        </w:rPr>
        <w:t xml:space="preserve"> ԵՎ ԼՐԱՑՈՒՄ</w:t>
      </w:r>
      <w:r w:rsidRPr="00766E6C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ՄԱՍԻՆ» ՕՐԵՆՔԻ ՆԱԽԱԳԾԻ ԸՆԴՈՒՆՄԱՆ ԱՆՀՐԱԺԵՇՏՈՒԹՅԱՆ ՎԵՐԱԲԵՐՅԱԼ</w:t>
      </w:r>
    </w:p>
    <w:p w:rsidR="00DF009D" w:rsidRPr="00766E6C" w:rsidRDefault="00DF009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DF009D" w:rsidRPr="00766E6C" w:rsidRDefault="00C027F1" w:rsidP="00743344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bookmarkStart w:id="0" w:name="_heading=h.gjdgxs" w:colFirst="0" w:colLast="0"/>
      <w:bookmarkEnd w:id="0"/>
      <w:r w:rsidRPr="00766E6C">
        <w:rPr>
          <w:rFonts w:ascii="GHEA Grapalat" w:eastAsia="GHEA Grapalat" w:hAnsi="GHEA Grapalat" w:cs="GHEA Grapalat"/>
          <w:b/>
          <w:sz w:val="24"/>
          <w:szCs w:val="24"/>
          <w:u w:val="single"/>
        </w:rPr>
        <w:t>1. Ընթացիկ իրավիճակը և իրավական ակտի ընդունման անհրաժեշտությունը</w:t>
      </w:r>
    </w:p>
    <w:p w:rsidR="00496990" w:rsidRPr="00496990" w:rsidRDefault="00C027F1" w:rsidP="00743344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>Ներկայումս «Փողերի լվացման և ահաբեկչության ֆինանսավորման դեմ պայքարի մասին» օրենքի (այսուհետ՝ Օրենք) 6-րդ հոդվածի 4-րդ մասով սահմանվում են այն դեպքերը, երբ</w:t>
      </w:r>
      <w:r w:rsidR="00AF72B4" w:rsidRPr="00766E6C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կենտրոնական բանկին (այսուհետ՝ Լիազոր մարմին) կասկածելի գործարքի կամ գործարար հարաբերության վերաբերյալ և (կամ) պարտադիր տեղեկացման ենթակա գործարքի վերաբերյալ պետք է ներկայացվեն հաշվետվություններ: Նշված ցանկում ներառված չ</w:t>
      </w:r>
      <w:r w:rsidR="00496990" w:rsidRPr="00496990">
        <w:rPr>
          <w:rFonts w:ascii="GHEA Grapalat" w:eastAsia="GHEA Grapalat" w:hAnsi="GHEA Grapalat" w:cs="GHEA Grapalat"/>
          <w:sz w:val="24"/>
          <w:szCs w:val="24"/>
        </w:rPr>
        <w:t xml:space="preserve">են </w:t>
      </w:r>
      <w:r w:rsidR="00AF72B4" w:rsidRPr="00766E6C">
        <w:rPr>
          <w:rFonts w:ascii="GHEA Grapalat" w:eastAsia="GHEA Grapalat" w:hAnsi="GHEA Grapalat" w:cs="GHEA Grapalat"/>
          <w:sz w:val="24"/>
          <w:szCs w:val="24"/>
        </w:rPr>
        <w:t>գույքի նվիրատվության դեպք</w:t>
      </w:r>
      <w:r w:rsidR="00496990" w:rsidRPr="00496990">
        <w:rPr>
          <w:rFonts w:ascii="GHEA Grapalat" w:eastAsia="GHEA Grapalat" w:hAnsi="GHEA Grapalat" w:cs="GHEA Grapalat"/>
          <w:sz w:val="24"/>
          <w:szCs w:val="24"/>
        </w:rPr>
        <w:t>երը:</w:t>
      </w:r>
    </w:p>
    <w:p w:rsidR="00DF009D" w:rsidRPr="00766E6C" w:rsidRDefault="00AF72B4" w:rsidP="00743344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 xml:space="preserve">Այս համատեքստում ուշագրավ է, որ, </w:t>
      </w:r>
      <w:r w:rsidR="00C027F1" w:rsidRPr="00766E6C">
        <w:rPr>
          <w:rFonts w:ascii="GHEA Grapalat" w:eastAsia="GHEA Grapalat" w:hAnsi="GHEA Grapalat" w:cs="GHEA Grapalat"/>
          <w:sz w:val="24"/>
          <w:szCs w:val="24"/>
        </w:rPr>
        <w:t>ՀՀ կադաստրի կոմիտեի տվյալներ</w:t>
      </w:r>
      <w:r w:rsidRPr="00766E6C">
        <w:rPr>
          <w:rFonts w:ascii="GHEA Grapalat" w:eastAsia="GHEA Grapalat" w:hAnsi="GHEA Grapalat" w:cs="GHEA Grapalat"/>
          <w:sz w:val="24"/>
          <w:szCs w:val="24"/>
        </w:rPr>
        <w:t>ի համաձայն,</w:t>
      </w:r>
      <w:r w:rsidR="00C027F1" w:rsidRPr="00766E6C">
        <w:rPr>
          <w:rFonts w:ascii="GHEA Grapalat" w:eastAsia="GHEA Grapalat" w:hAnsi="GHEA Grapalat" w:cs="GHEA Grapalat"/>
          <w:sz w:val="24"/>
          <w:szCs w:val="24"/>
        </w:rPr>
        <w:t xml:space="preserve"> վերջին տարիներին աճել են նվիրատվության հիման վրա սեփականության իրավունքի ձեռքբերման դեպքերը: Այսպես.</w:t>
      </w:r>
    </w:p>
    <w:p w:rsidR="00DF009D" w:rsidRPr="00766E6C" w:rsidRDefault="00C027F1" w:rsidP="007433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66E6C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2020 թվականին</w:t>
      </w:r>
      <w:r w:rsidRPr="00766E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գրանցվել է նվիրատվության՝ 4017 գործարք Երևանում, 8674 գործարք՝ մարզերում,</w:t>
      </w:r>
    </w:p>
    <w:p w:rsidR="00DF009D" w:rsidRPr="00766E6C" w:rsidRDefault="00C027F1" w:rsidP="007433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66E6C">
        <w:rPr>
          <w:rFonts w:ascii="GHEA Grapalat" w:eastAsia="GHEA Grapalat" w:hAnsi="GHEA Grapalat" w:cs="GHEA Grapalat"/>
          <w:b/>
          <w:i/>
          <w:sz w:val="24"/>
          <w:szCs w:val="24"/>
        </w:rPr>
        <w:t>2021 թվականին</w:t>
      </w:r>
      <w:r w:rsidRPr="00766E6C">
        <w:rPr>
          <w:rFonts w:ascii="GHEA Grapalat" w:eastAsia="GHEA Grapalat" w:hAnsi="GHEA Grapalat" w:cs="GHEA Grapalat"/>
          <w:color w:val="000000"/>
          <w:sz w:val="24"/>
          <w:szCs w:val="24"/>
        </w:rPr>
        <w:t>՝ 5882 գործարք Երևանում</w:t>
      </w:r>
      <w:r w:rsidRPr="00766E6C">
        <w:rPr>
          <w:rFonts w:ascii="GHEA Grapalat" w:eastAsia="GHEA Grapalat" w:hAnsi="GHEA Grapalat" w:cs="GHEA Grapalat"/>
          <w:sz w:val="24"/>
          <w:szCs w:val="24"/>
        </w:rPr>
        <w:t>,</w:t>
      </w:r>
      <w:r w:rsidRPr="00766E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12060՝ մարզերում,</w:t>
      </w:r>
    </w:p>
    <w:p w:rsidR="00DF009D" w:rsidRPr="00766E6C" w:rsidRDefault="00C027F1" w:rsidP="007433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66E6C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 2022 թվականին</w:t>
      </w:r>
      <w:r w:rsidRPr="00766E6C">
        <w:rPr>
          <w:rFonts w:ascii="GHEA Grapalat" w:eastAsia="GHEA Grapalat" w:hAnsi="GHEA Grapalat" w:cs="GHEA Grapalat"/>
          <w:sz w:val="24"/>
          <w:szCs w:val="24"/>
        </w:rPr>
        <w:t>՝ 7334 գործարք Երևանում, 15765՝ մարզերում:</w:t>
      </w:r>
    </w:p>
    <w:p w:rsidR="00AF72B4" w:rsidRPr="008976CC" w:rsidRDefault="00AF72B4" w:rsidP="00496990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66E6C">
        <w:rPr>
          <w:rFonts w:ascii="GHEA Grapalat" w:eastAsia="GHEA Grapalat" w:hAnsi="GHEA Grapalat" w:cs="GHEA Grapalat"/>
          <w:color w:val="000000"/>
          <w:sz w:val="24"/>
          <w:szCs w:val="24"/>
        </w:rPr>
        <w:t>Վերոգրյալի համատեքստում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ակնհայտ է, որ նվիրատվության գործարքների անընդհատական աճ</w:t>
      </w:r>
      <w:r w:rsidR="005A332F" w:rsidRPr="005A332F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 մեջ պարունակում է հիմնավոր ռիսկեր առ այն, որ դրանց թվում կարող են լինել կեղծ և շինծու գործարքներ՝ ապօրինի ձեռք </w:t>
      </w:r>
      <w:r w:rsidR="00496990">
        <w:rPr>
          <w:rFonts w:ascii="GHEA Grapalat" w:eastAsia="GHEA Grapalat" w:hAnsi="GHEA Grapalat" w:cs="GHEA Grapalat"/>
          <w:color w:val="000000"/>
          <w:sz w:val="24"/>
          <w:szCs w:val="24"/>
        </w:rPr>
        <w:t>բեր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>ված գույք</w:t>
      </w:r>
      <w:r w:rsidR="005A332F" w:rsidRPr="005A332F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իբրև օրինական ճանապարհով օտարելու </w:t>
      </w:r>
      <w:r w:rsidR="008976CC" w:rsidRPr="008976CC"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ՀՀ իրավապահ մարմիններից թաքցնելու և օրինականացնելու նպատակով: </w:t>
      </w:r>
      <w:r w:rsidR="00141F17" w:rsidRPr="002841F3">
        <w:rPr>
          <w:rFonts w:ascii="GHEA Grapalat" w:eastAsia="GHEA Grapalat" w:hAnsi="GHEA Grapalat" w:cs="GHEA Grapalat"/>
          <w:sz w:val="24"/>
          <w:szCs w:val="24"/>
        </w:rPr>
        <w:t>Ու թեև Օրենքով նոտարների և ՀՀ կադաստրի կոմիտեի վրա դրված է օրենսդրությամբ նախատեսված դեպքերում կեղծ և շինծու գործարքների վերաբերյալ տեղեկություններ տրամադրելու պարտականություն,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սակայն նման պարտականություն</w:t>
      </w:r>
      <w:r w:rsidR="005A332F" w:rsidRPr="005A332F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ամբողջությամբ չի ծածկում ներկա իրավիճակով պայմանավորված և նկարագրված բոլոր ռիսկերը, որից ելնելով էլ անհրաժեշտություն է առաջացել, որ նվիրատվության </w:t>
      </w:r>
      <w:r w:rsid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գործարք </w:t>
      </w:r>
      <w:r w:rsidR="005A332F" w:rsidRPr="005A332F">
        <w:rPr>
          <w:rFonts w:ascii="GHEA Grapalat" w:eastAsia="GHEA Grapalat" w:hAnsi="GHEA Grapalat" w:cs="GHEA Grapalat"/>
          <w:color w:val="000000"/>
          <w:sz w:val="24"/>
          <w:szCs w:val="24"/>
        </w:rPr>
        <w:t>հաստատող, գրանցող</w:t>
      </w:r>
      <w:r w:rsid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լիազոր մարմինը կամ ն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>ման գործառույթ կատարողները (նոտարները) սահմանված կարգո</w:t>
      </w:r>
      <w:r w:rsidR="008976CC" w:rsidRPr="008976CC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Լիազոր մարմնին ներկայացվող իրենց հաշվետվություններում </w:t>
      </w:r>
      <w:r w:rsidR="005A332F" w:rsidRPr="005A332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պարտադիր 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ներկայացնեն նաև 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տեղեկություններ</w:t>
      </w:r>
      <w:r w:rsidR="008976CC" w:rsidRPr="008976CC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496990" w:rsidRPr="004969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նվիրատվության բոլոր գործարքների վերաբերյալ՝ հետագայում դրանց մոնիթորինգի </w:t>
      </w:r>
      <w:r w:rsidR="008976CC" w:rsidRPr="008976CC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 ռիսկերի գնահատման, ինչպես նաև առանձին դեպքերում փողերի լվացման դեպքերի կանխման կամ բացահայտման նպատակով:</w:t>
      </w:r>
    </w:p>
    <w:p w:rsidR="009C79BC" w:rsidRPr="00766E6C" w:rsidRDefault="009C79BC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>Միևնույն ժամանակ, Օրենքի 6-րդ հոդվածի 3-րդ մասի 2-րդ կետում առկա է դրույթ՝ կանխիկ ձևով կատարվող գործարքների վերաբերյալ, որը չի համապատասխանում «Անկանխիկ գործառնությունների մասին» օրենքի կարգավորումներին, ուստի այն անհրաժեշտ է հանել՝ թողնելով առկա ընդհանուր կարգավորումները:</w:t>
      </w:r>
    </w:p>
    <w:p w:rsidR="00DF009D" w:rsidRPr="00766E6C" w:rsidRDefault="00DF009D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DF009D" w:rsidRPr="00766E6C" w:rsidRDefault="00C027F1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66E6C">
        <w:rPr>
          <w:rFonts w:ascii="GHEA Grapalat" w:eastAsia="GHEA Grapalat" w:hAnsi="GHEA Grapalat" w:cs="GHEA Grapalat"/>
          <w:b/>
          <w:sz w:val="24"/>
          <w:szCs w:val="24"/>
          <w:u w:val="single"/>
        </w:rPr>
        <w:t>2. Առաջարկվող կարգավորման բնույթը</w:t>
      </w:r>
    </w:p>
    <w:p w:rsidR="00DF009D" w:rsidRPr="00766E6C" w:rsidRDefault="00C027F1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առաջարկվում է նոտարների և ՀՀ կադաստրի կոմիտեի համար սահմանել </w:t>
      </w:r>
      <w:r w:rsidR="009C79BC" w:rsidRPr="00766E6C">
        <w:rPr>
          <w:rFonts w:ascii="GHEA Grapalat" w:eastAsia="GHEA Grapalat" w:hAnsi="GHEA Grapalat" w:cs="GHEA Grapalat"/>
          <w:sz w:val="24"/>
          <w:szCs w:val="24"/>
        </w:rPr>
        <w:t>Օրենքով նախատեսված դեպքերում նվիրատվությունների մասով Լիազոր մարմնին հաշվետվություններ ներկայացնելու պարտականություն, ինչպես նաև հանել 6-րդ հոդվածի 3-րդ մասի 2-րդ կետում առկա՝ «Անկանխիկ գործառնությունների մասին» օրենքի կարգավորումներից չբխող նախադասությունը:</w:t>
      </w:r>
    </w:p>
    <w:p w:rsidR="00DF009D" w:rsidRPr="00766E6C" w:rsidRDefault="00DF009D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DF009D" w:rsidRPr="00766E6C" w:rsidRDefault="00C027F1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66E6C">
        <w:rPr>
          <w:rFonts w:ascii="GHEA Grapalat" w:eastAsia="GHEA Grapalat" w:hAnsi="GHEA Grapalat" w:cs="GHEA Grapalat"/>
          <w:b/>
          <w:sz w:val="24"/>
          <w:szCs w:val="24"/>
          <w:u w:val="single"/>
        </w:rPr>
        <w:t>3. Ակնկալվող արդյունքը</w:t>
      </w:r>
    </w:p>
    <w:p w:rsidR="00DF009D" w:rsidRPr="00766E6C" w:rsidRDefault="00C027F1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 xml:space="preserve">Նախագծի ընդունմամբ </w:t>
      </w:r>
      <w:r w:rsidR="0023262A" w:rsidRPr="00766E6C">
        <w:rPr>
          <w:rFonts w:ascii="GHEA Grapalat" w:eastAsia="GHEA Grapalat" w:hAnsi="GHEA Grapalat" w:cs="GHEA Grapalat"/>
          <w:sz w:val="24"/>
          <w:szCs w:val="24"/>
        </w:rPr>
        <w:t xml:space="preserve">կստեղծվի մեխանիզմ՝ </w:t>
      </w:r>
      <w:r w:rsidR="001736F5" w:rsidRPr="00766E6C">
        <w:rPr>
          <w:rFonts w:ascii="GHEA Grapalat" w:eastAsia="GHEA Grapalat" w:hAnsi="GHEA Grapalat" w:cs="GHEA Grapalat"/>
          <w:sz w:val="24"/>
          <w:szCs w:val="24"/>
        </w:rPr>
        <w:t xml:space="preserve">ընդհանուր առմամբ </w:t>
      </w:r>
      <w:r w:rsidR="0023262A" w:rsidRPr="00766E6C">
        <w:rPr>
          <w:rFonts w:ascii="GHEA Grapalat" w:eastAsia="GHEA Grapalat" w:hAnsi="GHEA Grapalat" w:cs="GHEA Grapalat"/>
          <w:sz w:val="24"/>
          <w:szCs w:val="24"/>
        </w:rPr>
        <w:t>նվիրատվության գործարքների մասով ռիսկերը կառավարելու համար</w:t>
      </w:r>
      <w:r w:rsidR="00371C37" w:rsidRPr="00371C37">
        <w:rPr>
          <w:rFonts w:ascii="GHEA Grapalat" w:eastAsia="GHEA Grapalat" w:hAnsi="GHEA Grapalat" w:cs="GHEA Grapalat"/>
          <w:sz w:val="24"/>
          <w:szCs w:val="24"/>
        </w:rPr>
        <w:t xml:space="preserve">, ինչն իր դրական ազդեցությունը կունենա </w:t>
      </w:r>
      <w:r w:rsidR="00371C37" w:rsidRPr="00766E6C">
        <w:rPr>
          <w:rFonts w:ascii="GHEA Grapalat" w:eastAsia="GHEA Grapalat" w:hAnsi="GHEA Grapalat" w:cs="GHEA Grapalat"/>
          <w:sz w:val="24"/>
          <w:szCs w:val="24"/>
        </w:rPr>
        <w:t xml:space="preserve">փողերի լվացման և ահաբեկչության ֆինանսավորման դեմ պայքարի </w:t>
      </w:r>
      <w:r w:rsidR="00371C37">
        <w:rPr>
          <w:rFonts w:ascii="GHEA Grapalat" w:eastAsia="GHEA Grapalat" w:hAnsi="GHEA Grapalat" w:cs="GHEA Grapalat"/>
          <w:sz w:val="24"/>
          <w:szCs w:val="24"/>
        </w:rPr>
        <w:t>արդյունավետությ</w:t>
      </w:r>
      <w:r w:rsidR="00371C37" w:rsidRPr="00371C37">
        <w:rPr>
          <w:rFonts w:ascii="GHEA Grapalat" w:eastAsia="GHEA Grapalat" w:hAnsi="GHEA Grapalat" w:cs="GHEA Grapalat"/>
          <w:sz w:val="24"/>
          <w:szCs w:val="24"/>
        </w:rPr>
        <w:t>ան ապահովման տեսանկյունից</w:t>
      </w:r>
      <w:r w:rsidR="001736F5" w:rsidRPr="00766E6C">
        <w:rPr>
          <w:rFonts w:ascii="GHEA Grapalat" w:eastAsia="GHEA Grapalat" w:hAnsi="GHEA Grapalat" w:cs="GHEA Grapalat"/>
          <w:sz w:val="24"/>
          <w:szCs w:val="24"/>
        </w:rPr>
        <w:t>:</w:t>
      </w:r>
      <w:r w:rsidR="009C79BC" w:rsidRPr="00766E6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DF009D" w:rsidRPr="00766E6C" w:rsidRDefault="001736F5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sz w:val="24"/>
          <w:szCs w:val="24"/>
        </w:rPr>
      </w:pPr>
      <w:r w:rsidRPr="00766E6C">
        <w:rPr>
          <w:rFonts w:ascii="GHEA Grapalat" w:eastAsia="GHEA Grapalat" w:hAnsi="GHEA Grapalat" w:cs="GHEA Grapalat"/>
          <w:color w:val="0D0D0D"/>
          <w:sz w:val="24"/>
          <w:szCs w:val="24"/>
        </w:rPr>
        <w:t>Միևնույն ժամանակ, սույն նախագծի ընդունումը չի ենթադրում լրացուցիչ ֆինանսական միջոցների անհրաժեշտություն և պետական բյուջեի եկամուտներում և ծախսերում էական փոփոխություններ:</w:t>
      </w:r>
    </w:p>
    <w:p w:rsidR="001736F5" w:rsidRPr="00766E6C" w:rsidRDefault="001736F5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976CC" w:rsidRPr="0047799C" w:rsidRDefault="00C027F1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bookmarkStart w:id="1" w:name="_heading=h.2et92p0" w:colFirst="0" w:colLast="0"/>
      <w:bookmarkEnd w:id="1"/>
      <w:r w:rsidRPr="00766E6C">
        <w:rPr>
          <w:rFonts w:ascii="GHEA Grapalat" w:eastAsia="GHEA Grapalat" w:hAnsi="GHEA Grapalat" w:cs="GHEA Grapalat"/>
          <w:b/>
          <w:sz w:val="24"/>
          <w:szCs w:val="24"/>
          <w:u w:val="single"/>
        </w:rPr>
        <w:t>4. 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DF009D" w:rsidRPr="00766E6C" w:rsidRDefault="0023262A" w:rsidP="00766E6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66E6C">
        <w:rPr>
          <w:rFonts w:ascii="GHEA Grapalat" w:eastAsia="GHEA Grapalat" w:hAnsi="GHEA Grapalat" w:cs="GHEA Grapalat"/>
          <w:sz w:val="24"/>
          <w:szCs w:val="24"/>
        </w:rPr>
        <w:t xml:space="preserve">Սույն </w:t>
      </w:r>
      <w:r w:rsidR="00743344">
        <w:rPr>
          <w:rFonts w:ascii="GHEA Grapalat" w:eastAsia="GHEA Grapalat" w:hAnsi="GHEA Grapalat" w:cs="GHEA Grapalat"/>
          <w:sz w:val="24"/>
          <w:szCs w:val="24"/>
        </w:rPr>
        <w:t>նախագ</w:t>
      </w:r>
      <w:r w:rsidR="00743344" w:rsidRPr="00743344">
        <w:rPr>
          <w:rFonts w:ascii="GHEA Grapalat" w:eastAsia="GHEA Grapalat" w:hAnsi="GHEA Grapalat" w:cs="GHEA Grapalat"/>
          <w:sz w:val="24"/>
          <w:szCs w:val="24"/>
        </w:rPr>
        <w:t>ծի ընդունում</w:t>
      </w:r>
      <w:r w:rsidRPr="00766E6C">
        <w:rPr>
          <w:rFonts w:ascii="GHEA Grapalat" w:eastAsia="GHEA Grapalat" w:hAnsi="GHEA Grapalat" w:cs="GHEA Grapalat"/>
          <w:sz w:val="24"/>
          <w:szCs w:val="24"/>
        </w:rPr>
        <w:t>ն անմիջականորեն նախատեսված չէ ռազմավարական փաստաթղթեր</w:t>
      </w:r>
      <w:r w:rsidR="00743344" w:rsidRPr="00743344">
        <w:rPr>
          <w:rFonts w:ascii="GHEA Grapalat" w:eastAsia="GHEA Grapalat" w:hAnsi="GHEA Grapalat" w:cs="GHEA Grapalat"/>
          <w:sz w:val="24"/>
          <w:szCs w:val="24"/>
        </w:rPr>
        <w:t>ով</w:t>
      </w:r>
      <w:r w:rsidRPr="00766E6C">
        <w:rPr>
          <w:rFonts w:ascii="GHEA Grapalat" w:eastAsia="GHEA Grapalat" w:hAnsi="GHEA Grapalat" w:cs="GHEA Grapalat"/>
          <w:sz w:val="24"/>
          <w:szCs w:val="24"/>
        </w:rPr>
        <w:t>:</w:t>
      </w:r>
      <w:r w:rsidR="00C027F1" w:rsidRPr="00766E6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sectPr w:rsidR="00DF009D" w:rsidRPr="00766E6C" w:rsidSect="008976CC">
      <w:footerReference w:type="even" r:id="rId8"/>
      <w:footerReference w:type="default" r:id="rId9"/>
      <w:pgSz w:w="12240" w:h="15840"/>
      <w:pgMar w:top="540" w:right="1019" w:bottom="810" w:left="1440" w:header="360" w:footer="12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F2E" w:rsidRDefault="00EC5F2E" w:rsidP="00DF009D">
      <w:pPr>
        <w:spacing w:after="0" w:line="240" w:lineRule="auto"/>
      </w:pPr>
      <w:r>
        <w:separator/>
      </w:r>
    </w:p>
  </w:endnote>
  <w:endnote w:type="continuationSeparator" w:id="0">
    <w:p w:rsidR="00EC5F2E" w:rsidRDefault="00EC5F2E" w:rsidP="00DF0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9D" w:rsidRDefault="00A4449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C027F1">
      <w:rPr>
        <w:color w:val="000000"/>
      </w:rPr>
      <w:instrText>PAGE</w:instrText>
    </w:r>
    <w:r>
      <w:rPr>
        <w:color w:val="000000"/>
      </w:rPr>
      <w:fldChar w:fldCharType="end"/>
    </w:r>
  </w:p>
  <w:p w:rsidR="00DF009D" w:rsidRDefault="00DF00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9D" w:rsidRDefault="00A4449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C027F1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371C37">
      <w:rPr>
        <w:rFonts w:ascii="GHEA Grapalat" w:eastAsia="GHEA Grapalat" w:hAnsi="GHEA Grapalat" w:cs="GHEA Grapalat"/>
        <w:noProof/>
        <w:color w:val="000000"/>
      </w:rPr>
      <w:t>2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DF009D" w:rsidRDefault="00DF009D">
    <w:pPr>
      <w:spacing w:after="0" w:line="240" w:lineRule="auto"/>
      <w:rPr>
        <w:rFonts w:ascii="GHEA Grapalat" w:eastAsia="GHEA Grapalat" w:hAnsi="GHEA Grapalat" w:cs="GHEA Grapalat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F2E" w:rsidRDefault="00EC5F2E" w:rsidP="00DF009D">
      <w:pPr>
        <w:spacing w:after="0" w:line="240" w:lineRule="auto"/>
      </w:pPr>
      <w:r>
        <w:separator/>
      </w:r>
    </w:p>
  </w:footnote>
  <w:footnote w:type="continuationSeparator" w:id="0">
    <w:p w:rsidR="00EC5F2E" w:rsidRDefault="00EC5F2E" w:rsidP="00DF0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663CA"/>
    <w:multiLevelType w:val="multilevel"/>
    <w:tmpl w:val="2954EF38"/>
    <w:lvl w:ilvl="0">
      <w:start w:val="1"/>
      <w:numFmt w:val="bullet"/>
      <w:lvlText w:val="●"/>
      <w:lvlJc w:val="left"/>
      <w:pPr>
        <w:ind w:left="1287" w:hanging="360"/>
      </w:pPr>
      <w:rPr>
        <w:rFonts w:ascii="GHEA Grapalat" w:eastAsia="Noto Sans Symbols" w:hAnsi="GHEA Grapalat" w:cs="Noto Sans Symbol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09D"/>
    <w:rsid w:val="00141F17"/>
    <w:rsid w:val="001736F5"/>
    <w:rsid w:val="001A74BE"/>
    <w:rsid w:val="0023262A"/>
    <w:rsid w:val="00371C37"/>
    <w:rsid w:val="003D1A09"/>
    <w:rsid w:val="0047799C"/>
    <w:rsid w:val="00496990"/>
    <w:rsid w:val="005A332F"/>
    <w:rsid w:val="00743344"/>
    <w:rsid w:val="00766E6C"/>
    <w:rsid w:val="008976CC"/>
    <w:rsid w:val="009C79BC"/>
    <w:rsid w:val="00A44496"/>
    <w:rsid w:val="00AF72B4"/>
    <w:rsid w:val="00C027F1"/>
    <w:rsid w:val="00C525DD"/>
    <w:rsid w:val="00DF009D"/>
    <w:rsid w:val="00EC5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rsid w:val="00D37C8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37C8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37C8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D37C8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37C8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37C8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DF009D"/>
  </w:style>
  <w:style w:type="paragraph" w:styleId="Title">
    <w:name w:val="Title"/>
    <w:basedOn w:val="Normal"/>
    <w:next w:val="Normal"/>
    <w:uiPriority w:val="10"/>
    <w:qFormat/>
    <w:rsid w:val="00D37C8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  <w:rsid w:val="00152308"/>
  </w:style>
  <w:style w:type="paragraph" w:customStyle="1" w:styleId="normal10">
    <w:name w:val="normal1"/>
    <w:rsid w:val="00D37C86"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character" w:styleId="FootnoteReference">
    <w:name w:val="footnote reference"/>
    <w:basedOn w:val="DefaultParagraphFont"/>
    <w:uiPriority w:val="99"/>
    <w:semiHidden/>
    <w:unhideWhenUsed/>
    <w:rsid w:val="00B15A3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3B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3B72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B43A5F"/>
  </w:style>
  <w:style w:type="character" w:styleId="Hyperlink">
    <w:name w:val="Hyperlink"/>
    <w:basedOn w:val="DefaultParagraphFont"/>
    <w:uiPriority w:val="99"/>
    <w:unhideWhenUsed/>
    <w:rsid w:val="00A6050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050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rsid w:val="00DF009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">
    <w:name w:val="5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405AC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77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8">
    <w:name w:val="8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"/>
    <w:rsid w:val="00D37C86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">
    <w:name w:val="6"/>
    <w:basedOn w:val="TableNormal"/>
    <w:rsid w:val="00152308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ODcIsoWP1l47ziD4E0o9YvnfuYg==">AMUW2mVpQXioIW1eVRZjIpM/lt3s3TWex0MF033sjVSzSjrfNE01g0jJDbwT0ij/m+pvgmbCY/WOXWSdBiTNb22jiN0l1/TqOR24EEk76gnlNIUC1qRp8CeXde5ovJvBs8wzhyAT1iDg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MOJ</cp:lastModifiedBy>
  <cp:revision>11</cp:revision>
  <cp:lastPrinted>2023-05-08T11:06:00Z</cp:lastPrinted>
  <dcterms:created xsi:type="dcterms:W3CDTF">2023-05-08T08:33:00Z</dcterms:created>
  <dcterms:modified xsi:type="dcterms:W3CDTF">2023-05-29T07:34:00Z</dcterms:modified>
</cp:coreProperties>
</file>