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C2B90" w14:textId="77777777" w:rsidR="004F5CDF" w:rsidRPr="00E94070" w:rsidRDefault="004F5CDF" w:rsidP="003E120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434EEACE" w14:textId="67B6C4D8" w:rsidR="004F5CDF" w:rsidRPr="00E94070" w:rsidRDefault="004F5CDF" w:rsidP="003E120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4070">
        <w:rPr>
          <w:rFonts w:ascii="GHEA Grapalat" w:hAnsi="GHEA Grapalat" w:cstheme="majorHAnsi"/>
          <w:b/>
          <w:sz w:val="24"/>
          <w:szCs w:val="24"/>
          <w:lang w:val="hy-AM"/>
        </w:rPr>
        <w:t>«ՊԱՐԵՆԱՅԻՆ ԱՆՎՏԱՆԳՈՒԹՅԱՆ ՀԱՄԱԿԱՐԳԻ ԶԱՐԳԱՑՄԱՆ</w:t>
      </w:r>
      <w:r w:rsidR="00EE1EA7" w:rsidRPr="00E94070">
        <w:rPr>
          <w:rFonts w:ascii="GHEA Grapalat" w:hAnsi="GHEA Grapalat" w:cstheme="majorHAnsi"/>
          <w:b/>
          <w:sz w:val="24"/>
          <w:szCs w:val="24"/>
          <w:lang w:val="hy-AM"/>
        </w:rPr>
        <w:t xml:space="preserve"> </w:t>
      </w:r>
      <w:r w:rsidRPr="00E94070">
        <w:rPr>
          <w:rFonts w:ascii="GHEA Grapalat" w:hAnsi="GHEA Grapalat" w:cstheme="majorHAnsi"/>
          <w:b/>
          <w:sz w:val="24"/>
          <w:szCs w:val="24"/>
          <w:lang w:val="hy-AM"/>
        </w:rPr>
        <w:t>ՌԱԶՄԱՎԱՐՈՒԹՅ</w:t>
      </w:r>
      <w:r w:rsidR="00A86E13" w:rsidRPr="00E94070">
        <w:rPr>
          <w:rFonts w:ascii="GHEA Grapalat" w:hAnsi="GHEA Grapalat" w:cstheme="majorHAnsi"/>
          <w:b/>
          <w:sz w:val="24"/>
          <w:szCs w:val="24"/>
          <w:lang w:val="hy-AM"/>
        </w:rPr>
        <w:t>ՈՒ</w:t>
      </w:r>
      <w:r w:rsidRPr="00E94070">
        <w:rPr>
          <w:rFonts w:ascii="GHEA Grapalat" w:hAnsi="GHEA Grapalat" w:cstheme="majorHAnsi"/>
          <w:b/>
          <w:sz w:val="24"/>
          <w:szCs w:val="24"/>
          <w:lang w:val="hy-AM"/>
        </w:rPr>
        <w:t>Ն</w:t>
      </w:r>
      <w:r w:rsidR="00A86E13" w:rsidRPr="00E94070">
        <w:rPr>
          <w:rFonts w:ascii="GHEA Grapalat" w:hAnsi="GHEA Grapalat" w:cstheme="majorHAnsi"/>
          <w:b/>
          <w:sz w:val="24"/>
          <w:szCs w:val="24"/>
          <w:lang w:val="hy-AM"/>
        </w:rPr>
        <w:t>Ը</w:t>
      </w:r>
      <w:r w:rsidRPr="00E94070">
        <w:rPr>
          <w:rFonts w:ascii="GHEA Grapalat" w:hAnsi="GHEA Grapalat" w:cstheme="majorHAnsi"/>
          <w:b/>
          <w:sz w:val="24"/>
          <w:szCs w:val="24"/>
          <w:lang w:val="hy-AM"/>
        </w:rPr>
        <w:t xml:space="preserve"> ԵՎ 202</w:t>
      </w:r>
      <w:r w:rsidR="00AA2EBE" w:rsidRPr="00E94070">
        <w:rPr>
          <w:rFonts w:ascii="GHEA Grapalat" w:hAnsi="GHEA Grapalat" w:cstheme="majorHAnsi"/>
          <w:b/>
          <w:sz w:val="24"/>
          <w:szCs w:val="24"/>
          <w:lang w:val="hy-AM"/>
        </w:rPr>
        <w:t>3</w:t>
      </w:r>
      <w:r w:rsidRPr="00E94070">
        <w:rPr>
          <w:rFonts w:ascii="GHEA Grapalat" w:hAnsi="GHEA Grapalat" w:cstheme="majorHAnsi"/>
          <w:b/>
          <w:sz w:val="24"/>
          <w:szCs w:val="24"/>
          <w:lang w:val="hy-AM"/>
        </w:rPr>
        <w:t xml:space="preserve">-2026 ԹՎԱԿԱՆՆԵՐԻ ԳՈՐԾՈՂՈՒԹՅՈՒՆՆԵՐԻ ԾՐԱԳԻՐԸ» ՀԱՍՏԱՏԵԼՈՒ ՄԱՍԻՆ </w:t>
      </w:r>
      <w:r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</w:t>
      </w:r>
      <w:r w:rsidR="00B71E89"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>Ա</w:t>
      </w:r>
      <w:r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>Ն</w:t>
      </w:r>
      <w:r w:rsidR="00B25F56"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ՈՐՈՇՄԱՆ ԸՆԴՈՒՆՄԱՆ</w:t>
      </w:r>
    </w:p>
    <w:p w14:paraId="69AA7E23" w14:textId="77777777" w:rsidR="00B25F56" w:rsidRPr="00E94070" w:rsidRDefault="00B25F56" w:rsidP="003E120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4592C4CA" w14:textId="77777777" w:rsidR="004F5CDF" w:rsidRPr="00E94070" w:rsidRDefault="004F5CDF" w:rsidP="003E1203">
      <w:pPr>
        <w:numPr>
          <w:ilvl w:val="0"/>
          <w:numId w:val="1"/>
        </w:numPr>
        <w:spacing w:after="0" w:line="360" w:lineRule="auto"/>
        <w:ind w:left="0" w:firstLine="45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2A945F10" w14:textId="1EE39E96" w:rsidR="001F4512" w:rsidRPr="00E94070" w:rsidRDefault="001F4512" w:rsidP="003E1203">
      <w:pPr>
        <w:spacing w:after="0" w:line="360" w:lineRule="auto"/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</w:t>
      </w:r>
      <w:r w:rsidR="00462DAC"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="00462DAC" w:rsidRPr="00E94070">
        <w:rPr>
          <w:rFonts w:ascii="GHEA Grapalat" w:hAnsi="GHEA Grapalat" w:cstheme="majorHAnsi"/>
          <w:sz w:val="24"/>
          <w:szCs w:val="24"/>
          <w:lang w:val="hy-AM"/>
        </w:rPr>
        <w:t>Պարենային անվտանգության համակարգի զարգացման ռազմավարությ</w:t>
      </w:r>
      <w:r w:rsidR="00A86E13" w:rsidRPr="00E94070">
        <w:rPr>
          <w:rFonts w:ascii="GHEA Grapalat" w:hAnsi="GHEA Grapalat" w:cstheme="majorHAnsi"/>
          <w:sz w:val="24"/>
          <w:szCs w:val="24"/>
          <w:lang w:val="hy-AM"/>
        </w:rPr>
        <w:t>ու</w:t>
      </w:r>
      <w:r w:rsidR="00462DAC" w:rsidRPr="00E94070">
        <w:rPr>
          <w:rFonts w:ascii="GHEA Grapalat" w:hAnsi="GHEA Grapalat" w:cstheme="majorHAnsi"/>
          <w:sz w:val="24"/>
          <w:szCs w:val="24"/>
          <w:lang w:val="hy-AM"/>
        </w:rPr>
        <w:t>ն</w:t>
      </w:r>
      <w:r w:rsidR="00A86E13" w:rsidRPr="00E94070">
        <w:rPr>
          <w:rFonts w:ascii="GHEA Grapalat" w:hAnsi="GHEA Grapalat" w:cstheme="majorHAnsi"/>
          <w:sz w:val="24"/>
          <w:szCs w:val="24"/>
          <w:lang w:val="hy-AM"/>
        </w:rPr>
        <w:t>ը</w:t>
      </w:r>
      <w:r w:rsidR="00462DAC" w:rsidRPr="00E94070">
        <w:rPr>
          <w:rFonts w:ascii="GHEA Grapalat" w:hAnsi="GHEA Grapalat" w:cstheme="majorHAnsi"/>
          <w:sz w:val="24"/>
          <w:szCs w:val="24"/>
          <w:lang w:val="hy-AM"/>
        </w:rPr>
        <w:t xml:space="preserve"> և 202</w:t>
      </w:r>
      <w:r w:rsidR="00AA2EBE" w:rsidRPr="00E94070">
        <w:rPr>
          <w:rFonts w:ascii="GHEA Grapalat" w:hAnsi="GHEA Grapalat" w:cstheme="majorHAnsi"/>
          <w:sz w:val="24"/>
          <w:szCs w:val="24"/>
          <w:lang w:val="hy-AM"/>
        </w:rPr>
        <w:t>3</w:t>
      </w:r>
      <w:r w:rsidR="00462DAC" w:rsidRPr="00E94070">
        <w:rPr>
          <w:rFonts w:ascii="GHEA Grapalat" w:hAnsi="GHEA Grapalat" w:cstheme="majorHAnsi"/>
          <w:sz w:val="24"/>
          <w:szCs w:val="24"/>
          <w:lang w:val="hy-AM"/>
        </w:rPr>
        <w:t>-2026 թվականների գործողությունների ծրագիրը» հաստատելու մասին ՀՀ կառավարության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որոշման նախագծի ը</w:t>
      </w:r>
      <w:r w:rsidR="00462DAC" w:rsidRPr="00E94070">
        <w:rPr>
          <w:rFonts w:ascii="GHEA Grapalat" w:eastAsia="Calibri" w:hAnsi="GHEA Grapalat" w:cs="Times New Roman"/>
          <w:sz w:val="24"/>
          <w:szCs w:val="24"/>
          <w:lang w:val="hy-AM"/>
        </w:rPr>
        <w:t>նդունումը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պայմանավորված է Հայաստանի Հանրապետության կառավարության 2021 թվականի նոյեմբերի 18-ի 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N 1902-Լ </w:t>
      </w:r>
      <w:r w:rsidR="003C2C2B" w:rsidRPr="00E94070">
        <w:rPr>
          <w:rFonts w:ascii="GHEA Grapalat" w:hAnsi="GHEA Grapalat" w:cstheme="majorHAnsi"/>
          <w:sz w:val="24"/>
          <w:szCs w:val="24"/>
          <w:lang w:val="hy-AM"/>
        </w:rPr>
        <w:t>որոշման հավելված N 1-ի Էկոնոմիկայի նախարարություն բաժնի 9-րդ կետի 9</w:t>
      </w:r>
      <w:r w:rsidR="00431198">
        <w:rPr>
          <w:rFonts w:ascii="GHEA Grapalat" w:hAnsi="GHEA Grapalat" w:cstheme="majorHAnsi"/>
          <w:sz w:val="24"/>
          <w:szCs w:val="24"/>
          <w:lang w:val="hy-AM"/>
        </w:rPr>
        <w:t>.</w:t>
      </w:r>
      <w:r w:rsidR="003C2C2B" w:rsidRPr="00E94070">
        <w:rPr>
          <w:rFonts w:ascii="GHEA Grapalat" w:hAnsi="GHEA Grapalat" w:cstheme="majorHAnsi"/>
          <w:sz w:val="24"/>
          <w:szCs w:val="24"/>
          <w:lang w:val="hy-AM"/>
        </w:rPr>
        <w:t xml:space="preserve">5-րդ ենթակետի միջոցառման 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>կատար</w:t>
      </w:r>
      <w:r w:rsidR="00C67B26" w:rsidRPr="00E94070">
        <w:rPr>
          <w:rFonts w:ascii="GHEA Grapalat" w:hAnsi="GHEA Grapalat" w:cstheme="majorHAnsi"/>
          <w:sz w:val="24"/>
          <w:szCs w:val="24"/>
          <w:lang w:val="hy-AM"/>
        </w:rPr>
        <w:t>ու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>մն</w:t>
      </w:r>
      <w:r w:rsidR="00C67B26" w:rsidRPr="00E94070">
        <w:rPr>
          <w:rFonts w:ascii="GHEA Grapalat" w:hAnsi="GHEA Grapalat" w:cstheme="majorHAnsi"/>
          <w:sz w:val="24"/>
          <w:szCs w:val="24"/>
          <w:lang w:val="hy-AM"/>
        </w:rPr>
        <w:t xml:space="preserve"> ապահովելու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  անհրաժեշտությամբ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190FAEF3" w14:textId="77777777" w:rsidR="001F4512" w:rsidRPr="00E94070" w:rsidRDefault="001F4512" w:rsidP="003E1203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ind w:left="0" w:firstLine="45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9B7545B" w14:textId="5AF3D99C" w:rsidR="001057C2" w:rsidRPr="00E94070" w:rsidRDefault="007661B7" w:rsidP="003E1203">
      <w:pPr>
        <w:spacing w:after="0" w:line="360" w:lineRule="auto"/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Պ</w:t>
      </w:r>
      <w:r w:rsidR="00AA644E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արենի 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="00AA644E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ամաշխարհային 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="00AA644E" w:rsidRPr="00E94070">
        <w:rPr>
          <w:rFonts w:ascii="GHEA Grapalat" w:eastAsia="Calibri" w:hAnsi="GHEA Grapalat" w:cs="Times New Roman"/>
          <w:sz w:val="24"/>
          <w:szCs w:val="24"/>
          <w:lang w:val="hy-AM"/>
        </w:rPr>
        <w:t>րագրի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կատարված վերջին «Հայաստանի պարենային անվտանգության և խոցելիության» գնահատումն արձանագրում է, որ հետազոտված տնային տնտեսությունների 23%-ը</w:t>
      </w:r>
      <w:r w:rsidR="00835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սպառում է օրական անհրաժեշտ կալորիականության ոչ բավարար քանակ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, իսկ 56%-ը</w:t>
      </w:r>
      <w:r w:rsidR="008357FA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57FA">
        <w:rPr>
          <w:rFonts w:ascii="GHEA Grapalat" w:eastAsia="Calibri" w:hAnsi="GHEA Grapalat" w:cs="Times New Roman"/>
          <w:sz w:val="24"/>
          <w:szCs w:val="24"/>
          <w:lang w:val="hy-AM"/>
        </w:rPr>
        <w:t>անհրաժեշտ օրական միջին կալոր</w:t>
      </w:r>
      <w:r w:rsidR="00431198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8357FA">
        <w:rPr>
          <w:rFonts w:ascii="GHEA Grapalat" w:eastAsia="Calibri" w:hAnsi="GHEA Grapalat" w:cs="Times New Roman"/>
          <w:sz w:val="24"/>
          <w:szCs w:val="24"/>
          <w:lang w:val="hy-AM"/>
        </w:rPr>
        <w:t>ականության շուրջ 70</w:t>
      </w:r>
      <w:r w:rsidR="008357FA" w:rsidRPr="00EC5CD3">
        <w:rPr>
          <w:rFonts w:ascii="GHEA Grapalat" w:eastAsia="Calibri" w:hAnsi="GHEA Grapalat" w:cs="Times New Roman"/>
          <w:sz w:val="24"/>
          <w:szCs w:val="24"/>
          <w:lang w:val="hy-AM"/>
        </w:rPr>
        <w:t>%</w:t>
      </w:r>
      <w:r w:rsidR="00835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սպառում</w:t>
      </w:r>
      <w:r w:rsidR="00E94070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  <w:r w:rsidR="008357FA"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="001057C2" w:rsidRPr="00E94070">
        <w:rPr>
          <w:rFonts w:ascii="GHEA Grapalat" w:eastAsia="Calibri" w:hAnsi="GHEA Grapalat" w:cs="Times New Roman"/>
          <w:sz w:val="24"/>
          <w:szCs w:val="24"/>
          <w:lang w:val="hy-AM"/>
        </w:rPr>
        <w:t>յդ առումով  Հայաստանի հյուսիսային շրջաններն ավելի խոցելի են</w:t>
      </w:r>
      <w:r w:rsidR="001057C2" w:rsidRPr="00E9407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1057C2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մասնավորապես՝ պարենային անապահովությունը</w:t>
      </w:r>
      <w:r w:rsidR="008357FA">
        <w:rPr>
          <w:rFonts w:ascii="GHEA Grapalat" w:eastAsia="Calibri" w:hAnsi="GHEA Grapalat" w:cs="Times New Roman"/>
          <w:sz w:val="24"/>
          <w:szCs w:val="24"/>
          <w:lang w:val="hy-AM"/>
        </w:rPr>
        <w:t>, որը ձևավորվել է նախորդիվ ներկայացված տրամաբանությամբ,</w:t>
      </w:r>
      <w:r w:rsidR="001057C2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Տավուշի մարզում կազմել է 25%, Լոռու մարզում՝ 31%, Շիրակի մարզում՝ 35%։  </w:t>
      </w:r>
    </w:p>
    <w:p w14:paraId="592BE3C0" w14:textId="2A0EA8FA" w:rsidR="001057C2" w:rsidRPr="00E94070" w:rsidRDefault="001057C2" w:rsidP="003E1203">
      <w:pPr>
        <w:spacing w:after="0" w:line="360" w:lineRule="auto"/>
        <w:ind w:firstLine="42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Հնարավոր պարենային ճգնաժամերի և շոկային իրավիճակների կանխատեսման, կանխարգելման և դրանց արագ արձագանքման ենթակառուցվածքներն ու կարողությունները </w:t>
      </w:r>
      <w:r w:rsidR="008357FA">
        <w:rPr>
          <w:rFonts w:ascii="GHEA Grapalat" w:eastAsia="Calibri" w:hAnsi="GHEA Grapalat" w:cs="Times New Roman"/>
          <w:sz w:val="24"/>
          <w:szCs w:val="24"/>
          <w:lang w:val="hy-AM"/>
        </w:rPr>
        <w:t>կարիք ունեն բարելավվելու՝ կայուն պարենային համակարգեր ստեղծելու նպատակով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C67B26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Մյուս կողմից </w:t>
      </w:r>
      <w:r w:rsidR="007C3F9C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հաշվի առնելով </w:t>
      </w:r>
      <w:r w:rsidR="00C67B26" w:rsidRPr="00E94070">
        <w:rPr>
          <w:rFonts w:ascii="GHEA Grapalat" w:eastAsia="Calibri" w:hAnsi="GHEA Grapalat" w:cs="Times New Roman"/>
          <w:sz w:val="24"/>
          <w:szCs w:val="24"/>
          <w:lang w:val="hy-AM"/>
        </w:rPr>
        <w:t>վերջին տարիներին տեղի ունեցող իրադարձությունները, մասնավորապես</w:t>
      </w:r>
      <w:r w:rsidR="00C67B26" w:rsidRPr="00E94070">
        <w:rPr>
          <w:rFonts w:ascii="Cambria Math" w:eastAsia="Calibri" w:hAnsi="Cambria Math" w:cs="Cambria Math"/>
          <w:sz w:val="24"/>
          <w:szCs w:val="24"/>
          <w:lang w:val="hy-AM"/>
        </w:rPr>
        <w:t xml:space="preserve">՝ </w:t>
      </w:r>
      <w:r w:rsidR="00C67B26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COVID 19 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համավարակը, </w:t>
      </w:r>
      <w:r w:rsidR="00C67B26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44 օրյա պատերազմի հետևանքները, </w:t>
      </w:r>
      <w:r w:rsidR="00835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լոգիստիկ շղթաների ծանրաբեռնվածությունը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C67B26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արենային ապրանքների </w:t>
      </w:r>
      <w:r w:rsidR="00C67B26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միջազգային 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գների կտրուկ աճը, </w:t>
      </w:r>
      <w:r w:rsidR="00C67B26" w:rsidRPr="00E94070">
        <w:rPr>
          <w:rFonts w:ascii="GHEA Grapalat" w:eastAsia="Calibri" w:hAnsi="GHEA Grapalat" w:cs="Times New Roman"/>
          <w:sz w:val="24"/>
          <w:szCs w:val="24"/>
          <w:lang w:val="hy-AM"/>
        </w:rPr>
        <w:t>արտարժ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="00C67B26" w:rsidRPr="00E94070">
        <w:rPr>
          <w:rFonts w:ascii="GHEA Grapalat" w:eastAsia="Calibri" w:hAnsi="GHEA Grapalat" w:cs="Times New Roman"/>
          <w:sz w:val="24"/>
          <w:szCs w:val="24"/>
          <w:lang w:val="hy-AM"/>
        </w:rPr>
        <w:t>յ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թ</w:t>
      </w:r>
      <w:r w:rsidR="00C67B26" w:rsidRPr="00E94070">
        <w:rPr>
          <w:rFonts w:ascii="GHEA Grapalat" w:eastAsia="Calibri" w:hAnsi="GHEA Grapalat" w:cs="Times New Roman"/>
          <w:sz w:val="24"/>
          <w:szCs w:val="24"/>
          <w:lang w:val="hy-AM"/>
        </w:rPr>
        <w:t>ի փոխարժեքների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տատանումները և այլ 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գործոններ</w:t>
      </w:r>
      <w:r w:rsidR="007C3F9C" w:rsidRPr="00E94070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776E71" w:rsidRPr="00E94070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7C3F9C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անհրաժեշտություն է առաջանում բարձրացնել երկրի պարենային անվտանգության մակարդակը և ունենալ արտակարգ և շոկային իրավիճակների գնահատման, կանխարգելման և արագ արձագանքման</w:t>
      </w:r>
      <w:r w:rsidR="00FD1CA6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 կառավարման</w:t>
      </w:r>
      <w:r w:rsidR="007C3F9C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գործուն համակարգ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03CD1B8A" w14:textId="77777777" w:rsidR="001F4512" w:rsidRPr="00E94070" w:rsidRDefault="001F4512" w:rsidP="003E1203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ind w:left="0" w:firstLine="45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6EA627FD" w14:textId="0B0EAF98" w:rsidR="009E7EA9" w:rsidRPr="00E94070" w:rsidRDefault="00336E8F" w:rsidP="003E1203">
      <w:pPr>
        <w:tabs>
          <w:tab w:val="left" w:pos="720"/>
        </w:tabs>
        <w:spacing w:after="0" w:line="360" w:lineRule="auto"/>
        <w:jc w:val="both"/>
        <w:rPr>
          <w:rFonts w:ascii="GHEA Grapalat" w:hAnsi="GHEA Grapalat" w:cstheme="majorHAnsi"/>
          <w:sz w:val="24"/>
          <w:szCs w:val="24"/>
          <w:lang w:val="hy-AM"/>
        </w:rPr>
      </w:pPr>
      <w:r w:rsidRPr="00E94070">
        <w:rPr>
          <w:rFonts w:ascii="GHEA Grapalat" w:hAnsi="GHEA Grapalat" w:cstheme="majorHAnsi"/>
          <w:sz w:val="24"/>
          <w:szCs w:val="24"/>
          <w:lang w:val="hy-AM"/>
        </w:rPr>
        <w:tab/>
        <w:t>Պարենային անվտանգության համակարգի զարգացման</w:t>
      </w:r>
      <w:r w:rsidR="00462DAC" w:rsidRPr="00E94070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>ռազմավարության</w:t>
      </w:r>
      <w:r w:rsidR="00462DAC" w:rsidRPr="00E94070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  <w:r w:rsidR="00462DAC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</w:t>
      </w:r>
      <w:r w:rsidR="00462DAC" w:rsidRPr="00E94070">
        <w:rPr>
          <w:rFonts w:ascii="GHEA Grapalat" w:hAnsi="GHEA Grapalat" w:cstheme="majorHAnsi"/>
          <w:sz w:val="24"/>
          <w:szCs w:val="24"/>
          <w:lang w:val="hy-AM"/>
        </w:rPr>
        <w:t xml:space="preserve">(այսուհետ՝ Նախագիծ) </w:t>
      </w:r>
      <w:r w:rsidR="00462DAC" w:rsidRPr="00E94070">
        <w:rPr>
          <w:rFonts w:ascii="GHEA Grapalat" w:eastAsia="Calibri" w:hAnsi="GHEA Grapalat" w:cs="Times New Roman"/>
          <w:sz w:val="24"/>
          <w:szCs w:val="24"/>
          <w:lang w:val="hy-AM"/>
        </w:rPr>
        <w:t>ընդունման հիմնական նպատակն է</w:t>
      </w:r>
      <w:r w:rsidR="00462DAC" w:rsidRPr="00E9407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462DAC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E7EA9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պարենային անվտանգության, այդ թվում </w:t>
      </w:r>
      <w:r w:rsidR="009E7EA9" w:rsidRPr="00E94070">
        <w:rPr>
          <w:rFonts w:ascii="GHEA Grapalat" w:hAnsi="GHEA Grapalat" w:cstheme="majorHAnsi"/>
          <w:sz w:val="24"/>
          <w:szCs w:val="24"/>
          <w:lang w:val="hy-AM"/>
        </w:rPr>
        <w:t>կենսապես կարևոր պարենային ապրանքների ինքնաբավության</w:t>
      </w:r>
      <w:r w:rsidR="009E7EA9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մակարդակի բարձրացումը, </w:t>
      </w:r>
      <w:r w:rsidR="0016481E" w:rsidRPr="00E94070">
        <w:rPr>
          <w:rFonts w:ascii="GHEA Grapalat" w:hAnsi="GHEA Grapalat" w:cstheme="majorHAnsi"/>
          <w:sz w:val="24"/>
          <w:szCs w:val="24"/>
          <w:lang w:val="hy-AM"/>
        </w:rPr>
        <w:t>նյութական</w:t>
      </w:r>
      <w:r w:rsidR="00462DAC" w:rsidRPr="00E94070">
        <w:rPr>
          <w:rFonts w:ascii="GHEA Grapalat" w:hAnsi="GHEA Grapalat" w:cstheme="majorHAnsi"/>
          <w:sz w:val="24"/>
          <w:szCs w:val="24"/>
          <w:lang w:val="hy-AM"/>
        </w:rPr>
        <w:t xml:space="preserve"> պահուստի</w:t>
      </w:r>
      <w:r w:rsidR="00960392" w:rsidRPr="00E94070">
        <w:rPr>
          <w:rFonts w:ascii="GHEA Grapalat" w:hAnsi="GHEA Grapalat" w:cstheme="majorHAnsi"/>
          <w:sz w:val="24"/>
          <w:szCs w:val="24"/>
          <w:lang w:val="hy-AM"/>
        </w:rPr>
        <w:t xml:space="preserve"> պաշարների</w:t>
      </w:r>
      <w:r w:rsidR="00462DAC" w:rsidRPr="00E94070">
        <w:rPr>
          <w:rFonts w:ascii="GHEA Grapalat" w:hAnsi="GHEA Grapalat" w:cstheme="majorHAnsi"/>
          <w:sz w:val="24"/>
          <w:szCs w:val="24"/>
          <w:lang w:val="hy-AM"/>
        </w:rPr>
        <w:t xml:space="preserve"> համալրումը և ընդլայնումը, ինչպես նաև բնակչության բոլոր խավերի համար առնվազն ֆիզիոլոգիական նվազագույն նորմերին համապատասխանող սննդի ձեռքբերման տնտեսական հնարավորությունների և օգտագործվող սննդամթերքի անվտանգության ապահովումը: 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  <w:r w:rsidR="00462DAC" w:rsidRPr="00E94070">
        <w:rPr>
          <w:rFonts w:ascii="GHEA Grapalat" w:hAnsi="GHEA Grapalat" w:cstheme="majorHAnsi"/>
          <w:sz w:val="24"/>
          <w:szCs w:val="24"/>
          <w:lang w:val="hy-AM"/>
        </w:rPr>
        <w:t xml:space="preserve">Նախագծում 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>նախանշվել են Հայաստանում պարենային անվտանգության հիմնական խնդիրներից բխող մարտահրավերները</w:t>
      </w:r>
      <w:r w:rsidR="00AF705F" w:rsidRPr="00E94070">
        <w:rPr>
          <w:rFonts w:ascii="GHEA Grapalat" w:hAnsi="GHEA Grapalat" w:cstheme="majorHAnsi"/>
          <w:sz w:val="24"/>
          <w:szCs w:val="24"/>
          <w:lang w:val="hy-AM"/>
        </w:rPr>
        <w:t>, որոնք դասակարգվում են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 Պարենային Ապահովության Համաշխարհային Կոմիտեի</w:t>
      </w:r>
      <w:r w:rsidR="009E7EA9" w:rsidRPr="00E94070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Պարենային ապահովության և սնուցման Գլոբալ Ռազմավարական </w:t>
      </w:r>
      <w:r w:rsidR="009E7EA9" w:rsidRPr="00E94070">
        <w:rPr>
          <w:rFonts w:ascii="GHEA Grapalat" w:hAnsi="GHEA Grapalat" w:cstheme="majorHAnsi"/>
          <w:sz w:val="24"/>
          <w:szCs w:val="24"/>
          <w:lang w:val="hy-AM"/>
        </w:rPr>
        <w:t xml:space="preserve">Շրջանակով 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>սահմանված պարենային ապահովության 4 հիմնասյուների</w:t>
      </w:r>
      <w:r w:rsidR="009E7EA9" w:rsidRPr="00E94070">
        <w:rPr>
          <w:rFonts w:ascii="GHEA Grapalat" w:hAnsi="GHEA Grapalat" w:cstheme="majorHAnsi"/>
          <w:sz w:val="24"/>
          <w:szCs w:val="24"/>
          <w:lang w:val="hy-AM"/>
        </w:rPr>
        <w:t>՝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 պարենի առկայություն, մատչելիություն, օգտագործում և կայունություն</w:t>
      </w:r>
      <w:r w:rsidR="00AF705F" w:rsidRPr="00E94070">
        <w:rPr>
          <w:rFonts w:ascii="GHEA Grapalat" w:hAnsi="GHEA Grapalat" w:cstheme="majorHAnsi"/>
          <w:sz w:val="24"/>
          <w:szCs w:val="24"/>
          <w:lang w:val="hy-AM"/>
        </w:rPr>
        <w:t xml:space="preserve"> ներքո։</w:t>
      </w:r>
      <w:r w:rsidR="009E7EA9" w:rsidRPr="00E94070">
        <w:rPr>
          <w:rFonts w:ascii="GHEA Grapalat" w:hAnsi="GHEA Grapalat" w:cstheme="majorHAnsi"/>
          <w:sz w:val="24"/>
          <w:szCs w:val="24"/>
          <w:lang w:val="hy-AM"/>
        </w:rPr>
        <w:t xml:space="preserve"> Ըստ հիմնասյուների սահմանվել են կոնկրետ ենթանպատակներ։ </w:t>
      </w:r>
      <w:r w:rsidR="00194902" w:rsidRPr="00E94070">
        <w:rPr>
          <w:rFonts w:ascii="GHEA Grapalat" w:hAnsi="GHEA Grapalat" w:cstheme="majorHAnsi"/>
          <w:sz w:val="24"/>
          <w:szCs w:val="24"/>
          <w:lang w:val="hy-AM"/>
        </w:rPr>
        <w:t>Նույն սկզբունքով կազմվել է նաև վերոնշյալ նպատակներին հասնելուն ուղղված 202</w:t>
      </w:r>
      <w:r w:rsidR="00AA2EBE" w:rsidRPr="00E94070">
        <w:rPr>
          <w:rFonts w:ascii="GHEA Grapalat" w:hAnsi="GHEA Grapalat" w:cstheme="majorHAnsi"/>
          <w:sz w:val="24"/>
          <w:szCs w:val="24"/>
          <w:lang w:val="hy-AM"/>
        </w:rPr>
        <w:t>3</w:t>
      </w:r>
      <w:r w:rsidR="00194902" w:rsidRPr="00E94070">
        <w:rPr>
          <w:rFonts w:ascii="GHEA Grapalat" w:hAnsi="GHEA Grapalat" w:cstheme="majorHAnsi"/>
          <w:sz w:val="24"/>
          <w:szCs w:val="24"/>
          <w:lang w:val="hy-AM"/>
        </w:rPr>
        <w:t>-2026 թվականների գործողությունների ծրագիրը։</w:t>
      </w:r>
    </w:p>
    <w:p w14:paraId="77591137" w14:textId="77777777" w:rsidR="001F4512" w:rsidRPr="00E94070" w:rsidRDefault="001F4512" w:rsidP="003E1203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ind w:left="0" w:firstLine="45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EF65202" w14:textId="77777777" w:rsidR="00BC5B23" w:rsidRPr="00E94070" w:rsidRDefault="00BC5B23" w:rsidP="003E1203">
      <w:pPr>
        <w:tabs>
          <w:tab w:val="left" w:pos="72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ab/>
        <w:t>Որոշման նախագիծը մշակվել է Հայաստանի Հանրապետության էկոնոմիկայի նախարարության</w:t>
      </w:r>
      <w:r w:rsidR="00672FFC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կողմից՝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ՄԱԿ-ի Պարենի և գյուղատնտեսության կազմակերպության </w:t>
      </w:r>
      <w:r w:rsidR="00321AAD" w:rsidRPr="00E94070">
        <w:rPr>
          <w:rFonts w:ascii="GHEA Grapalat" w:eastAsia="Calibri" w:hAnsi="GHEA Grapalat" w:cs="Times New Roman"/>
          <w:sz w:val="24"/>
          <w:szCs w:val="24"/>
          <w:lang w:val="hy-AM"/>
        </w:rPr>
        <w:t>(WF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P) </w:t>
      </w:r>
      <w:r w:rsidR="00672FFC" w:rsidRPr="00E94070">
        <w:rPr>
          <w:rFonts w:ascii="GHEA Grapalat" w:eastAsia="Calibri" w:hAnsi="GHEA Grapalat" w:cs="Times New Roman"/>
          <w:sz w:val="24"/>
          <w:szCs w:val="24"/>
          <w:lang w:val="hy-AM"/>
        </w:rPr>
        <w:t>աջակցությամբ</w:t>
      </w:r>
      <w:r w:rsidR="00321AAD" w:rsidRPr="00E94070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3AB4E746" w14:textId="77777777" w:rsidR="001F4512" w:rsidRPr="00E94070" w:rsidRDefault="001F4512" w:rsidP="003E1203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ind w:left="0" w:firstLine="45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Ակնկալվող արդյունքը</w:t>
      </w:r>
    </w:p>
    <w:p w14:paraId="49194C62" w14:textId="77777777" w:rsidR="00F146EC" w:rsidRPr="00E94070" w:rsidRDefault="00F146EC" w:rsidP="003E1203">
      <w:pPr>
        <w:tabs>
          <w:tab w:val="left" w:pos="72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ab/>
        <w:t>Ռազմավարության իրականացման արդյունքում ակնկալվում են հետևյալ արդյունքները․</w:t>
      </w:r>
    </w:p>
    <w:p w14:paraId="6A943147" w14:textId="77777777" w:rsidR="00B51529" w:rsidRPr="00E94070" w:rsidRDefault="00F146EC" w:rsidP="003E1203">
      <w:pPr>
        <w:pStyle w:val="ListParagraph"/>
        <w:numPr>
          <w:ilvl w:val="0"/>
          <w:numId w:val="20"/>
        </w:numPr>
        <w:tabs>
          <w:tab w:val="left" w:pos="72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Բնակչության բոլոր խմբերի համար նվազագույն պարենային զամբյուղի հասանելիության ապահովում</w:t>
      </w:r>
      <w:bookmarkStart w:id="0" w:name="_Hlk106384278"/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</w:p>
    <w:p w14:paraId="52335D4A" w14:textId="77777777" w:rsidR="00F146EC" w:rsidRPr="00E94070" w:rsidRDefault="00F146EC" w:rsidP="00C81497">
      <w:pPr>
        <w:pStyle w:val="ListParagraph"/>
        <w:numPr>
          <w:ilvl w:val="0"/>
          <w:numId w:val="20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Հայաստանի 2020-2050թթ. վերափոխման ռազմավարությամբ </w:t>
      </w:r>
      <w:bookmarkEnd w:id="0"/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Global Food Security Index -ի համար նախանշված մատչելիության, հասանելիության, ինքնաբավության և բնական ռեսուրսների ու դիմակայունության ինդեքսավորված </w:t>
      </w:r>
      <w:r w:rsidR="00B51529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հետևյալ 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թիրախների ապահովում</w:t>
      </w:r>
      <w:r w:rsidR="00672FFC" w:rsidRPr="00E94070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14:paraId="178EBA53" w14:textId="1FC4CA30" w:rsidR="00672FFC" w:rsidRPr="00E94070" w:rsidRDefault="00672FFC" w:rsidP="003E1203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Գյուղատնտեսական ապրանքների մատչելիություն (ըստ Գլոբալ պարենային անվտանգության համաթվի (Global Food Security Index) մատչելիության (Affordability) գնահատականի), 76 համաթվի ապահովում 2030թ.</w:t>
      </w:r>
      <w:r w:rsidR="00265256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բազային </w:t>
      </w:r>
      <w:r w:rsidR="00265256" w:rsidRPr="00E94070">
        <w:rPr>
          <w:rFonts w:ascii="GHEA Grapalat" w:hAnsi="GHEA Grapalat"/>
          <w:lang w:val="hy-AM" w:eastAsia="de-DE"/>
        </w:rPr>
        <w:t>64.9 համաթվի դիմաց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</w:p>
    <w:p w14:paraId="598EBED8" w14:textId="5FFB39B6" w:rsidR="00672FFC" w:rsidRPr="00E94070" w:rsidRDefault="00672FFC" w:rsidP="003E1203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Գյուղատնտեսական ապրանքների հասանելիություն (ըստ Գլոբալ պարենային անվտանգության համաթվի (Global Food Security Index) հասանելիության (Availability) գնահատականի), 80 համաթվի ապահովում 2030թ.</w:t>
      </w:r>
      <w:r w:rsidR="00265256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բազային </w:t>
      </w:r>
      <w:r w:rsidR="00265256" w:rsidRPr="00E94070">
        <w:rPr>
          <w:rFonts w:ascii="GHEA Grapalat" w:hAnsi="GHEA Grapalat"/>
          <w:lang w:val="hy-AM" w:eastAsia="de-DE"/>
        </w:rPr>
        <w:t>55.4 համաթվի դիմաց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</w:p>
    <w:p w14:paraId="543C4341" w14:textId="285AE539" w:rsidR="00672FFC" w:rsidRPr="00E94070" w:rsidRDefault="00672FFC" w:rsidP="00AC7110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Կարևորագույն սննդամթերքների ինքնաբավության մակարդակ (էներգետիկ արժեքով հաշվարկված, %), 70% ինքնաբավություն</w:t>
      </w:r>
      <w:r w:rsidR="00265256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բազային </w:t>
      </w:r>
      <w:r w:rsidR="00265256" w:rsidRPr="00E94070">
        <w:rPr>
          <w:rFonts w:ascii="GHEA Grapalat" w:hAnsi="GHEA Grapalat"/>
          <w:lang w:val="hy-AM" w:eastAsia="de-DE"/>
        </w:rPr>
        <w:t>46.7 %-ի դիմաց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</w:p>
    <w:p w14:paraId="26ECE5D6" w14:textId="77777777" w:rsidR="00672FFC" w:rsidRPr="00E94070" w:rsidRDefault="00672FFC" w:rsidP="003E1203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Բնական ռեսուրսների և դիմադրողականության ինդեքսավորված գնահատական (ըստ Գլոբալ պարենային անվտանգության համաթվի (Global Food Security Index / Natural Resources and Resilience score - indexed)), 1.4 ցուցիչ 2030թ.,</w:t>
      </w:r>
    </w:p>
    <w:p w14:paraId="693A18AF" w14:textId="77777777" w:rsidR="00F146EC" w:rsidRPr="00E94070" w:rsidRDefault="00F146EC" w:rsidP="003E1203">
      <w:pPr>
        <w:pStyle w:val="ListParagraph"/>
        <w:numPr>
          <w:ilvl w:val="0"/>
          <w:numId w:val="20"/>
        </w:numPr>
        <w:tabs>
          <w:tab w:val="left" w:pos="72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Անհրաժեշտ ծավալով պաշարների </w:t>
      </w:r>
      <w:r w:rsidR="00A354F3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պահպանման 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ենթակառուցվածքների </w:t>
      </w:r>
      <w:r w:rsidR="00551F1E" w:rsidRPr="00E94070">
        <w:rPr>
          <w:rFonts w:ascii="GHEA Grapalat" w:eastAsia="Calibri" w:hAnsi="GHEA Grapalat" w:cs="Times New Roman"/>
          <w:sz w:val="24"/>
          <w:szCs w:val="24"/>
          <w:lang w:val="hy-AM"/>
        </w:rPr>
        <w:t>ստեղծում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</w:p>
    <w:p w14:paraId="6B4418FB" w14:textId="1F2727D4" w:rsidR="00960392" w:rsidRPr="00E94070" w:rsidRDefault="006457ED" w:rsidP="004755E4">
      <w:pPr>
        <w:pStyle w:val="ListParagraph"/>
        <w:numPr>
          <w:ilvl w:val="0"/>
          <w:numId w:val="20"/>
        </w:numPr>
        <w:spacing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Նյութական պահուստում ներառված նյութական արժեքների անվանացանկի վերանայում</w:t>
      </w:r>
      <w:r w:rsidR="004755E4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(բուսական յուղի, շաքարի և եգիպտացորենի (որպես անասնակեր) պարտադիր ներառմամբ)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նյութական պահուստի մասին օրենքի ու պահուստի պաշարի ծավալների, դրանց ձևավորմանը, պահպանմանը և թարմացմանն ուղղված մեխանիզմներն ու ընթացակարգերը սահմանող ենթաօրենսդրական իրավական ակտերի առկայություն</w:t>
      </w:r>
      <w:r w:rsidR="00960392" w:rsidRPr="00E94070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</w:p>
    <w:p w14:paraId="316C7C8D" w14:textId="75430C97" w:rsidR="00F146EC" w:rsidRPr="00E94070" w:rsidRDefault="00C64487" w:rsidP="00960392">
      <w:pPr>
        <w:pStyle w:val="ListParagraph"/>
        <w:numPr>
          <w:ilvl w:val="0"/>
          <w:numId w:val="20"/>
        </w:numPr>
        <w:tabs>
          <w:tab w:val="left" w:pos="72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Պարենային անվտանգության </w:t>
      </w:r>
      <w:r w:rsidR="008B36C3" w:rsidRPr="00E940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ռազմավարության արդյունավետ իրագործման, հաշվետվողականության և ռիսկերի կառավարման համակարգի </w:t>
      </w: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>ստեղծում</w:t>
      </w:r>
      <w:r w:rsidR="00F146EC" w:rsidRPr="00E9407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2E80B" w14:textId="77777777" w:rsidR="006C6158" w:rsidRPr="00E94070" w:rsidRDefault="006C6158" w:rsidP="003E1203">
      <w:pPr>
        <w:pStyle w:val="ListParagraph"/>
        <w:tabs>
          <w:tab w:val="left" w:pos="72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6BCB806" w14:textId="77777777" w:rsidR="001F4512" w:rsidRPr="00E94070" w:rsidRDefault="001F4512" w:rsidP="003E1203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ind w:left="0" w:firstLine="45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0ECA9B3" w14:textId="4A8E166A" w:rsidR="00556467" w:rsidRPr="00E94070" w:rsidRDefault="00556467" w:rsidP="003E1203">
      <w:pPr>
        <w:shd w:val="clear" w:color="auto" w:fill="FFFFFF"/>
        <w:tabs>
          <w:tab w:val="left" w:pos="360"/>
          <w:tab w:val="left" w:pos="720"/>
          <w:tab w:val="left" w:pos="810"/>
        </w:tabs>
        <w:spacing w:after="0" w:line="360" w:lineRule="auto"/>
        <w:ind w:firstLine="720"/>
        <w:jc w:val="both"/>
        <w:rPr>
          <w:rFonts w:ascii="GHEA Grapalat" w:hAnsi="GHEA Grapalat"/>
          <w:b/>
          <w:i/>
          <w:snapToGrid w:val="0"/>
          <w:lang w:val="hy-AM"/>
        </w:rPr>
      </w:pPr>
      <w:r w:rsidRPr="00E94070">
        <w:rPr>
          <w:rFonts w:ascii="GHEA Grapalat" w:hAnsi="GHEA Grapalat" w:cstheme="majorHAnsi"/>
          <w:sz w:val="24"/>
          <w:szCs w:val="24"/>
          <w:lang w:val="hy-AM"/>
        </w:rPr>
        <w:tab/>
      </w:r>
      <w:r w:rsidR="001F4512" w:rsidRPr="00E94070">
        <w:rPr>
          <w:rFonts w:ascii="GHEA Grapalat" w:hAnsi="GHEA Grapalat" w:cstheme="majorHAnsi"/>
          <w:sz w:val="24"/>
          <w:szCs w:val="24"/>
          <w:lang w:val="hy-AM"/>
        </w:rPr>
        <w:t>«Պարենային անվտանգության համակարգի զարգացման</w:t>
      </w:r>
      <w:r w:rsidR="00EE1EA7" w:rsidRPr="00E94070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  <w:r w:rsidR="001F4512" w:rsidRPr="00E94070">
        <w:rPr>
          <w:rFonts w:ascii="GHEA Grapalat" w:hAnsi="GHEA Grapalat" w:cstheme="majorHAnsi"/>
          <w:sz w:val="24"/>
          <w:szCs w:val="24"/>
          <w:lang w:val="hy-AM"/>
        </w:rPr>
        <w:t>ռազմավարության և 202</w:t>
      </w:r>
      <w:r w:rsidR="00AA2EBE" w:rsidRPr="00E94070">
        <w:rPr>
          <w:rFonts w:ascii="GHEA Grapalat" w:hAnsi="GHEA Grapalat" w:cstheme="majorHAnsi"/>
          <w:sz w:val="24"/>
          <w:szCs w:val="24"/>
          <w:lang w:val="hy-AM"/>
        </w:rPr>
        <w:t>2</w:t>
      </w:r>
      <w:r w:rsidR="001F4512" w:rsidRPr="00E94070">
        <w:rPr>
          <w:rFonts w:ascii="GHEA Grapalat" w:hAnsi="GHEA Grapalat" w:cstheme="majorHAnsi"/>
          <w:sz w:val="24"/>
          <w:szCs w:val="24"/>
          <w:lang w:val="hy-AM"/>
        </w:rPr>
        <w:t xml:space="preserve">-2026 թվականների գործողությունների ծրագիրը» հաստատելու մասին Հայաստանի </w:t>
      </w:r>
      <w:r w:rsidR="001F4512" w:rsidRPr="00E94070">
        <w:rPr>
          <w:rFonts w:ascii="GHEA Grapalat" w:hAnsi="GHEA Grapalat" w:cstheme="majorHAnsi"/>
          <w:sz w:val="24"/>
          <w:szCs w:val="24"/>
          <w:lang w:val="hy-AM"/>
        </w:rPr>
        <w:lastRenderedPageBreak/>
        <w:t xml:space="preserve">Հանրապետության կառավարություն որոշման նախագիծը բխում է </w:t>
      </w:r>
      <w:r w:rsidR="00AA3E75" w:rsidRPr="00E94070">
        <w:rPr>
          <w:rFonts w:ascii="GHEA Grapalat" w:hAnsi="GHEA Grapalat" w:cstheme="majorHAnsi"/>
          <w:sz w:val="24"/>
          <w:szCs w:val="24"/>
          <w:lang w:val="hy-AM"/>
        </w:rPr>
        <w:t>ՀՀ կ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>առավարության 2021 թվականի նոյեմբերի 18-ի</w:t>
      </w:r>
      <w:r w:rsidR="003F1F84" w:rsidRPr="00E94070">
        <w:rPr>
          <w:rFonts w:ascii="GHEA Grapalat" w:hAnsi="GHEA Grapalat" w:cstheme="majorHAnsi"/>
          <w:sz w:val="24"/>
          <w:szCs w:val="24"/>
          <w:lang w:val="hy-AM"/>
        </w:rPr>
        <w:t xml:space="preserve"> N 1902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-Լ որոշմամբ հաստատված Հայաստանի Հանրապետության կառավարության 2021-2026 թվականների գործունեության միջոցառումների ծրագրի «9.5 Պարենային անվտանգության համակարգի զարգացման ռազմավարության և 2022-2026 թվականների գործողությունների ծրագրի մշակում» միջոցառումից (հղում` </w:t>
      </w:r>
      <w:hyperlink r:id="rId7" w:history="1">
        <w:r w:rsidRPr="00E94070">
          <w:rPr>
            <w:rStyle w:val="Hyperlink"/>
            <w:rFonts w:ascii="GHEA Grapalat" w:hAnsi="GHEA Grapalat"/>
            <w:color w:val="auto"/>
            <w:sz w:val="24"/>
            <w:szCs w:val="24"/>
            <w:lang w:val="hy-AM"/>
          </w:rPr>
          <w:t>https://www.arlis.am/Annexes/6/2021_N1902hav.1.pdf</w:t>
        </w:r>
      </w:hyperlink>
      <w:r w:rsidRPr="00E94070">
        <w:rPr>
          <w:rFonts w:ascii="GHEA Grapalat" w:hAnsi="GHEA Grapalat" w:cstheme="majorHAnsi"/>
          <w:sz w:val="24"/>
          <w:szCs w:val="24"/>
          <w:lang w:val="hy-AM"/>
        </w:rPr>
        <w:t>, 227-րդ էջ),</w:t>
      </w:r>
      <w:r w:rsidR="00EF2D00" w:rsidRPr="00E940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3E75" w:rsidRPr="00E94070">
        <w:rPr>
          <w:rFonts w:ascii="GHEA Grapalat" w:hAnsi="GHEA Grapalat" w:cstheme="majorHAnsi"/>
          <w:sz w:val="24"/>
          <w:szCs w:val="24"/>
          <w:lang w:val="hy-AM"/>
        </w:rPr>
        <w:t xml:space="preserve">Հայաստանի վերափոխման ռազմավարություն 2050-ի «Արտադրողական և պատասխանատու ֆերմերություն» մեգանպատակի «10 Կայացնենք նորարարական, արդյունավետ, բարձր ավելացված արժեք ստեղծող, կայուն զարգացող, բնական պաշարների նկատմամբ հոգատար և շրջակա միջավայրի հետ ներդաշնակ, էկոլոգիապես մաքուր արտադրանք ստեղծող ֆերմերություն» լուծումից (հղում` </w:t>
      </w:r>
      <w:hyperlink r:id="rId8" w:history="1">
        <w:r w:rsidR="00AA3E75" w:rsidRPr="00E94070">
          <w:rPr>
            <w:rStyle w:val="Hyperlink"/>
            <w:rFonts w:ascii="GHEA Grapalat" w:hAnsi="GHEA Grapalat"/>
            <w:color w:val="auto"/>
            <w:sz w:val="24"/>
            <w:szCs w:val="24"/>
            <w:lang w:val="hy-AM"/>
          </w:rPr>
          <w:t>https://www.primeminister.am/u_files/file/Haytararutyunner/Armenia2050_7_5.pdf</w:t>
        </w:r>
      </w:hyperlink>
      <w:r w:rsidR="00AA3E75" w:rsidRPr="00E94070">
        <w:rPr>
          <w:rFonts w:ascii="GHEA Grapalat" w:hAnsi="GHEA Grapalat" w:cstheme="majorHAnsi"/>
          <w:sz w:val="24"/>
          <w:szCs w:val="24"/>
          <w:lang w:val="hy-AM"/>
        </w:rPr>
        <w:t>, 65-րդ էջ),  ՀՀ կառավարության 2019 թվականի դեկտեմբերի 1</w:t>
      </w:r>
      <w:r w:rsidR="00E57AA9" w:rsidRPr="00E94070">
        <w:rPr>
          <w:rFonts w:ascii="GHEA Grapalat" w:hAnsi="GHEA Grapalat" w:cstheme="majorHAnsi"/>
          <w:sz w:val="24"/>
          <w:szCs w:val="24"/>
          <w:lang w:val="hy-AM"/>
        </w:rPr>
        <w:t>9</w:t>
      </w:r>
      <w:r w:rsidR="00AA3E75" w:rsidRPr="00E94070">
        <w:rPr>
          <w:rFonts w:ascii="GHEA Grapalat" w:hAnsi="GHEA Grapalat" w:cstheme="majorHAnsi"/>
          <w:sz w:val="24"/>
          <w:szCs w:val="24"/>
          <w:lang w:val="hy-AM"/>
        </w:rPr>
        <w:t>-ի N 1</w:t>
      </w:r>
      <w:r w:rsidR="00E57AA9" w:rsidRPr="00E94070">
        <w:rPr>
          <w:rFonts w:ascii="GHEA Grapalat" w:hAnsi="GHEA Grapalat" w:cstheme="majorHAnsi"/>
          <w:sz w:val="24"/>
          <w:szCs w:val="24"/>
          <w:lang w:val="hy-AM"/>
        </w:rPr>
        <w:t>886</w:t>
      </w:r>
      <w:r w:rsidR="00AA3E75" w:rsidRPr="00E94070">
        <w:rPr>
          <w:rFonts w:ascii="GHEA Grapalat" w:hAnsi="GHEA Grapalat" w:cstheme="majorHAnsi"/>
          <w:sz w:val="24"/>
          <w:szCs w:val="24"/>
          <w:lang w:val="hy-AM"/>
        </w:rPr>
        <w:t xml:space="preserve"> -Լ որոշմամբ հաստատված </w:t>
      </w:r>
      <w:r w:rsidR="00EF2D00" w:rsidRPr="00E94070">
        <w:rPr>
          <w:rFonts w:ascii="GHEA Grapalat" w:hAnsi="GHEA Grapalat" w:cstheme="majorHAnsi"/>
          <w:sz w:val="24"/>
          <w:szCs w:val="24"/>
          <w:lang w:val="hy-AM"/>
        </w:rPr>
        <w:t>Հայաստանի Հանրապետության գյուղատնտեսության ոլորտի տնտեսական զարգացումն ապահովող հիմնական ուղղությունների 2020-2030 թվականների ռազմավարությ</w:t>
      </w:r>
      <w:r w:rsidR="00E57AA9" w:rsidRPr="00E94070">
        <w:rPr>
          <w:rFonts w:ascii="GHEA Grapalat" w:hAnsi="GHEA Grapalat" w:cstheme="majorHAnsi"/>
          <w:sz w:val="24"/>
          <w:szCs w:val="24"/>
          <w:lang w:val="hy-AM"/>
        </w:rPr>
        <w:t>ան «</w:t>
      </w:r>
      <w:bookmarkStart w:id="1" w:name="_Toc17707764"/>
      <w:bookmarkStart w:id="2" w:name="_Toc16793514"/>
      <w:r w:rsidR="00E57AA9" w:rsidRPr="00E94070">
        <w:rPr>
          <w:rFonts w:ascii="GHEA Grapalat" w:hAnsi="GHEA Grapalat" w:cstheme="majorHAnsi"/>
          <w:sz w:val="24"/>
          <w:szCs w:val="24"/>
          <w:lang w:val="hy-AM"/>
        </w:rPr>
        <w:t>3</w:t>
      </w:r>
      <w:r w:rsidR="00E57AA9" w:rsidRPr="00E94070">
        <w:rPr>
          <w:rFonts w:ascii="Cambria Math" w:hAnsi="Cambria Math" w:cs="Cambria Math"/>
          <w:sz w:val="24"/>
          <w:szCs w:val="24"/>
          <w:lang w:val="hy-AM"/>
        </w:rPr>
        <w:t>․</w:t>
      </w:r>
      <w:r w:rsidR="00E57AA9" w:rsidRPr="00E94070">
        <w:rPr>
          <w:rFonts w:ascii="GHEA Grapalat" w:hAnsi="GHEA Grapalat" w:cstheme="majorHAnsi"/>
          <w:sz w:val="24"/>
          <w:szCs w:val="24"/>
          <w:lang w:val="hy-AM"/>
        </w:rPr>
        <w:t xml:space="preserve"> Առաջնահերթությունները, առաջադրված խնդիրները</w:t>
      </w:r>
      <w:bookmarkStart w:id="3" w:name="_Toc17707765"/>
      <w:bookmarkEnd w:id="1"/>
      <w:r w:rsidR="00E57AA9" w:rsidRPr="00E94070">
        <w:rPr>
          <w:rFonts w:ascii="GHEA Grapalat" w:hAnsi="GHEA Grapalat" w:cstheme="majorHAnsi"/>
          <w:sz w:val="24"/>
          <w:szCs w:val="24"/>
          <w:lang w:val="hy-AM"/>
        </w:rPr>
        <w:t xml:space="preserve"> և դրանց լուծմանն ուղղված միջոցառումները</w:t>
      </w:r>
      <w:bookmarkEnd w:id="2"/>
      <w:bookmarkEnd w:id="3"/>
      <w:r w:rsidR="00E57AA9" w:rsidRPr="00E94070">
        <w:rPr>
          <w:rFonts w:ascii="GHEA Grapalat" w:hAnsi="GHEA Grapalat" w:cstheme="majorHAnsi"/>
          <w:sz w:val="24"/>
          <w:szCs w:val="24"/>
          <w:lang w:val="hy-AM"/>
        </w:rPr>
        <w:t>» բաժնի «28</w:t>
      </w:r>
      <w:r w:rsidR="00E57AA9" w:rsidRPr="00E94070">
        <w:rPr>
          <w:rFonts w:ascii="Cambria Math" w:hAnsi="Cambria Math" w:cs="Cambria Math"/>
          <w:sz w:val="24"/>
          <w:szCs w:val="24"/>
          <w:lang w:val="hy-AM"/>
        </w:rPr>
        <w:t>․</w:t>
      </w:r>
      <w:r w:rsidR="00E57AA9" w:rsidRPr="00E94070">
        <w:rPr>
          <w:rFonts w:ascii="GHEA Grapalat" w:hAnsi="GHEA Grapalat" w:cstheme="majorHAnsi"/>
          <w:sz w:val="24"/>
          <w:szCs w:val="24"/>
          <w:lang w:val="hy-AM"/>
        </w:rPr>
        <w:t xml:space="preserve"> Բարելավել պարենային անվտանգությունը և սնուցումը</w:t>
      </w:r>
      <w:r w:rsidR="00EF2D00" w:rsidRPr="00E94070">
        <w:rPr>
          <w:rFonts w:ascii="GHEA Grapalat" w:hAnsi="GHEA Grapalat" w:cstheme="majorHAnsi"/>
          <w:sz w:val="24"/>
          <w:szCs w:val="24"/>
          <w:lang w:val="hy-AM"/>
        </w:rPr>
        <w:t>»</w:t>
      </w:r>
      <w:r w:rsidR="00E57AA9" w:rsidRPr="00E94070">
        <w:rPr>
          <w:rFonts w:ascii="GHEA Grapalat" w:hAnsi="GHEA Grapalat" w:cstheme="majorHAnsi"/>
          <w:sz w:val="24"/>
          <w:szCs w:val="24"/>
          <w:lang w:val="hy-AM"/>
        </w:rPr>
        <w:t xml:space="preserve"> առաջնահերթությունից (հղում՝ </w:t>
      </w:r>
      <w:hyperlink r:id="rId9" w:history="1">
        <w:r w:rsidR="00E57AA9" w:rsidRPr="00E94070">
          <w:rPr>
            <w:rStyle w:val="Hyperlink"/>
            <w:rFonts w:ascii="GHEA Grapalat" w:hAnsi="GHEA Grapalat" w:cstheme="majorHAnsi"/>
            <w:color w:val="auto"/>
            <w:sz w:val="24"/>
            <w:szCs w:val="24"/>
            <w:lang w:val="hy-AM"/>
          </w:rPr>
          <w:t>https://mineconomy.am/media/10030/Razmavarutyun.pdf</w:t>
        </w:r>
      </w:hyperlink>
      <w:r w:rsidR="00E57AA9" w:rsidRPr="00E94070">
        <w:rPr>
          <w:rFonts w:ascii="GHEA Grapalat" w:hAnsi="GHEA Grapalat" w:cstheme="majorHAnsi"/>
          <w:sz w:val="24"/>
          <w:szCs w:val="24"/>
          <w:lang w:val="hy-AM"/>
        </w:rPr>
        <w:t>, 37-րդ էջ։</w:t>
      </w:r>
    </w:p>
    <w:p w14:paraId="42372AF8" w14:textId="77777777" w:rsidR="00672FFC" w:rsidRPr="00E94070" w:rsidRDefault="00556467" w:rsidP="003E1203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ind w:left="0" w:firstLine="45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</w:t>
      </w:r>
    </w:p>
    <w:p w14:paraId="740ECB4A" w14:textId="7EFAE2B6" w:rsidR="00135483" w:rsidRPr="00E94070" w:rsidRDefault="00D6420E" w:rsidP="00135483">
      <w:pPr>
        <w:tabs>
          <w:tab w:val="left" w:pos="1134"/>
        </w:tabs>
        <w:spacing w:after="0" w:line="360" w:lineRule="auto"/>
        <w:jc w:val="both"/>
        <w:rPr>
          <w:rFonts w:ascii="GHEA Grapalat" w:hAnsi="GHEA Grapalat" w:cstheme="majorHAnsi"/>
          <w:sz w:val="24"/>
          <w:szCs w:val="24"/>
          <w:lang w:val="hy-AM"/>
        </w:rPr>
      </w:pPr>
      <w:r w:rsidRPr="00E94070">
        <w:rPr>
          <w:rFonts w:ascii="GHEA Grapalat" w:hAnsi="GHEA Grapalat" w:cstheme="majorHAnsi"/>
          <w:sz w:val="24"/>
          <w:szCs w:val="24"/>
          <w:lang w:val="hy-AM"/>
        </w:rPr>
        <w:tab/>
        <w:t>Պարենային անվտանգության համակարգի զարգացման ռազմավարության և 202</w:t>
      </w:r>
      <w:r w:rsidR="00AA2EBE" w:rsidRPr="00E94070">
        <w:rPr>
          <w:rFonts w:ascii="GHEA Grapalat" w:hAnsi="GHEA Grapalat" w:cstheme="majorHAnsi"/>
          <w:sz w:val="24"/>
          <w:szCs w:val="24"/>
          <w:lang w:val="hy-AM"/>
        </w:rPr>
        <w:t>3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>-2026 թվականների միջոցառումների</w:t>
      </w:r>
      <w:r w:rsidRPr="00E94070">
        <w:rPr>
          <w:rFonts w:eastAsia="Calibri" w:cs="Times New Roman"/>
          <w:szCs w:val="24"/>
          <w:lang w:val="hy-AM"/>
        </w:rPr>
        <w:t xml:space="preserve"> 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իրականացման համար անհրաժեշտ ֆինանսական ռեսուրսների մոտավոր գնահատականը կազմում է շուրջ </w:t>
      </w:r>
      <w:r w:rsidR="005F268B" w:rsidRPr="00E94070">
        <w:rPr>
          <w:rFonts w:ascii="GHEA Grapalat" w:hAnsi="GHEA Grapalat" w:cstheme="majorHAnsi"/>
          <w:sz w:val="24"/>
          <w:szCs w:val="24"/>
          <w:lang w:val="hy-AM"/>
        </w:rPr>
        <w:t>25</w:t>
      </w:r>
      <w:r w:rsidRPr="00E94070">
        <w:rPr>
          <w:rFonts w:ascii="Cambria Math" w:hAnsi="Cambria Math" w:cs="Cambria Math"/>
          <w:sz w:val="24"/>
          <w:szCs w:val="24"/>
          <w:lang w:val="hy-AM"/>
        </w:rPr>
        <w:t>․</w:t>
      </w:r>
      <w:r w:rsidR="005F268B" w:rsidRPr="00E94070">
        <w:rPr>
          <w:rFonts w:ascii="GHEA Grapalat" w:hAnsi="GHEA Grapalat" w:cstheme="majorHAnsi"/>
          <w:sz w:val="24"/>
          <w:szCs w:val="24"/>
          <w:lang w:val="hy-AM"/>
        </w:rPr>
        <w:t>7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 մլրդ դրամ։ Միջոցառումների ֆինանսավորման զգալի մասը կամ  շուրջ 22</w:t>
      </w:r>
      <w:r w:rsidRPr="00E94070">
        <w:rPr>
          <w:rFonts w:ascii="Cambria Math" w:hAnsi="Cambria Math" w:cs="Cambria Math"/>
          <w:sz w:val="24"/>
          <w:szCs w:val="24"/>
          <w:lang w:val="hy-AM"/>
        </w:rPr>
        <w:t>․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0 մլրդ դրամն արդեն նախատեսված է կառավարության ծրագրով և դրա իրականացմանն ուղղված միջոցառումներով։ </w:t>
      </w:r>
      <w:r w:rsidR="000C7D1E" w:rsidRPr="000C7D1E">
        <w:rPr>
          <w:rFonts w:ascii="GHEA Grapalat" w:hAnsi="GHEA Grapalat" w:cstheme="majorHAnsi"/>
          <w:sz w:val="24"/>
          <w:szCs w:val="24"/>
          <w:lang w:val="hy-AM"/>
        </w:rPr>
        <w:t xml:space="preserve">Ռազմավարության շրջանակներում նախատեսված մյուս միջոցառումները նախատեսվում է իրականացնել պետական բյուջեի, միջազգային դոնոր </w:t>
      </w:r>
      <w:r w:rsidR="000C7D1E" w:rsidRPr="000C7D1E">
        <w:rPr>
          <w:rFonts w:ascii="GHEA Grapalat" w:hAnsi="GHEA Grapalat" w:cstheme="majorHAnsi"/>
          <w:sz w:val="24"/>
          <w:szCs w:val="24"/>
          <w:lang w:val="hy-AM"/>
        </w:rPr>
        <w:lastRenderedPageBreak/>
        <w:t>կազմակերպությունների միջոցներով և մասնավոր հատվածի աջակցությամբ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։ Պետական բյուջեի միջոցների հաշվին նախատեսվող միջոցառումների ֆինանսական գնահատականը կազմում է շուրջ </w:t>
      </w:r>
      <w:r w:rsidR="005F268B" w:rsidRPr="00E94070">
        <w:rPr>
          <w:rFonts w:ascii="GHEA Grapalat" w:hAnsi="GHEA Grapalat" w:cstheme="majorHAnsi"/>
          <w:sz w:val="24"/>
          <w:szCs w:val="24"/>
          <w:lang w:val="hy-AM"/>
        </w:rPr>
        <w:t>1</w:t>
      </w:r>
      <w:r w:rsidRPr="000C7D1E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F268B" w:rsidRPr="00E94070">
        <w:rPr>
          <w:rFonts w:ascii="GHEA Grapalat" w:hAnsi="GHEA Grapalat" w:cstheme="majorHAnsi"/>
          <w:sz w:val="24"/>
          <w:szCs w:val="24"/>
          <w:lang w:val="hy-AM"/>
        </w:rPr>
        <w:t>2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t xml:space="preserve"> մլրդ դրամ, որը նախատեսվում է  ապահովել համապատասխան տարվա համար ՀՀ պետա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softHyphen/>
        <w:t>կան բյուջեով ՀՀ շահագրգիռ գերատեսչություններին առանձնացված հատկացումների ընդհանուր ծավալի շրջանակներում` ելնելով ոլորտի տվյալ տարվա առաջնա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softHyphen/>
        <w:t>հեր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softHyphen/>
        <w:t>թու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softHyphen/>
        <w:t>թյուն</w:t>
      </w:r>
      <w:r w:rsidRPr="00E94070">
        <w:rPr>
          <w:rFonts w:ascii="GHEA Grapalat" w:hAnsi="GHEA Grapalat" w:cstheme="majorHAnsi"/>
          <w:sz w:val="24"/>
          <w:szCs w:val="24"/>
          <w:lang w:val="hy-AM"/>
        </w:rPr>
        <w:softHyphen/>
        <w:t>ներից։ Ռազմավարությամբ նախանշված միջոցառումների առավել ճշգրիտ ֆինանսական գնահատականը հնա</w:t>
      </w:r>
      <w:bookmarkStart w:id="4" w:name="_GoBack"/>
      <w:bookmarkEnd w:id="4"/>
      <w:r w:rsidRPr="00E94070">
        <w:rPr>
          <w:rFonts w:ascii="GHEA Grapalat" w:hAnsi="GHEA Grapalat" w:cstheme="majorHAnsi"/>
          <w:sz w:val="24"/>
          <w:szCs w:val="24"/>
          <w:lang w:val="hy-AM"/>
        </w:rPr>
        <w:t>րավոր է տալ կոնկրետ միջոցառումների շրջանակներում:</w:t>
      </w:r>
    </w:p>
    <w:p w14:paraId="7699CCA4" w14:textId="77777777" w:rsidR="00D45A6C" w:rsidRPr="00E94070" w:rsidRDefault="00D45A6C" w:rsidP="003E1203">
      <w:pPr>
        <w:tabs>
          <w:tab w:val="left" w:pos="720"/>
        </w:tabs>
        <w:spacing w:after="0" w:line="360" w:lineRule="auto"/>
        <w:jc w:val="both"/>
        <w:rPr>
          <w:rFonts w:ascii="GHEA Grapalat" w:hAnsi="GHEA Grapalat" w:cstheme="majorHAnsi"/>
          <w:sz w:val="24"/>
          <w:szCs w:val="24"/>
          <w:lang w:val="hy-AM"/>
        </w:rPr>
      </w:pPr>
    </w:p>
    <w:p w14:paraId="054CAC0A" w14:textId="77777777" w:rsidR="00D45A6C" w:rsidRPr="00E94070" w:rsidRDefault="00D45A6C" w:rsidP="003E1203">
      <w:pPr>
        <w:tabs>
          <w:tab w:val="left" w:pos="72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970A3DE" w14:textId="77777777" w:rsidR="001F4512" w:rsidRPr="00E94070" w:rsidRDefault="001F4512" w:rsidP="003E1203">
      <w:pPr>
        <w:tabs>
          <w:tab w:val="left" w:pos="720"/>
        </w:tabs>
        <w:spacing w:after="0" w:line="360" w:lineRule="auto"/>
        <w:ind w:left="72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14B6A3F" w14:textId="77777777" w:rsidR="001F4512" w:rsidRPr="00E94070" w:rsidRDefault="001F4512" w:rsidP="003E1203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537AA42" w14:textId="77777777" w:rsidR="001F4512" w:rsidRPr="00E94070" w:rsidRDefault="001F4512" w:rsidP="003E1203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38B88BC" w14:textId="77777777" w:rsidR="004F5CDF" w:rsidRPr="00E94070" w:rsidRDefault="004F5CDF" w:rsidP="003E120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94070">
        <w:rPr>
          <w:rFonts w:ascii="GHEA Grapalat" w:eastAsia="Calibri" w:hAnsi="GHEA Grapalat" w:cs="Times New Roman"/>
          <w:sz w:val="24"/>
          <w:szCs w:val="24"/>
          <w:lang w:val="hy-AM"/>
        </w:rPr>
        <w:tab/>
      </w:r>
    </w:p>
    <w:p w14:paraId="3B095735" w14:textId="77777777" w:rsidR="001F4512" w:rsidRPr="00E94070" w:rsidRDefault="001F4512" w:rsidP="003E120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0636DF5" w14:textId="77777777" w:rsidR="004F5CDF" w:rsidRPr="00E94070" w:rsidRDefault="004F5CDF" w:rsidP="003E1203">
      <w:pPr>
        <w:spacing w:after="0" w:line="360" w:lineRule="auto"/>
        <w:ind w:firstLine="45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17E4AD0" w14:textId="77777777" w:rsidR="004F5CDF" w:rsidRPr="00E94070" w:rsidRDefault="004F5CDF" w:rsidP="003E1203">
      <w:pPr>
        <w:spacing w:after="0" w:line="360" w:lineRule="auto"/>
        <w:jc w:val="center"/>
        <w:rPr>
          <w:rFonts w:ascii="GHEA Grapalat" w:hAnsi="GHEA Grapalat" w:cstheme="majorHAnsi"/>
          <w:b/>
          <w:sz w:val="24"/>
          <w:szCs w:val="24"/>
          <w:lang w:val="hy-AM"/>
        </w:rPr>
      </w:pPr>
    </w:p>
    <w:p w14:paraId="5508DC50" w14:textId="77777777" w:rsidR="00512D02" w:rsidRPr="00E94070" w:rsidRDefault="00512D02" w:rsidP="003E1203">
      <w:pPr>
        <w:spacing w:after="0"/>
        <w:rPr>
          <w:lang w:val="hy-AM"/>
        </w:rPr>
      </w:pPr>
    </w:p>
    <w:sectPr w:rsidR="00512D02" w:rsidRPr="00E94070" w:rsidSect="00890F3C">
      <w:pgSz w:w="12240" w:h="15840"/>
      <w:pgMar w:top="720" w:right="810" w:bottom="63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F08FF" w14:textId="77777777" w:rsidR="00676D01" w:rsidRDefault="00676D01" w:rsidP="007661B7">
      <w:pPr>
        <w:spacing w:after="0" w:line="240" w:lineRule="auto"/>
      </w:pPr>
      <w:r>
        <w:separator/>
      </w:r>
    </w:p>
  </w:endnote>
  <w:endnote w:type="continuationSeparator" w:id="0">
    <w:p w14:paraId="7223C551" w14:textId="77777777" w:rsidR="00676D01" w:rsidRDefault="00676D01" w:rsidP="007661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98A54" w14:textId="77777777" w:rsidR="00676D01" w:rsidRDefault="00676D01" w:rsidP="007661B7">
      <w:pPr>
        <w:spacing w:after="0" w:line="240" w:lineRule="auto"/>
      </w:pPr>
      <w:r>
        <w:separator/>
      </w:r>
    </w:p>
  </w:footnote>
  <w:footnote w:type="continuationSeparator" w:id="0">
    <w:p w14:paraId="278B170C" w14:textId="77777777" w:rsidR="00676D01" w:rsidRDefault="00676D01" w:rsidP="007661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1FB6"/>
    <w:multiLevelType w:val="hybridMultilevel"/>
    <w:tmpl w:val="8FC4D78A"/>
    <w:lvl w:ilvl="0" w:tplc="04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 w15:restartNumberingAfterBreak="0">
    <w:nsid w:val="062A3C68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47E27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09378E"/>
    <w:multiLevelType w:val="hybridMultilevel"/>
    <w:tmpl w:val="40705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A70F7"/>
    <w:multiLevelType w:val="hybridMultilevel"/>
    <w:tmpl w:val="516C3512"/>
    <w:lvl w:ilvl="0" w:tplc="B51EB90A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52457"/>
    <w:multiLevelType w:val="hybridMultilevel"/>
    <w:tmpl w:val="B3C06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91067"/>
    <w:multiLevelType w:val="hybridMultilevel"/>
    <w:tmpl w:val="D69E2E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C23E55"/>
    <w:multiLevelType w:val="hybridMultilevel"/>
    <w:tmpl w:val="187A4FC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EB1607"/>
    <w:multiLevelType w:val="hybridMultilevel"/>
    <w:tmpl w:val="611E2626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B67AA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795F38"/>
    <w:multiLevelType w:val="hybridMultilevel"/>
    <w:tmpl w:val="415CC958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233D9B"/>
    <w:multiLevelType w:val="hybridMultilevel"/>
    <w:tmpl w:val="AA26F276"/>
    <w:lvl w:ilvl="0" w:tplc="B520038E">
      <w:start w:val="2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0960BA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490A64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E180C0C"/>
    <w:multiLevelType w:val="hybridMultilevel"/>
    <w:tmpl w:val="D3E6BF0C"/>
    <w:lvl w:ilvl="0" w:tplc="7AE07CA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A5C97"/>
    <w:multiLevelType w:val="hybridMultilevel"/>
    <w:tmpl w:val="CC5C5F16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6D5895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E638F0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BD096F"/>
    <w:multiLevelType w:val="hybridMultilevel"/>
    <w:tmpl w:val="A5CE7D7E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5415AA"/>
    <w:multiLevelType w:val="hybridMultilevel"/>
    <w:tmpl w:val="3B4A0A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8"/>
  </w:num>
  <w:num w:numId="3">
    <w:abstractNumId w:val="17"/>
  </w:num>
  <w:num w:numId="4">
    <w:abstractNumId w:val="1"/>
  </w:num>
  <w:num w:numId="5">
    <w:abstractNumId w:val="12"/>
  </w:num>
  <w:num w:numId="6">
    <w:abstractNumId w:val="13"/>
  </w:num>
  <w:num w:numId="7">
    <w:abstractNumId w:val="2"/>
  </w:num>
  <w:num w:numId="8">
    <w:abstractNumId w:val="9"/>
  </w:num>
  <w:num w:numId="9">
    <w:abstractNumId w:val="16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6"/>
  </w:num>
  <w:num w:numId="15">
    <w:abstractNumId w:val="3"/>
  </w:num>
  <w:num w:numId="16">
    <w:abstractNumId w:val="0"/>
  </w:num>
  <w:num w:numId="17">
    <w:abstractNumId w:val="5"/>
  </w:num>
  <w:num w:numId="18">
    <w:abstractNumId w:val="11"/>
  </w:num>
  <w:num w:numId="19">
    <w:abstractNumId w:val="10"/>
  </w:num>
  <w:num w:numId="20">
    <w:abstractNumId w:val="14"/>
  </w:num>
  <w:num w:numId="21">
    <w:abstractNumId w:val="7"/>
  </w:num>
  <w:num w:numId="22">
    <w:abstractNumId w:val="8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A71"/>
    <w:rsid w:val="000C7D1E"/>
    <w:rsid w:val="001057C2"/>
    <w:rsid w:val="00135483"/>
    <w:rsid w:val="001362D2"/>
    <w:rsid w:val="00163B21"/>
    <w:rsid w:val="0016481E"/>
    <w:rsid w:val="00194902"/>
    <w:rsid w:val="001B1704"/>
    <w:rsid w:val="001D3494"/>
    <w:rsid w:val="001D3E00"/>
    <w:rsid w:val="001F4512"/>
    <w:rsid w:val="00265256"/>
    <w:rsid w:val="00273B11"/>
    <w:rsid w:val="002850FA"/>
    <w:rsid w:val="00321AAD"/>
    <w:rsid w:val="00336E8F"/>
    <w:rsid w:val="003C2C2B"/>
    <w:rsid w:val="003E1203"/>
    <w:rsid w:val="003E7AEC"/>
    <w:rsid w:val="003F1F84"/>
    <w:rsid w:val="00431198"/>
    <w:rsid w:val="00462DAC"/>
    <w:rsid w:val="00463F4A"/>
    <w:rsid w:val="004755E4"/>
    <w:rsid w:val="00495A71"/>
    <w:rsid w:val="004A7E20"/>
    <w:rsid w:val="004F5CDF"/>
    <w:rsid w:val="00512D02"/>
    <w:rsid w:val="00545A41"/>
    <w:rsid w:val="00551F1E"/>
    <w:rsid w:val="00556467"/>
    <w:rsid w:val="005F268B"/>
    <w:rsid w:val="006457ED"/>
    <w:rsid w:val="006664C4"/>
    <w:rsid w:val="00672FFC"/>
    <w:rsid w:val="00676D01"/>
    <w:rsid w:val="006B7DF6"/>
    <w:rsid w:val="006C6158"/>
    <w:rsid w:val="00757859"/>
    <w:rsid w:val="007618F7"/>
    <w:rsid w:val="007661B7"/>
    <w:rsid w:val="00776E71"/>
    <w:rsid w:val="007A4904"/>
    <w:rsid w:val="007C3F9C"/>
    <w:rsid w:val="007E01E3"/>
    <w:rsid w:val="008357FA"/>
    <w:rsid w:val="00854A13"/>
    <w:rsid w:val="00890F3C"/>
    <w:rsid w:val="008913CB"/>
    <w:rsid w:val="008B1714"/>
    <w:rsid w:val="008B36C3"/>
    <w:rsid w:val="008C5C9D"/>
    <w:rsid w:val="008C653F"/>
    <w:rsid w:val="009012D4"/>
    <w:rsid w:val="00902BC5"/>
    <w:rsid w:val="00960392"/>
    <w:rsid w:val="009A065A"/>
    <w:rsid w:val="009B0014"/>
    <w:rsid w:val="009E7EA9"/>
    <w:rsid w:val="00A354F3"/>
    <w:rsid w:val="00A6295B"/>
    <w:rsid w:val="00A819B7"/>
    <w:rsid w:val="00A86E13"/>
    <w:rsid w:val="00A9538B"/>
    <w:rsid w:val="00AA2EBE"/>
    <w:rsid w:val="00AA3E75"/>
    <w:rsid w:val="00AA644E"/>
    <w:rsid w:val="00AF705F"/>
    <w:rsid w:val="00B10816"/>
    <w:rsid w:val="00B13C45"/>
    <w:rsid w:val="00B25F56"/>
    <w:rsid w:val="00B31049"/>
    <w:rsid w:val="00B34268"/>
    <w:rsid w:val="00B40010"/>
    <w:rsid w:val="00B51529"/>
    <w:rsid w:val="00B71E89"/>
    <w:rsid w:val="00B87A5C"/>
    <w:rsid w:val="00BC5B23"/>
    <w:rsid w:val="00BD22E2"/>
    <w:rsid w:val="00BF7D2A"/>
    <w:rsid w:val="00C22219"/>
    <w:rsid w:val="00C5027C"/>
    <w:rsid w:val="00C64487"/>
    <w:rsid w:val="00C67B26"/>
    <w:rsid w:val="00C81497"/>
    <w:rsid w:val="00C95EBE"/>
    <w:rsid w:val="00CA5B0D"/>
    <w:rsid w:val="00CF1AA4"/>
    <w:rsid w:val="00D04616"/>
    <w:rsid w:val="00D2336B"/>
    <w:rsid w:val="00D26DCE"/>
    <w:rsid w:val="00D45A6C"/>
    <w:rsid w:val="00D6420E"/>
    <w:rsid w:val="00DC672B"/>
    <w:rsid w:val="00E16B6F"/>
    <w:rsid w:val="00E26877"/>
    <w:rsid w:val="00E35703"/>
    <w:rsid w:val="00E57AA9"/>
    <w:rsid w:val="00E81442"/>
    <w:rsid w:val="00E94070"/>
    <w:rsid w:val="00EC5CD3"/>
    <w:rsid w:val="00EE1EA7"/>
    <w:rsid w:val="00EF2D00"/>
    <w:rsid w:val="00F146EC"/>
    <w:rsid w:val="00F252CA"/>
    <w:rsid w:val="00F657C8"/>
    <w:rsid w:val="00F95A39"/>
    <w:rsid w:val="00FA1886"/>
    <w:rsid w:val="00FB3174"/>
    <w:rsid w:val="00FD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007749"/>
  <w15:chartTrackingRefBased/>
  <w15:docId w15:val="{2144268C-FFB7-4350-869E-8F4600804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5CD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Citation List,Table of contents numbered,Graphic,List Paragraph1,Bullets1,Resume Title,List_Paragraph,Multilevel para_II,List Paragraph-ExecSummary,List Paragraph (numbered (a)),Akapit z listą BS,Bullets,List Paragraph 1,References,lp1,Ha"/>
    <w:basedOn w:val="Normal"/>
    <w:link w:val="ListParagraphChar"/>
    <w:uiPriority w:val="34"/>
    <w:qFormat/>
    <w:rsid w:val="004F5CDF"/>
    <w:pPr>
      <w:ind w:left="720"/>
      <w:contextualSpacing/>
    </w:pPr>
  </w:style>
  <w:style w:type="character" w:customStyle="1" w:styleId="FootnoteTextChar">
    <w:name w:val="Footnote Text Char"/>
    <w:aliases w:val="single space Char,FOOTNOTES Char,fn Char1,ADB Char1,footnote text Char Char,fn Char Char,ADB Char Char,single space Char Char Char,ft Char,Footnote Text WBR Char,WBR Char,footnote text Char1,Testo nota a piè di pagina Carattere Char"/>
    <w:basedOn w:val="DefaultParagraphFont"/>
    <w:link w:val="FootnoteText"/>
    <w:uiPriority w:val="99"/>
    <w:locked/>
    <w:rsid w:val="007661B7"/>
    <w:rPr>
      <w:rFonts w:ascii="GHEA Grapalat" w:hAnsi="GHEA Grapalat"/>
      <w:sz w:val="18"/>
      <w:szCs w:val="20"/>
    </w:rPr>
  </w:style>
  <w:style w:type="paragraph" w:styleId="FootnoteText">
    <w:name w:val="footnote text"/>
    <w:aliases w:val="single space,FOOTNOTES,fn,ADB,footnote text Char,fn Char,ADB Char,single space Char Char,ft,Footnote Text WBR,WBR,footnote text,Testo nota a piè di pagina Carattere,Footnote text,paragraph,Paragraph Footnote,f,Geneva 9,Font: Geneva 9,Text"/>
    <w:basedOn w:val="Normal"/>
    <w:link w:val="FootnoteTextChar"/>
    <w:uiPriority w:val="99"/>
    <w:unhideWhenUsed/>
    <w:qFormat/>
    <w:rsid w:val="007661B7"/>
    <w:pPr>
      <w:spacing w:after="0" w:line="240" w:lineRule="auto"/>
      <w:jc w:val="both"/>
    </w:pPr>
    <w:rPr>
      <w:rFonts w:ascii="GHEA Grapalat" w:hAnsi="GHEA Grapalat"/>
      <w:sz w:val="18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7661B7"/>
    <w:rPr>
      <w:sz w:val="20"/>
      <w:szCs w:val="20"/>
    </w:rPr>
  </w:style>
  <w:style w:type="character" w:customStyle="1" w:styleId="ListParagraphChar">
    <w:name w:val="List Paragraph Char"/>
    <w:aliases w:val="Citation List Char,Table of contents numbered Char,Graphic Char,List Paragraph1 Char,Bullets1 Char,Resume Title Char,List_Paragraph Char,Multilevel para_II Char,List Paragraph-ExecSummary Char,List Paragraph (numbered (a)) Char"/>
    <w:basedOn w:val="DefaultParagraphFont"/>
    <w:link w:val="ListParagraph"/>
    <w:uiPriority w:val="34"/>
    <w:qFormat/>
    <w:locked/>
    <w:rsid w:val="007661B7"/>
  </w:style>
  <w:style w:type="character" w:styleId="FootnoteReference">
    <w:name w:val="footnote reference"/>
    <w:aliases w:val="ftref,fr,Footnote Reference Number,Footnote Reference_LVL6,Footnote Reference_LVL61,Footnote Reference_LVL62,Footnote Reference_LVL63,Footnote Reference_LVL64,Знак сноски-FN,16 Point,Superscript 6 Point,Footnote Reference Superscript"/>
    <w:basedOn w:val="DefaultParagraphFont"/>
    <w:link w:val="FunotenzeichenDISS"/>
    <w:uiPriority w:val="99"/>
    <w:unhideWhenUsed/>
    <w:qFormat/>
    <w:rsid w:val="007661B7"/>
    <w:rPr>
      <w:rFonts w:ascii="Arial" w:hAnsi="Arial" w:cs="Arial"/>
      <w:vertAlign w:val="superscript"/>
    </w:rPr>
  </w:style>
  <w:style w:type="paragraph" w:customStyle="1" w:styleId="FunotenzeichenDISS">
    <w:name w:val="Fußnotenzeichen DISS"/>
    <w:aliases w:val="Footnote,Footnote symbol,Char1 Char Char Char Char,de nota al pie,Ref,FnR-ANZDEC,(NECG) Footnote Reference,Footnote Ref in FtNote,SUPERS"/>
    <w:basedOn w:val="Normal"/>
    <w:link w:val="FootnoteReference"/>
    <w:uiPriority w:val="99"/>
    <w:rsid w:val="007661B7"/>
    <w:pPr>
      <w:spacing w:after="160" w:line="240" w:lineRule="exact"/>
    </w:pPr>
    <w:rPr>
      <w:rFonts w:ascii="Arial" w:hAnsi="Arial" w:cs="Arial"/>
      <w:vertAlign w:val="superscript"/>
    </w:rPr>
  </w:style>
  <w:style w:type="paragraph" w:customStyle="1" w:styleId="1">
    <w:name w:val="????????1"/>
    <w:basedOn w:val="Normal"/>
    <w:uiPriority w:val="99"/>
    <w:rsid w:val="001057C2"/>
    <w:pPr>
      <w:spacing w:after="0" w:line="240" w:lineRule="auto"/>
      <w:jc w:val="center"/>
    </w:pPr>
    <w:rPr>
      <w:rFonts w:ascii="Times Armenian" w:eastAsia="Times New Roman" w:hAnsi="Times Armenian" w:cs="Times New Roman"/>
      <w:i/>
      <w:sz w:val="28"/>
      <w:szCs w:val="20"/>
      <w:lang w:eastAsia="ru-RU"/>
    </w:rPr>
  </w:style>
  <w:style w:type="table" w:styleId="TableGrid">
    <w:name w:val="Table Grid"/>
    <w:basedOn w:val="TableNormal"/>
    <w:rsid w:val="005564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56467"/>
    <w:rPr>
      <w:color w:val="0000FF"/>
      <w:u w:val="single"/>
    </w:rPr>
  </w:style>
  <w:style w:type="paragraph" w:styleId="Revision">
    <w:name w:val="Revision"/>
    <w:hidden/>
    <w:uiPriority w:val="99"/>
    <w:semiHidden/>
    <w:rsid w:val="008357F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5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3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imeminister.am/u_files/file/Haytararutyunner/Armenia2050_7_5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Annexes/6/2021_N1902hav.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ineconomy.am/media/10030/Razmavarutyu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N. Hovhannesyan</dc:creator>
  <cp:keywords/>
  <dc:description/>
  <cp:lastModifiedBy>Narek Apujanyan</cp:lastModifiedBy>
  <cp:revision>5</cp:revision>
  <dcterms:created xsi:type="dcterms:W3CDTF">2023-06-28T05:43:00Z</dcterms:created>
  <dcterms:modified xsi:type="dcterms:W3CDTF">2023-06-28T06:43:00Z</dcterms:modified>
</cp:coreProperties>
</file>