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88DD" w14:textId="77777777" w:rsidR="00653287" w:rsidRPr="001F1129" w:rsidRDefault="00653287" w:rsidP="00653287">
      <w:pPr>
        <w:tabs>
          <w:tab w:val="center" w:pos="4680"/>
          <w:tab w:val="right" w:pos="9360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F11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ԱՄՓՈՓԱԹԵՐԹ-2 </w:t>
      </w:r>
    </w:p>
    <w:p w14:paraId="73417CAB" w14:textId="77777777" w:rsidR="00653287" w:rsidRPr="001F1129" w:rsidRDefault="00653287" w:rsidP="00653287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11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«ՀԱՅԱՍՏԱՆԻ ՀԱՆՐԱՊԵՏՈՒԹՅՈՒՆԻՑ ԱՐՏԱՀԱՆՎՈՂ ԵՎ ՀԱՅԱՍՏԱՆԻ ՀԱՆՐԱՊԵՏՈՒԹՅԱՆ ՏԱՐԱԾՔՈՎ ՏԱՐԱՆՑԻԿ ՓՈԽԱԴՐՎՈՂ  ԶԳԱՅՈՒՆ ԱՊՐԱՆՔՆԵՐԻ ՑԱՆԿԸ ՀԱՍՏԱՏԵԼՈՒ ՄԱՍԻՆ» ՀԱՅԱՍՏԱՆԻ ՀԱՆՐԱՊԵՏՈՒԹՅԱՆ ԿԱՌԱՎԱՐՈՒԹՅԱՆ ՈՐՈՇՄԱՆ ՆԱԽԱԳԾԻ</w:t>
      </w:r>
    </w:p>
    <w:p w14:paraId="3258AC06" w14:textId="77777777" w:rsidR="00653287" w:rsidRPr="001F1129" w:rsidRDefault="00653287" w:rsidP="00653287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tbl>
      <w:tblPr>
        <w:tblW w:w="14184" w:type="dxa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  <w:gridCol w:w="1624"/>
        <w:gridCol w:w="2535"/>
      </w:tblGrid>
      <w:tr w:rsidR="00653287" w:rsidRPr="001F1129" w14:paraId="4CB75630" w14:textId="77777777" w:rsidTr="0065469C">
        <w:trPr>
          <w:trHeight w:val="804"/>
          <w:tblCellSpacing w:w="0" w:type="dxa"/>
        </w:trPr>
        <w:tc>
          <w:tcPr>
            <w:tcW w:w="116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ECC3E6B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  <w:p w14:paraId="4C835959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6079A4D" w14:textId="77777777" w:rsidR="00653287" w:rsidRPr="001F1129" w:rsidRDefault="00653287" w:rsidP="0065469C">
            <w:pPr>
              <w:spacing w:line="360" w:lineRule="auto"/>
              <w:jc w:val="right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19.05.2023թ.</w:t>
            </w:r>
          </w:p>
        </w:tc>
      </w:tr>
      <w:tr w:rsidR="00653287" w:rsidRPr="001F1129" w14:paraId="1BB9F9AE" w14:textId="77777777" w:rsidTr="0065469C">
        <w:trPr>
          <w:tblCellSpacing w:w="0" w:type="dxa"/>
        </w:trPr>
        <w:tc>
          <w:tcPr>
            <w:tcW w:w="116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3D97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9B18EA4" w14:textId="77777777" w:rsidR="00653287" w:rsidRPr="001F1129" w:rsidRDefault="00653287" w:rsidP="0065469C">
            <w:pPr>
              <w:spacing w:line="360" w:lineRule="auto"/>
              <w:jc w:val="right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  <w:t>N 01/3-2/30274-2023</w:t>
            </w:r>
          </w:p>
        </w:tc>
      </w:tr>
      <w:tr w:rsidR="00653287" w:rsidRPr="0024690F" w14:paraId="5CDFB939" w14:textId="77777777" w:rsidTr="0065469C">
        <w:trPr>
          <w:tblCellSpacing w:w="0" w:type="dxa"/>
        </w:trPr>
        <w:tc>
          <w:tcPr>
            <w:tcW w:w="10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C425B" w14:textId="77777777" w:rsidR="00653287" w:rsidRPr="001F1129" w:rsidRDefault="00653287" w:rsidP="0065469C">
            <w:pPr>
              <w:spacing w:line="360" w:lineRule="auto"/>
              <w:ind w:firstLine="709"/>
              <w:jc w:val="both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Նախագծի 3-րդ կետը շարադրել </w:t>
            </w:r>
            <w:proofErr w:type="spellStart"/>
            <w:r w:rsidRPr="001F112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հետևյալ</w:t>
            </w:r>
            <w:proofErr w:type="spellEnd"/>
            <w:r w:rsidRPr="001F112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խմբագրությամբ՝ </w:t>
            </w:r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Սույն որոշումը չի տարածվում ֆիզիկական անձանց կողմից սույն որոշման 1-ին կետով հաստատված ցանկի, ինչպես նաև Հայաստանի Հանրապետության կառավարության առ 13.02.2020թ. թիվ 171-Ն որոշման հավելված 1-ով սահմանված ակնհայտ </w:t>
            </w:r>
            <w:proofErr w:type="spellStart"/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առևտրային</w:t>
            </w:r>
            <w:proofErr w:type="spellEnd"/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չափաքանակները չգերազանցող անձնական օգտագործման ապրանքների՝ Հայաստանի Հանրապետությունից արտահանման կամ դրանց տարանցիկ փոխադրման վրա։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A751A" w14:textId="77777777" w:rsidR="00653287" w:rsidRPr="001F1129" w:rsidRDefault="00653287" w:rsidP="0065469C">
            <w:pPr>
              <w:tabs>
                <w:tab w:val="left" w:pos="851"/>
              </w:tabs>
              <w:spacing w:after="0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Ընդունվել է։ </w:t>
            </w:r>
          </w:p>
          <w:p w14:paraId="5BEB2A54" w14:textId="77777777" w:rsidR="00653287" w:rsidRPr="001F1129" w:rsidRDefault="00653287" w:rsidP="0065469C">
            <w:pPr>
              <w:tabs>
                <w:tab w:val="left" w:pos="851"/>
              </w:tabs>
              <w:spacing w:after="0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Կատարվել է փոփոխություն։      </w:t>
            </w:r>
          </w:p>
          <w:p w14:paraId="67C3C815" w14:textId="77777777" w:rsidR="00653287" w:rsidRPr="001F1129" w:rsidRDefault="00653287" w:rsidP="0065469C">
            <w:pPr>
              <w:tabs>
                <w:tab w:val="left" w:pos="851"/>
              </w:tabs>
              <w:spacing w:after="0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653287" w:rsidRPr="0024690F" w14:paraId="69E08041" w14:textId="77777777" w:rsidTr="0065469C">
        <w:trPr>
          <w:tblCellSpacing w:w="0" w:type="dxa"/>
        </w:trPr>
        <w:tc>
          <w:tcPr>
            <w:tcW w:w="10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1B99E" w14:textId="77777777" w:rsidR="00653287" w:rsidRPr="001F1129" w:rsidRDefault="00653287" w:rsidP="0065469C">
            <w:pPr>
              <w:spacing w:line="360" w:lineRule="auto"/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Միաժամանակ, առաջարկում ենք Նախագծի 1-ին կետով հաստատված ցանկում ներառել նաև </w:t>
            </w:r>
            <w:proofErr w:type="spellStart"/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հետևյալ</w:t>
            </w:r>
            <w:proofErr w:type="spellEnd"/>
            <w:r w:rsidRPr="001F112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ապրանքները՝   </w:t>
            </w:r>
          </w:p>
          <w:tbl>
            <w:tblPr>
              <w:tblW w:w="9985" w:type="dxa"/>
              <w:tblLook w:val="04A0" w:firstRow="1" w:lastRow="0" w:firstColumn="1" w:lastColumn="0" w:noHBand="0" w:noVBand="1"/>
            </w:tblPr>
            <w:tblGrid>
              <w:gridCol w:w="1980"/>
              <w:gridCol w:w="8005"/>
            </w:tblGrid>
            <w:tr w:rsidR="00653287" w:rsidRPr="001F1129" w14:paraId="7D34B21D" w14:textId="77777777" w:rsidTr="0065469C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AAA2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ԱՏԳ ԱԱ խումբ</w:t>
                  </w:r>
                </w:p>
              </w:tc>
              <w:tc>
                <w:tcPr>
                  <w:tcW w:w="8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F8101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Նկարագրություն</w:t>
                  </w:r>
                </w:p>
              </w:tc>
            </w:tr>
            <w:tr w:rsidR="00653287" w:rsidRPr="0024690F" w14:paraId="6E7CE8E5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A20FE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8504 40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49C7A6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տրանսֆորմատորներ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ստատիկ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կերպափոխիչներ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օրինակ՝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ինդուկտիվության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կոճեր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դրոսելներ</w:t>
                  </w:r>
                  <w:proofErr w:type="spellEnd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կերպափոխիչներ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ստատիկ</w:t>
                  </w:r>
                </w:p>
              </w:tc>
            </w:tr>
            <w:tr w:rsidR="00653287" w:rsidRPr="001F1129" w14:paraId="48C300C0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FF7ED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8517 61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2F739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բազային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կայաններ</w:t>
                  </w:r>
                </w:p>
              </w:tc>
            </w:tr>
            <w:tr w:rsidR="00653287" w:rsidRPr="001F1129" w14:paraId="77817625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00A4A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8517 69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AACBC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բազային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կայաններ՝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</w:p>
              </w:tc>
            </w:tr>
            <w:tr w:rsidR="00653287" w:rsidRPr="0024690F" w14:paraId="308CBD95" w14:textId="77777777" w:rsidTr="0065469C">
              <w:trPr>
                <w:trHeight w:val="53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9E5F14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8529 10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26300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ալեհավաքներ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ամեն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տեսակի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ալեհավաքային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անդրադարձիչներ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այդ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արտադրատեսակների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հետ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օգտագործվող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մասեր</w:t>
                  </w:r>
                </w:p>
              </w:tc>
            </w:tr>
            <w:tr w:rsidR="00653287" w:rsidRPr="0024690F" w14:paraId="31ADC3B1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1DB04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8536 69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4BF2C8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ապարատուրա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կոմուտացիայի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պահպանման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շղթաներին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միացնելու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շղթաներում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օրինակ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անջատիչներ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փոխարկիչներ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ընդհատիչներ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ռելե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հալուն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ապահովիչներ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թռիչքների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խրոցակների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եղանիկներ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վարդակներ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լամպերի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կոթառներ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տուփեր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1000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-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ից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ոչ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ավելի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.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օպտիկական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մանրաթելերի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թելքաօպտիկական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լարանների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մալուխների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</w:p>
              </w:tc>
            </w:tr>
            <w:tr w:rsidR="00653287" w:rsidRPr="0024690F" w14:paraId="172035A0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391964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8536 90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00518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ապարատուրա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կոմուտացիայի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պահպանման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շղթաներին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միացնելու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շղթաներում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օրինակ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անջատիչներ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փոխարկիչներ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ընդհատիչներ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ռելե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հալուն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ապահովիչներ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թռիչքների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խրոցակների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եղանիկներ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եւ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վարդակներ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լամպերի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կոթառներ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տուփեր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1000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-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ից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ոչ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ավելի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.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օպտիկական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մանրաթելերի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միակցիչներ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թելքաօպտիկական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լարանների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մալուխների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սարքվածքներ</w:t>
                  </w:r>
                </w:p>
              </w:tc>
            </w:tr>
            <w:tr w:rsidR="00653287" w:rsidRPr="0024690F" w14:paraId="7C00FFAD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5EEAD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8537 10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23B7C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Պուլտեր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պանելներ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բարձակներ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սեղաններ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բաշխիչ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վահաններ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հիմքեր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ապարատուրայի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սարքավորված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8535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8536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ապրանքային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դիրքերում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ընդգրկված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երկու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ավելի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սարքվածքներով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էլեկտրական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հոսանքի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ղեկավարման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բաշխման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համար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այդ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թվում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իրենց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մեջ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90-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րդ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խմբի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սարքերը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սարքվածքները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թվային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ղեկավարման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ապարատներն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ընդգրկող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բացի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8517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ապրանքային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դիրքի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կոմուտացիոն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սարքվածքներից</w:t>
                  </w:r>
                  <w:proofErr w:type="spellEnd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1000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-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ից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ոչ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ավելի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լարումով</w:t>
                  </w:r>
                </w:p>
              </w:tc>
            </w:tr>
            <w:tr w:rsidR="00653287" w:rsidRPr="0024690F" w14:paraId="4518145A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D84C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8541 10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CE7DF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դիոդներ</w:t>
                  </w:r>
                  <w:proofErr w:type="spellEnd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բացի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ֆոտոդիոդներից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լուսադիոդներից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(LED)</w:t>
                  </w:r>
                </w:p>
              </w:tc>
            </w:tr>
            <w:tr w:rsidR="00653287" w:rsidRPr="001F1129" w14:paraId="034F8072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19F54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8541 29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A432A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տրանզիստորներ</w:t>
                  </w:r>
                  <w:proofErr w:type="spellEnd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բացի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լուսատրանզիստորներից՝այլ</w:t>
                  </w:r>
                  <w:proofErr w:type="spellEnd"/>
                </w:p>
              </w:tc>
            </w:tr>
            <w:tr w:rsidR="00653287" w:rsidRPr="0024690F" w14:paraId="339372DA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F5541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8807 30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66F2A" w14:textId="77777777" w:rsidR="00653287" w:rsidRPr="001F1129" w:rsidRDefault="00653287" w:rsidP="0065469C">
                  <w:pPr>
                    <w:spacing w:line="360" w:lineRule="auto"/>
                    <w:jc w:val="both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ինքնաթիռների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ուղղաթիռների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անօդաչու</w:t>
                  </w:r>
                  <w:proofErr w:type="spellEnd"/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թռչող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ապարատների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Pr="001F112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F112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մասեր</w:t>
                  </w:r>
                </w:p>
              </w:tc>
            </w:tr>
            <w:tr w:rsidR="00653287" w:rsidRPr="0024690F" w14:paraId="3C887880" w14:textId="77777777" w:rsidTr="0065469C">
              <w:trPr>
                <w:trHeight w:val="35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9F1C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2710 19 820</w:t>
                  </w:r>
                </w:p>
                <w:p w14:paraId="24AE5929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3919 90 000</w:t>
                  </w:r>
                </w:p>
                <w:p w14:paraId="4F9F2DE5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4011 30 000</w:t>
                  </w:r>
                </w:p>
                <w:p w14:paraId="28B08648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4016 99 970</w:t>
                  </w:r>
                </w:p>
                <w:p w14:paraId="171C34B3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4911 99 000</w:t>
                  </w:r>
                </w:p>
                <w:p w14:paraId="301E87E0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7007 21 800</w:t>
                  </w:r>
                </w:p>
                <w:p w14:paraId="1E4F75D7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7019 63 000</w:t>
                  </w:r>
                </w:p>
                <w:p w14:paraId="69688E4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7311 00 110</w:t>
                  </w:r>
                </w:p>
                <w:p w14:paraId="6B27E79A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7616 99 900</w:t>
                  </w:r>
                </w:p>
                <w:p w14:paraId="74ECF1A8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8205 59 809</w:t>
                  </w:r>
                </w:p>
                <w:p w14:paraId="40FFBDD5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8412 21 800</w:t>
                  </w:r>
                </w:p>
                <w:p w14:paraId="2E225B56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8412 39 000</w:t>
                  </w:r>
                </w:p>
                <w:p w14:paraId="7716CC9A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8413 30 800</w:t>
                  </w:r>
                </w:p>
                <w:p w14:paraId="40B43265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8419 50 000</w:t>
                  </w:r>
                </w:p>
                <w:p w14:paraId="5BFE2FA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8419 81 200</w:t>
                  </w:r>
                </w:p>
                <w:p w14:paraId="4177B14D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8421 99 000</w:t>
                  </w:r>
                </w:p>
                <w:p w14:paraId="27D9AC51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8424 10 000</w:t>
                  </w:r>
                </w:p>
                <w:p w14:paraId="64B474F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8424 90 000</w:t>
                  </w:r>
                </w:p>
                <w:p w14:paraId="79F91EB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8481 10 990</w:t>
                  </w:r>
                </w:p>
                <w:p w14:paraId="651D637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8481 20 100</w:t>
                  </w:r>
                </w:p>
                <w:p w14:paraId="337EDE5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8481 20 900</w:t>
                  </w:r>
                </w:p>
                <w:p w14:paraId="2525B72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8481 80 739</w:t>
                  </w:r>
                </w:p>
                <w:p w14:paraId="32F1434B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8481 80 790</w:t>
                  </w:r>
                </w:p>
                <w:p w14:paraId="6CAF5714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8481 80 990</w:t>
                  </w:r>
                </w:p>
                <w:p w14:paraId="1DAC9B5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8483 40 510</w:t>
                  </w:r>
                </w:p>
                <w:p w14:paraId="01D13DCB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8484 20 000</w:t>
                  </w:r>
                </w:p>
                <w:p w14:paraId="533C43A6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8484 90 000</w:t>
                  </w:r>
                </w:p>
                <w:p w14:paraId="49FC2C45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8504 10 800</w:t>
                  </w:r>
                </w:p>
                <w:p w14:paraId="6A3B324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8528 42 900</w:t>
                  </w:r>
                </w:p>
                <w:p w14:paraId="7C0588A3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8531 20 200</w:t>
                  </w:r>
                </w:p>
                <w:p w14:paraId="7B57DF28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8537 10 910</w:t>
                  </w:r>
                </w:p>
                <w:p w14:paraId="7518EACD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8537 10 980</w:t>
                  </w:r>
                </w:p>
                <w:p w14:paraId="57F4C29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8539 31 900</w:t>
                  </w:r>
                </w:p>
                <w:p w14:paraId="63DB02E2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8802 30 000</w:t>
                  </w:r>
                </w:p>
                <w:p w14:paraId="640A8FF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8807 10 000</w:t>
                  </w:r>
                </w:p>
                <w:p w14:paraId="0442A85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8807 20 000</w:t>
                  </w:r>
                </w:p>
                <w:p w14:paraId="0C41CE42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8807 30 000</w:t>
                  </w:r>
                </w:p>
                <w:p w14:paraId="53925E9E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8807 90 000</w:t>
                  </w:r>
                </w:p>
                <w:p w14:paraId="3144A66C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9020 00 000</w:t>
                  </w:r>
                </w:p>
                <w:p w14:paraId="31B13A9A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9025 90 000</w:t>
                  </w:r>
                </w:p>
                <w:p w14:paraId="7721F6B7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9029 10 000</w:t>
                  </w:r>
                </w:p>
                <w:p w14:paraId="6D02C356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9031 80 380</w:t>
                  </w:r>
                </w:p>
                <w:p w14:paraId="1E0CB9F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9032 10 890</w:t>
                  </w:r>
                </w:p>
                <w:p w14:paraId="694839EF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bCs/>
                      <w:color w:val="000000"/>
                      <w:sz w:val="24"/>
                      <w:szCs w:val="24"/>
                      <w:lang w:val="hy-AM"/>
                    </w:rPr>
                    <w:t>9032 89 000</w:t>
                  </w:r>
                </w:p>
              </w:tc>
              <w:tc>
                <w:tcPr>
                  <w:tcW w:w="8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37EE9" w14:textId="77777777" w:rsidR="00653287" w:rsidRPr="001F1129" w:rsidRDefault="00653287" w:rsidP="0065469C">
                  <w:pPr>
                    <w:spacing w:line="360" w:lineRule="auto"/>
                    <w:jc w:val="center"/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</w:pPr>
                  <w:r w:rsidRPr="001F1129"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 xml:space="preserve">Նշված ԱՏԳ ԱԱ </w:t>
                  </w:r>
                  <w:proofErr w:type="spellStart"/>
                  <w:r w:rsidRPr="001F1129"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  <w:t>ծածկագրերով</w:t>
                  </w:r>
                  <w:proofErr w:type="spellEnd"/>
                  <w:r w:rsidRPr="001F1129"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F1129"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  <w:t>դասակարգվող</w:t>
                  </w:r>
                  <w:proofErr w:type="spellEnd"/>
                  <w:r w:rsidRPr="001F1129">
                    <w:rPr>
                      <w:rFonts w:ascii="GHEA Grapalat" w:hAnsi="GHEA Grapalat" w:cs="Calibri"/>
                      <w:iCs/>
                      <w:color w:val="000000"/>
                      <w:sz w:val="24"/>
                      <w:szCs w:val="24"/>
                      <w:lang w:val="hy-AM"/>
                    </w:rPr>
                    <w:t xml:space="preserve"> ապրանքներ՝ նախատեսված օդանավերի և ավիացիայի համար</w:t>
                  </w:r>
                </w:p>
              </w:tc>
            </w:tr>
          </w:tbl>
          <w:p w14:paraId="5A83A7C1" w14:textId="77777777" w:rsidR="00653287" w:rsidRPr="001F1129" w:rsidRDefault="00653287" w:rsidP="0065469C">
            <w:pPr>
              <w:spacing w:line="360" w:lineRule="auto"/>
              <w:ind w:left="120" w:right="105" w:firstLine="510"/>
              <w:jc w:val="both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78E7A" w14:textId="77777777" w:rsidR="00653287" w:rsidRPr="001F1129" w:rsidRDefault="00653287" w:rsidP="0065469C">
            <w:pPr>
              <w:tabs>
                <w:tab w:val="left" w:pos="851"/>
              </w:tabs>
              <w:spacing w:after="0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Ընդունվել է։ </w:t>
            </w:r>
          </w:p>
          <w:p w14:paraId="0DB19F5D" w14:textId="77777777" w:rsidR="00653287" w:rsidRPr="001F1129" w:rsidRDefault="00653287" w:rsidP="0065469C">
            <w:pPr>
              <w:tabs>
                <w:tab w:val="left" w:pos="851"/>
              </w:tabs>
              <w:spacing w:after="0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Ցանկը լրացվել է առաջարկվող տողերով։      </w:t>
            </w:r>
          </w:p>
          <w:p w14:paraId="723B595F" w14:textId="77777777" w:rsidR="00653287" w:rsidRPr="001F1129" w:rsidRDefault="00653287" w:rsidP="0065469C">
            <w:pPr>
              <w:tabs>
                <w:tab w:val="left" w:pos="851"/>
              </w:tabs>
              <w:spacing w:after="0" w:line="360" w:lineRule="auto"/>
              <w:ind w:left="165" w:right="224" w:firstLine="270"/>
              <w:jc w:val="both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653287" w:rsidRPr="00B419D5" w14:paraId="6353E0B6" w14:textId="77777777" w:rsidTr="0065469C">
        <w:trPr>
          <w:trHeight w:val="642"/>
          <w:tblCellSpacing w:w="0" w:type="dxa"/>
        </w:trPr>
        <w:tc>
          <w:tcPr>
            <w:tcW w:w="116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A5296F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lastRenderedPageBreak/>
              <w:t>ՀՀ բարձր տեխնոլոգիական արդյունաբերության նախարարություն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336FC7" w14:textId="77777777" w:rsidR="00653287" w:rsidRPr="00B419D5" w:rsidRDefault="00653287" w:rsidP="0065469C">
            <w:pPr>
              <w:spacing w:line="360" w:lineRule="auto"/>
              <w:jc w:val="center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  <w:t>19</w:t>
            </w:r>
            <w:r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ru-RU"/>
              </w:rPr>
              <w:t>.05.2023.</w:t>
            </w:r>
          </w:p>
        </w:tc>
      </w:tr>
      <w:tr w:rsidR="00653287" w:rsidRPr="00B419D5" w14:paraId="0C2294F2" w14:textId="77777777" w:rsidTr="0065469C">
        <w:trPr>
          <w:tblCellSpacing w:w="0" w:type="dxa"/>
        </w:trPr>
        <w:tc>
          <w:tcPr>
            <w:tcW w:w="116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08188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6D608F5" w14:textId="77777777" w:rsidR="00653287" w:rsidRPr="00B419D5" w:rsidRDefault="00653287" w:rsidP="0065469C">
            <w:pPr>
              <w:spacing w:line="360" w:lineRule="auto"/>
              <w:jc w:val="center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ru-RU"/>
              </w:rPr>
            </w:pPr>
            <w:r w:rsidRPr="00B419D5"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ru-RU"/>
              </w:rPr>
              <w:t>N 01/17.1/5089-2023</w:t>
            </w:r>
          </w:p>
        </w:tc>
      </w:tr>
      <w:tr w:rsidR="00653287" w:rsidRPr="001F1129" w14:paraId="2249114C" w14:textId="77777777" w:rsidTr="0065469C">
        <w:trPr>
          <w:tblCellSpacing w:w="0" w:type="dxa"/>
        </w:trPr>
        <w:tc>
          <w:tcPr>
            <w:tcW w:w="10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8B7CC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Օրենքի 6-րդ հոդվածի համաձայն</w:t>
            </w:r>
            <w:r w:rsidRPr="00B83B0F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B83B0F">
              <w:rPr>
                <w:rFonts w:ascii="GHEA Grapalat" w:hAnsi="GHEA Grapalat"/>
                <w:b/>
                <w:sz w:val="24"/>
                <w:lang w:val="hy-AM"/>
              </w:rPr>
              <w:t>հսկվող</w:t>
            </w:r>
            <w:proofErr w:type="spellEnd"/>
            <w:r w:rsidRPr="00B83B0F">
              <w:rPr>
                <w:rFonts w:ascii="GHEA Grapalat" w:hAnsi="GHEA Grapalat"/>
                <w:b/>
                <w:sz w:val="24"/>
                <w:lang w:val="hy-AM"/>
              </w:rPr>
              <w:t xml:space="preserve"> ապրանքների և </w:t>
            </w:r>
            <w:proofErr w:type="spellStart"/>
            <w:r w:rsidRPr="00B83B0F">
              <w:rPr>
                <w:rFonts w:ascii="GHEA Grapalat" w:hAnsi="GHEA Grapalat"/>
                <w:b/>
                <w:sz w:val="24"/>
                <w:lang w:val="hy-AM"/>
              </w:rPr>
              <w:t>հսկվող</w:t>
            </w:r>
            <w:proofErr w:type="spellEnd"/>
            <w:r w:rsidRPr="00B83B0F">
              <w:rPr>
                <w:rFonts w:ascii="GHEA Grapalat" w:hAnsi="GHEA Grapalat"/>
                <w:b/>
                <w:sz w:val="24"/>
                <w:lang w:val="hy-AM"/>
              </w:rPr>
              <w:t xml:space="preserve"> ոչ նյութական արժեքների ցանկերը</w:t>
            </w:r>
            <w:r w:rsidRPr="00B83B0F">
              <w:rPr>
                <w:rFonts w:ascii="GHEA Grapalat" w:hAnsi="GHEA Grapalat"/>
                <w:sz w:val="24"/>
                <w:lang w:val="hy-AM"/>
              </w:rPr>
              <w:t xml:space="preserve"> հաստատում է Հայաստանի Հանրապետության կառավարությունը: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A6FC335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Այս տեսանկյունից կարող ենք խնդիր ունենալ «Նորմատիվ իրավական ակտերի մասին» օրենքով նախատեսված լիազորող նորմերի հետ</w:t>
            </w:r>
            <w:r w:rsidRPr="00BB61CF">
              <w:rPr>
                <w:rFonts w:ascii="GHEA Grapalat" w:hAnsi="GHEA Grapalat"/>
                <w:sz w:val="24"/>
                <w:lang w:val="hy-AM"/>
              </w:rPr>
              <w:t>`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նկատի ունենալով, որ Օրենքով կառավարությունը հաստատում է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ապրանքների</w:t>
            </w:r>
            <w:r w:rsidRPr="00BB61CF">
              <w:rPr>
                <w:rFonts w:ascii="GHEA Grapalat" w:hAnsi="GHEA Grapalat"/>
                <w:sz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ինչպես նաև ոչ </w:t>
            </w: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նյութական արժեքների ցանկերը, մինչդեռ նախագծով նախատեսվում է հաստատել այն ապրանքների ցանկը, որոնք որոշակի վերափոխման արդյունքում կարող են հանդիսանալ Օրենքի իմաստով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: </w:t>
            </w:r>
          </w:p>
          <w:p w14:paraId="6CA0A7A3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Տվյալ դեպքում Օրենքով նման իրավասություն կառավարությանը վերապահված չէ:</w:t>
            </w:r>
          </w:p>
          <w:p w14:paraId="6A4BFAD1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Նախագծի 2-րդ կետով սահմանվում է, որ վերը նշված </w:t>
            </w:r>
            <w:r w:rsidRPr="001D3152">
              <w:rPr>
                <w:rFonts w:ascii="GHEA Grapalat" w:hAnsi="GHEA Grapalat"/>
                <w:sz w:val="24"/>
                <w:lang w:val="hy-AM"/>
              </w:rPr>
              <w:t xml:space="preserve">ապրանքների արտահանումը Հայաստանի Հանրապետությունից կամ դրանց տարանցիկ փոխադրումը, </w:t>
            </w:r>
            <w:r w:rsidRPr="00BF2460">
              <w:rPr>
                <w:rFonts w:ascii="GHEA Grapalat" w:hAnsi="GHEA Grapalat"/>
                <w:b/>
                <w:sz w:val="24"/>
                <w:lang w:val="hy-AM"/>
              </w:rPr>
              <w:t>անկախ այն հանգամանքից</w:t>
            </w:r>
            <w:r w:rsidRPr="001D315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D3152">
              <w:rPr>
                <w:rFonts w:ascii="GHEA Grapalat" w:hAnsi="GHEA Grapalat"/>
                <w:b/>
                <w:sz w:val="24"/>
                <w:lang w:val="hy-AM"/>
              </w:rPr>
              <w:t xml:space="preserve">տվյալ պահին հանդիսանում են </w:t>
            </w:r>
            <w:proofErr w:type="spellStart"/>
            <w:r w:rsidRPr="001D3152">
              <w:rPr>
                <w:rFonts w:ascii="GHEA Grapalat" w:hAnsi="GHEA Grapalat"/>
                <w:b/>
                <w:sz w:val="24"/>
                <w:lang w:val="hy-AM"/>
              </w:rPr>
              <w:t>հսկվող</w:t>
            </w:r>
            <w:proofErr w:type="spellEnd"/>
            <w:r w:rsidRPr="001D3152">
              <w:rPr>
                <w:rFonts w:ascii="GHEA Grapalat" w:hAnsi="GHEA Grapalat"/>
                <w:b/>
                <w:sz w:val="24"/>
                <w:lang w:val="hy-AM"/>
              </w:rPr>
              <w:t xml:space="preserve"> ապրանքներ թե ոչ</w:t>
            </w:r>
            <w:r w:rsidRPr="001D3152">
              <w:rPr>
                <w:rFonts w:ascii="GHEA Grapalat" w:hAnsi="GHEA Grapalat"/>
                <w:sz w:val="24"/>
                <w:lang w:val="hy-AM"/>
              </w:rPr>
              <w:t xml:space="preserve">, պետք է իրականացվեն </w:t>
            </w:r>
            <w:r>
              <w:rPr>
                <w:rFonts w:ascii="GHEA Grapalat" w:hAnsi="GHEA Grapalat"/>
                <w:sz w:val="24"/>
                <w:lang w:val="hy-AM"/>
              </w:rPr>
              <w:t>Օ</w:t>
            </w:r>
            <w:r w:rsidRPr="001D3152">
              <w:rPr>
                <w:rFonts w:ascii="GHEA Grapalat" w:hAnsi="GHEA Grapalat"/>
                <w:sz w:val="24"/>
                <w:lang w:val="hy-AM"/>
              </w:rPr>
              <w:t xml:space="preserve">րենքով և դրանից բխող այլ իրավական ակտերով սահմանված </w:t>
            </w:r>
            <w:proofErr w:type="spellStart"/>
            <w:r w:rsidRPr="001D3152">
              <w:rPr>
                <w:rFonts w:ascii="GHEA Grapalat" w:hAnsi="GHEA Grapalat"/>
                <w:sz w:val="24"/>
                <w:lang w:val="hy-AM"/>
              </w:rPr>
              <w:t>ընթացակարգերով</w:t>
            </w:r>
            <w:proofErr w:type="spellEnd"/>
            <w:r w:rsidRPr="001D3152">
              <w:rPr>
                <w:rFonts w:ascii="GHEA Grapalat" w:hAnsi="GHEA Grapalat"/>
                <w:sz w:val="24"/>
                <w:lang w:val="hy-AM"/>
              </w:rPr>
              <w:t xml:space="preserve"> տրամադրված թույլտվության հիման վրա:</w:t>
            </w:r>
          </w:p>
          <w:p w14:paraId="7FE225A0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Այս տեսանկյունից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ևս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կարող ենք խնդիր ունենալ Օրենքի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կարգավորումների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հետ</w:t>
            </w:r>
            <w:r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մասնավորապես Օրենքի 9-րդ հոդվածի 1-ին մասի համաձայն Օ</w:t>
            </w:r>
            <w:r w:rsidRPr="00BF2460">
              <w:rPr>
                <w:rFonts w:ascii="GHEA Grapalat" w:hAnsi="GHEA Grapalat"/>
                <w:sz w:val="24"/>
                <w:lang w:val="hy-AM"/>
              </w:rPr>
              <w:t xml:space="preserve">րենքով սահմանված կարգով </w:t>
            </w:r>
            <w:proofErr w:type="spellStart"/>
            <w:r w:rsidRPr="00BF2460"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 w:rsidRPr="00BF2460">
              <w:rPr>
                <w:rFonts w:ascii="GHEA Grapalat" w:hAnsi="GHEA Grapalat"/>
                <w:sz w:val="24"/>
                <w:lang w:val="hy-AM"/>
              </w:rPr>
              <w:t xml:space="preserve"> ապրանքների արտահանումը և </w:t>
            </w:r>
            <w:proofErr w:type="spellStart"/>
            <w:r w:rsidRPr="00BF2460"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 w:rsidRPr="00BF2460">
              <w:rPr>
                <w:rFonts w:ascii="GHEA Grapalat" w:hAnsi="GHEA Grapalat"/>
                <w:sz w:val="24"/>
                <w:lang w:val="hy-AM"/>
              </w:rPr>
              <w:t xml:space="preserve"> ոչ նյութական արժեքների փոխանցումն իրականացվում են լիազոր մարմնի տրամադրած մեկանգամյա, անհատական, ընդհանուր </w:t>
            </w:r>
            <w:proofErr w:type="spellStart"/>
            <w:r w:rsidRPr="00BF2460">
              <w:rPr>
                <w:rFonts w:ascii="GHEA Grapalat" w:hAnsi="GHEA Grapalat"/>
                <w:sz w:val="24"/>
                <w:lang w:val="hy-AM"/>
              </w:rPr>
              <w:t>թույլտվությունների</w:t>
            </w:r>
            <w:proofErr w:type="spellEnd"/>
            <w:r w:rsidRPr="00BF2460">
              <w:rPr>
                <w:rFonts w:ascii="GHEA Grapalat" w:hAnsi="GHEA Grapalat"/>
                <w:sz w:val="24"/>
                <w:lang w:val="hy-AM"/>
              </w:rPr>
              <w:t xml:space="preserve"> հիման վրա:</w:t>
            </w:r>
          </w:p>
          <w:p w14:paraId="21CA5513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Նշված հոդվածի բովանդակությունից բխում է, որ Օրենքում  թույլտվության տրամադրում նախատեսվել է միայն </w:t>
            </w:r>
            <w:proofErr w:type="spellStart"/>
            <w:r w:rsidRPr="00727DA7">
              <w:rPr>
                <w:rFonts w:ascii="GHEA Grapalat" w:hAnsi="GHEA Grapalat"/>
                <w:b/>
                <w:sz w:val="24"/>
                <w:lang w:val="hy-AM"/>
              </w:rPr>
              <w:t>հսկվող</w:t>
            </w:r>
            <w:proofErr w:type="spellEnd"/>
            <w:r w:rsidRPr="00727DA7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BF2460">
              <w:rPr>
                <w:rFonts w:ascii="GHEA Grapalat" w:hAnsi="GHEA Grapalat"/>
                <w:sz w:val="24"/>
                <w:lang w:val="hy-AM"/>
              </w:rPr>
              <w:t>ապրանքների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27DA7">
              <w:rPr>
                <w:rFonts w:ascii="GHEA Grapalat" w:hAnsi="GHEA Grapalat"/>
                <w:b/>
                <w:sz w:val="24"/>
                <w:lang w:val="hy-AM"/>
              </w:rPr>
              <w:t>արտահանման</w:t>
            </w:r>
            <w:r w:rsidRPr="00BB61CF">
              <w:rPr>
                <w:rFonts w:ascii="GHEA Grapalat" w:hAnsi="GHEA Grapalat"/>
                <w:b/>
                <w:sz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ինչպես նաև </w:t>
            </w:r>
            <w:proofErr w:type="spellStart"/>
            <w:r w:rsidRPr="00727DA7">
              <w:rPr>
                <w:rFonts w:ascii="GHEA Grapalat" w:hAnsi="GHEA Grapalat"/>
                <w:b/>
                <w:sz w:val="24"/>
                <w:lang w:val="hy-AM"/>
              </w:rPr>
              <w:t>հսկվող</w:t>
            </w:r>
            <w:proofErr w:type="spellEnd"/>
            <w:r w:rsidRPr="00727DA7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ոչ նյութական արժեքների </w:t>
            </w:r>
            <w:r w:rsidRPr="00727DA7">
              <w:rPr>
                <w:rFonts w:ascii="GHEA Grapalat" w:hAnsi="GHEA Grapalat"/>
                <w:b/>
                <w:sz w:val="24"/>
                <w:lang w:val="hy-AM"/>
              </w:rPr>
              <w:t>փոխանցման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համար:</w:t>
            </w:r>
          </w:p>
          <w:p w14:paraId="6A2E8DBF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Նախագծի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կարգավորումներից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ստացվում է, որ թույլտվություն տրամադրելու համար նշանակություն չի ունենալու ապրանքները համարվում են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 w:rsidRPr="00EA288B">
              <w:rPr>
                <w:rFonts w:ascii="GHEA Grapalat" w:hAnsi="GHEA Grapalat"/>
                <w:sz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թե ոչ՝ այսինքն կստեղծվի մի իրավիճակ, երբ ՀՀ կառավարության որոշմամբ թույլտվություն</w:t>
            </w:r>
            <w:r w:rsidRPr="000411D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ստանալու պահանջ կնախատեսվի այն ապրանքների համար, որոնք Օրենքի իմաստով չեն համարվի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, իսկ վերջիններիս համար Օրենքով չի պահանջվում թույլտվության տրամադրում: </w:t>
            </w:r>
          </w:p>
          <w:p w14:paraId="1700BC0B" w14:textId="77777777" w:rsidR="00653287" w:rsidRDefault="00653287" w:rsidP="0065469C">
            <w:pPr>
              <w:spacing w:after="0"/>
              <w:ind w:left="206" w:right="163"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Տվյալ դեպքում որոշակի հակասություն կառաջանա Օրենքի </w:t>
            </w:r>
            <w:proofErr w:type="spellStart"/>
            <w:r>
              <w:rPr>
                <w:rFonts w:ascii="GHEA Grapalat" w:hAnsi="GHEA Grapalat"/>
                <w:sz w:val="24"/>
                <w:lang w:val="hy-AM"/>
              </w:rPr>
              <w:t>կարգավորումների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հետ:</w:t>
            </w:r>
          </w:p>
          <w:p w14:paraId="123ABBCE" w14:textId="77777777" w:rsidR="00653287" w:rsidRPr="001F1129" w:rsidRDefault="00653287" w:rsidP="0065469C">
            <w:pPr>
              <w:spacing w:after="0"/>
              <w:ind w:left="206" w:right="163" w:firstLine="360"/>
              <w:jc w:val="both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Նշված հակասություններից խուսափելու նպատակով առաջարկում ենք հարցը կարգավորել Օրենքում, կատարելով համապատասխան փոփոխություններ, որից հետո ՀՀ կառավարության որոշմամբ ուղղակի սահմանել </w:t>
            </w:r>
            <w:r w:rsidRPr="00AE24F0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ազգային անվտանգության տեսանկյունից զգայուն այն ապրանքների ցանկը, </w:t>
            </w:r>
            <w:r w:rsidRPr="00925E4D">
              <w:rPr>
                <w:rFonts w:ascii="GHEA Grapalat" w:hAnsi="GHEA Grapalat"/>
                <w:sz w:val="24"/>
                <w:lang w:val="hy-AM"/>
              </w:rPr>
              <w:t xml:space="preserve">որոնք </w:t>
            </w:r>
            <w:r w:rsidRPr="00925E4D">
              <w:rPr>
                <w:rFonts w:ascii="GHEA Grapalat" w:hAnsi="GHEA Grapalat"/>
                <w:sz w:val="24"/>
                <w:lang w:val="hy-AM"/>
              </w:rPr>
              <w:lastRenderedPageBreak/>
              <w:t>որոշակի վերափոխման արդյունքում կարող են հանդիսանալ</w:t>
            </w:r>
            <w:r w:rsidRPr="00AE24F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Օրենքի </w:t>
            </w:r>
            <w:r w:rsidRPr="00AE24F0">
              <w:rPr>
                <w:rFonts w:ascii="GHEA Grapalat" w:hAnsi="GHEA Grapalat"/>
                <w:sz w:val="24"/>
                <w:lang w:val="hy-AM"/>
              </w:rPr>
              <w:t xml:space="preserve">իմաստով </w:t>
            </w:r>
            <w:proofErr w:type="spellStart"/>
            <w:r w:rsidRPr="00AE24F0">
              <w:rPr>
                <w:rFonts w:ascii="GHEA Grapalat" w:hAnsi="GHEA Grapalat"/>
                <w:sz w:val="24"/>
                <w:lang w:val="hy-AM"/>
              </w:rPr>
              <w:t>հսկվող</w:t>
            </w:r>
            <w:proofErr w:type="spellEnd"/>
            <w:r w:rsidRPr="00AE24F0">
              <w:rPr>
                <w:rFonts w:ascii="GHEA Grapalat" w:hAnsi="GHEA Grapalat"/>
                <w:sz w:val="24"/>
                <w:lang w:val="hy-AM"/>
              </w:rPr>
              <w:t xml:space="preserve"> ապրանքներ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37E16" w14:textId="77777777" w:rsidR="00653287" w:rsidRPr="001F1129" w:rsidRDefault="00653287" w:rsidP="0065469C">
            <w:pPr>
              <w:tabs>
                <w:tab w:val="left" w:pos="851"/>
              </w:tabs>
              <w:spacing w:after="0" w:line="360" w:lineRule="auto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 ի գիտություն։</w:t>
            </w:r>
          </w:p>
        </w:tc>
      </w:tr>
      <w:tr w:rsidR="00653287" w:rsidRPr="001F1129" w14:paraId="47507F4B" w14:textId="77777777" w:rsidTr="0065469C">
        <w:trPr>
          <w:trHeight w:val="804"/>
          <w:tblCellSpacing w:w="0" w:type="dxa"/>
        </w:trPr>
        <w:tc>
          <w:tcPr>
            <w:tcW w:w="116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295B76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lastRenderedPageBreak/>
              <w:t>ՀՀ արդարադատության նախարարություն</w:t>
            </w:r>
          </w:p>
          <w:p w14:paraId="15A6A951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BA4E09" w14:textId="77777777" w:rsidR="00653287" w:rsidRPr="001F1129" w:rsidRDefault="00653287" w:rsidP="0065469C">
            <w:pPr>
              <w:spacing w:line="360" w:lineRule="auto"/>
              <w:jc w:val="center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  <w:t>19.05.2023թ.</w:t>
            </w:r>
          </w:p>
        </w:tc>
      </w:tr>
      <w:tr w:rsidR="00653287" w:rsidRPr="001F1129" w14:paraId="47E4BEBC" w14:textId="77777777" w:rsidTr="0065469C">
        <w:trPr>
          <w:tblCellSpacing w:w="0" w:type="dxa"/>
        </w:trPr>
        <w:tc>
          <w:tcPr>
            <w:tcW w:w="116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039C8" w14:textId="77777777" w:rsidR="00653287" w:rsidRPr="001F1129" w:rsidRDefault="00653287" w:rsidP="0065469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325B02F" w14:textId="77777777" w:rsidR="00653287" w:rsidRPr="001F1129" w:rsidRDefault="00653287" w:rsidP="0065469C">
            <w:pPr>
              <w:spacing w:line="360" w:lineRule="auto"/>
              <w:jc w:val="right"/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</w:pPr>
            <w:r w:rsidRPr="001F1129">
              <w:rPr>
                <w:rFonts w:ascii="GHEA Grapalat" w:hAnsi="GHEA Grapalat" w:cs="Courier New"/>
                <w:b/>
                <w:color w:val="000000"/>
                <w:sz w:val="24"/>
                <w:szCs w:val="24"/>
                <w:lang w:val="hy-AM"/>
              </w:rPr>
              <w:t>N /27.2/24841-2023</w:t>
            </w:r>
          </w:p>
        </w:tc>
      </w:tr>
      <w:tr w:rsidR="00653287" w:rsidRPr="001F1129" w14:paraId="3C174284" w14:textId="77777777" w:rsidTr="0065469C">
        <w:trPr>
          <w:tblCellSpacing w:w="0" w:type="dxa"/>
        </w:trPr>
        <w:tc>
          <w:tcPr>
            <w:tcW w:w="10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0CF6" w14:textId="77777777" w:rsidR="00653287" w:rsidRPr="001F1129" w:rsidRDefault="00653287" w:rsidP="0065469C">
            <w:pPr>
              <w:spacing w:after="0" w:line="360" w:lineRule="auto"/>
              <w:ind w:left="120" w:right="165" w:firstLine="600"/>
              <w:jc w:val="both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«Հայաստանի Հանրապետությունից արտահանվող և Հայաստանի Հանրապետության տարածքով տարանցիկ փոխադրվող  զգայուն ապրանքների ցանկը հաստատելու մասին» Հայաստանի Հանրապետության կառավարության որոշման նախագիծն անհրաժեշտ է Հայաստանի Հանրապետության արդարադատության նախարարություն ներկայացնել Հայաստանի Հանրապետության կառավարության 2021 թվականի փետրվարի 25-ի «Հայաստանի Հանրապետության կառավարության աշխատակարգը հաստատելու մասին» 252-Լ որոշման 17-րդ կետի պահանջներին համապատասխան՝ նախագիծը համաձայնեցնելով շահագրգիռ մարմինների հետ: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C0AF7" w14:textId="77777777" w:rsidR="00653287" w:rsidRPr="001F1129" w:rsidRDefault="00653287" w:rsidP="0065469C">
            <w:pPr>
              <w:tabs>
                <w:tab w:val="left" w:pos="851"/>
              </w:tabs>
              <w:spacing w:after="0" w:line="360" w:lineRule="auto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  <w:p w14:paraId="289D7827" w14:textId="77777777" w:rsidR="00653287" w:rsidRPr="001F1129" w:rsidRDefault="00653287" w:rsidP="0065469C">
            <w:pPr>
              <w:tabs>
                <w:tab w:val="left" w:pos="851"/>
              </w:tabs>
              <w:spacing w:after="0" w:line="360" w:lineRule="auto"/>
              <w:ind w:left="165" w:right="224" w:firstLine="27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F1129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Ընդունվել է ի գիտություն։</w:t>
            </w:r>
          </w:p>
        </w:tc>
      </w:tr>
    </w:tbl>
    <w:p w14:paraId="635F8D54" w14:textId="77777777" w:rsidR="00653287" w:rsidRPr="001F1129" w:rsidRDefault="00653287" w:rsidP="00653287">
      <w:pPr>
        <w:rPr>
          <w:rFonts w:ascii="GHEA Grapalat" w:hAnsi="GHEA Grapalat"/>
          <w:sz w:val="24"/>
          <w:szCs w:val="24"/>
          <w:lang w:val="hy-AM"/>
        </w:rPr>
      </w:pPr>
    </w:p>
    <w:p w14:paraId="7042EAE9" w14:textId="77777777" w:rsidR="0077537C" w:rsidRPr="00653287" w:rsidRDefault="0077537C" w:rsidP="00653287">
      <w:bookmarkStart w:id="0" w:name="_GoBack"/>
      <w:bookmarkEnd w:id="0"/>
    </w:p>
    <w:sectPr w:rsidR="0077537C" w:rsidRPr="00653287" w:rsidSect="00AB5DE9">
      <w:pgSz w:w="15840" w:h="12240" w:orient="landscape"/>
      <w:pgMar w:top="63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C"/>
    <w:rsid w:val="0001401A"/>
    <w:rsid w:val="000771B2"/>
    <w:rsid w:val="000A558F"/>
    <w:rsid w:val="000B77C4"/>
    <w:rsid w:val="000E4CE3"/>
    <w:rsid w:val="0016145A"/>
    <w:rsid w:val="00187E7D"/>
    <w:rsid w:val="001C10EF"/>
    <w:rsid w:val="001F7097"/>
    <w:rsid w:val="00250194"/>
    <w:rsid w:val="0029229B"/>
    <w:rsid w:val="002E7393"/>
    <w:rsid w:val="00325023"/>
    <w:rsid w:val="00346784"/>
    <w:rsid w:val="0035157B"/>
    <w:rsid w:val="003560A8"/>
    <w:rsid w:val="003C37B7"/>
    <w:rsid w:val="003D24C4"/>
    <w:rsid w:val="00410CCB"/>
    <w:rsid w:val="00427809"/>
    <w:rsid w:val="00432674"/>
    <w:rsid w:val="004A60AC"/>
    <w:rsid w:val="004C3506"/>
    <w:rsid w:val="004E6FE6"/>
    <w:rsid w:val="004F38BA"/>
    <w:rsid w:val="00556951"/>
    <w:rsid w:val="00571130"/>
    <w:rsid w:val="005B2FFA"/>
    <w:rsid w:val="0063342E"/>
    <w:rsid w:val="00650B47"/>
    <w:rsid w:val="00653287"/>
    <w:rsid w:val="00671AFB"/>
    <w:rsid w:val="00675ED7"/>
    <w:rsid w:val="006D12C8"/>
    <w:rsid w:val="00732AC1"/>
    <w:rsid w:val="00756107"/>
    <w:rsid w:val="0077537C"/>
    <w:rsid w:val="00797E6E"/>
    <w:rsid w:val="007C4980"/>
    <w:rsid w:val="007F4B9F"/>
    <w:rsid w:val="008026CF"/>
    <w:rsid w:val="00855614"/>
    <w:rsid w:val="00894D99"/>
    <w:rsid w:val="00895C2C"/>
    <w:rsid w:val="008A2AE6"/>
    <w:rsid w:val="008B3C8F"/>
    <w:rsid w:val="008E3199"/>
    <w:rsid w:val="00973083"/>
    <w:rsid w:val="00985127"/>
    <w:rsid w:val="00A70EDF"/>
    <w:rsid w:val="00A958B9"/>
    <w:rsid w:val="00AA2650"/>
    <w:rsid w:val="00AA33F5"/>
    <w:rsid w:val="00B012CD"/>
    <w:rsid w:val="00B32572"/>
    <w:rsid w:val="00B74935"/>
    <w:rsid w:val="00BB438D"/>
    <w:rsid w:val="00BC55FB"/>
    <w:rsid w:val="00C01BFD"/>
    <w:rsid w:val="00C71103"/>
    <w:rsid w:val="00CB4CCE"/>
    <w:rsid w:val="00CC1AA1"/>
    <w:rsid w:val="00CC546A"/>
    <w:rsid w:val="00CC688F"/>
    <w:rsid w:val="00D06D7A"/>
    <w:rsid w:val="00D34725"/>
    <w:rsid w:val="00DB6023"/>
    <w:rsid w:val="00DE1760"/>
    <w:rsid w:val="00E10EE8"/>
    <w:rsid w:val="00E36BA2"/>
    <w:rsid w:val="00E47821"/>
    <w:rsid w:val="00E54A56"/>
    <w:rsid w:val="00E652A6"/>
    <w:rsid w:val="00E90BCC"/>
    <w:rsid w:val="00EA0712"/>
    <w:rsid w:val="00FE2B40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A1"/>
    <w:pPr>
      <w:spacing w:after="160" w:line="240" w:lineRule="auto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A1"/>
    <w:rPr>
      <w:kern w:val="2"/>
      <w:sz w:val="20"/>
      <w:szCs w:val="20"/>
    </w:rPr>
  </w:style>
  <w:style w:type="character" w:styleId="Strong">
    <w:name w:val="Strong"/>
    <w:basedOn w:val="DefaultParagraphFont"/>
    <w:uiPriority w:val="22"/>
    <w:qFormat/>
    <w:rsid w:val="00E9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F8EE-E47F-4EE0-B555-66BDA664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Ani Mkrtchyan</cp:lastModifiedBy>
  <cp:revision>20</cp:revision>
  <dcterms:created xsi:type="dcterms:W3CDTF">2023-01-16T06:38:00Z</dcterms:created>
  <dcterms:modified xsi:type="dcterms:W3CDTF">2023-05-25T05:55:00Z</dcterms:modified>
</cp:coreProperties>
</file>