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1B5" w:rsidRDefault="00FF51B5" w:rsidP="00FF51B5">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FF51B5" w:rsidRDefault="00FF51B5" w:rsidP="00FF51B5">
      <w:pPr>
        <w:tabs>
          <w:tab w:val="left" w:pos="1080"/>
        </w:tabs>
        <w:spacing w:line="360" w:lineRule="auto"/>
        <w:ind w:firstLine="720"/>
        <w:jc w:val="center"/>
        <w:rPr>
          <w:rFonts w:ascii="GHEA Grapalat" w:hAnsi="GHEA Grapalat" w:cs="Times New Roman"/>
          <w:b/>
          <w:bCs/>
          <w:sz w:val="24"/>
          <w:szCs w:val="24"/>
          <w:lang w:val="hy-AM"/>
        </w:rPr>
      </w:pPr>
      <w:r>
        <w:rPr>
          <w:rFonts w:ascii="GHEA Grapalat" w:hAnsi="GHEA Grapalat"/>
          <w:b/>
          <w:sz w:val="24"/>
          <w:szCs w:val="24"/>
          <w:lang w:val="hy-AM"/>
        </w:rPr>
        <w:t xml:space="preserve"> «ՀԱՅԱՍՏԱՆԻ ՀԱՆՐԱՊԵՏՈՒԹՅԱՆ ԿԱՌԱՎԱՐՈՒԹՅԱՆ 2012 ԹՎԱԿԱՆԻ ՕԳՈՍՏՈՍԻ 23-Ի N 1081-Ն ՈՐՈՇՄԱՆ ՄԵՋ ԼՐԱՑՈՒՄՆԵՐ ԵՎ ՓՈՓՈԽՈՒԹՅՈՒՆՆԵՐ ԿԱՏԱՐԵԼՈՒ ՄԱՍԻՆ» ԿԱՌԱՎԱՐՈՒԹՅԱՆ ՈՐՈՇՄԱՆ </w:t>
      </w:r>
      <w:r>
        <w:rPr>
          <w:rStyle w:val="Strong"/>
          <w:rFonts w:ascii="GHEA Grapalat" w:hAnsi="GHEA Grapalat"/>
          <w:sz w:val="24"/>
          <w:szCs w:val="24"/>
          <w:lang w:val="hy-AM"/>
        </w:rPr>
        <w:t xml:space="preserve">ՆԱԽԱԳԾԻ </w:t>
      </w:r>
      <w:r>
        <w:rPr>
          <w:rFonts w:ascii="GHEA Grapalat" w:hAnsi="GHEA Grapalat" w:cs="Sylfaen"/>
          <w:b/>
          <w:bCs/>
          <w:sz w:val="24"/>
          <w:szCs w:val="24"/>
          <w:lang w:val="hy-AM"/>
        </w:rPr>
        <w:t>ԿԱՊԱԿՑՈՒԹՅԱՄԲ</w:t>
      </w:r>
      <w:r>
        <w:rPr>
          <w:rFonts w:ascii="GHEA Grapalat" w:hAnsi="GHEA Grapalat"/>
          <w:b/>
          <w:bCs/>
          <w:sz w:val="24"/>
          <w:szCs w:val="24"/>
          <w:lang w:val="hy-AM"/>
        </w:rPr>
        <w:t xml:space="preserve"> </w:t>
      </w:r>
      <w:r>
        <w:rPr>
          <w:rFonts w:ascii="GHEA Grapalat" w:hAnsi="GHEA Grapalat" w:cs="Sylfaen"/>
          <w:b/>
          <w:bCs/>
          <w:sz w:val="24"/>
          <w:szCs w:val="24"/>
          <w:lang w:val="hy-AM"/>
        </w:rPr>
        <w:t>ՇԱՀԱԳՐԳԻՌ</w:t>
      </w:r>
      <w:r>
        <w:rPr>
          <w:rFonts w:ascii="GHEA Grapalat" w:hAnsi="GHEA Grapalat"/>
          <w:b/>
          <w:bCs/>
          <w:sz w:val="24"/>
          <w:szCs w:val="24"/>
          <w:lang w:val="hy-AM"/>
        </w:rPr>
        <w:t xml:space="preserve"> </w:t>
      </w:r>
      <w:r>
        <w:rPr>
          <w:rFonts w:ascii="GHEA Grapalat" w:hAnsi="GHEA Grapalat" w:cs="Sylfaen"/>
          <w:b/>
          <w:bCs/>
          <w:sz w:val="24"/>
          <w:szCs w:val="24"/>
          <w:lang w:val="hy-AM"/>
        </w:rPr>
        <w:t>ՆԱԽԱՐԱՐՈՒԹՅՈՒՆՆԵՐԻ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ԱՌԱՐԿՈՒԹՅՈՒՆՆԵՐԻ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ԵՎ</w:t>
      </w:r>
      <w:r>
        <w:rPr>
          <w:rFonts w:ascii="GHEA Grapalat" w:hAnsi="GHEA Grapalat"/>
          <w:b/>
          <w:bCs/>
          <w:sz w:val="24"/>
          <w:szCs w:val="24"/>
          <w:lang w:val="hy-AM"/>
        </w:rPr>
        <w:t xml:space="preserve"> </w:t>
      </w:r>
      <w:r>
        <w:rPr>
          <w:rFonts w:ascii="GHEA Grapalat" w:hAnsi="GHEA Grapalat" w:cs="Sylfaen"/>
          <w:b/>
          <w:bCs/>
          <w:sz w:val="24"/>
          <w:szCs w:val="24"/>
          <w:lang w:val="hy-AM"/>
        </w:rPr>
        <w:t>ԱՌԱՋԱՐԿՈՒԹՅՈՒՆՆԵՐԻ</w:t>
      </w:r>
      <w:r>
        <w:rPr>
          <w:rFonts w:ascii="GHEA Grapalat" w:hAnsi="GHEA Grapalat"/>
          <w:b/>
          <w:bCs/>
          <w:sz w:val="24"/>
          <w:szCs w:val="24"/>
          <w:lang w:val="hy-AM"/>
        </w:rPr>
        <w:t xml:space="preserve"> </w:t>
      </w:r>
    </w:p>
    <w:tbl>
      <w:tblPr>
        <w:tblStyle w:val="TableGrid"/>
        <w:tblW w:w="14485" w:type="dxa"/>
        <w:jc w:val="center"/>
        <w:tblLook w:val="04A0" w:firstRow="1" w:lastRow="0" w:firstColumn="1" w:lastColumn="0" w:noHBand="0" w:noVBand="1"/>
      </w:tblPr>
      <w:tblGrid>
        <w:gridCol w:w="8455"/>
        <w:gridCol w:w="6030"/>
      </w:tblGrid>
      <w:tr w:rsidR="00FF51B5" w:rsidTr="00FF51B5">
        <w:trPr>
          <w:trHeight w:val="435"/>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0"/>
                <w:numId w:val="15"/>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Ֆինանսների նախարարություն   </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jc w:val="center"/>
              <w:rPr>
                <w:rFonts w:ascii="GHEA Grapalat" w:hAnsi="GHEA Grapalat"/>
                <w:sz w:val="24"/>
                <w:szCs w:val="24"/>
                <w:lang w:val="hy-AM"/>
              </w:rPr>
            </w:pPr>
            <w:r>
              <w:rPr>
                <w:rFonts w:ascii="GHEA Grapalat" w:hAnsi="GHEA Grapalat"/>
                <w:sz w:val="24"/>
                <w:szCs w:val="24"/>
                <w:lang w:val="hy-AM"/>
              </w:rPr>
              <w:t>28.03.2023</w:t>
            </w:r>
          </w:p>
          <w:p w:rsidR="00FF51B5" w:rsidRDefault="00FF51B5">
            <w:pPr>
              <w:spacing w:line="360" w:lineRule="auto"/>
              <w:jc w:val="center"/>
              <w:rPr>
                <w:rFonts w:ascii="GHEA Grapalat" w:hAnsi="GHEA Grapalat"/>
                <w:sz w:val="24"/>
                <w:szCs w:val="24"/>
              </w:rPr>
            </w:pPr>
            <w:r>
              <w:rPr>
                <w:rFonts w:ascii="GHEA Grapalat" w:hAnsi="GHEA Grapalat"/>
                <w:sz w:val="24"/>
                <w:szCs w:val="24"/>
                <w:lang w:val="hy-AM"/>
              </w:rPr>
              <w:t>01/34-2/5882-2023</w:t>
            </w:r>
          </w:p>
        </w:tc>
      </w:tr>
      <w:tr w:rsid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contextualSpacing/>
              <w:jc w:val="both"/>
              <w:rPr>
                <w:rFonts w:ascii="GHEA Grapalat" w:hAnsi="GHEA Grapalat"/>
                <w:sz w:val="24"/>
                <w:szCs w:val="24"/>
                <w:lang w:val="hy-AM"/>
              </w:rPr>
            </w:pPr>
            <w:r>
              <w:rPr>
                <w:rFonts w:ascii="GHEA Grapalat" w:eastAsia="Times New Roman" w:hAnsi="GHEA Grapalat" w:cs="Times New Roman"/>
                <w:sz w:val="24"/>
                <w:szCs w:val="24"/>
                <w:lang w:val="hy-AM"/>
              </w:rPr>
              <w:t>Ուսումնասիրելով Ձեր 16.03.2023թ. N ՆՄ/ԱԳ-1-3/6190-2023 գրությամբ ներկայացված «Հայաստանի Հանրապետության կառավարության 2012 թվականի օգոստոսի 23-ի N</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1081-</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Ն որոշման մեջ լրացումներ և փոփոխություններ կատարելու մասին» ՀՀ կառավարության որոշման նախագիծը հայտնում ենք, որ մեր իրավասությունների շրջանակներում առարկություններ չունենք:</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rPr>
                <w:rFonts w:ascii="GHEA Grapalat" w:hAnsi="GHEA Grapalat"/>
                <w:sz w:val="24"/>
                <w:szCs w:val="24"/>
                <w:lang w:val="hy-AM"/>
              </w:rPr>
            </w:pPr>
            <w:r>
              <w:rPr>
                <w:rFonts w:ascii="GHEA Grapalat" w:hAnsi="GHEA Grapalat"/>
                <w:color w:val="000000"/>
                <w:sz w:val="24"/>
                <w:szCs w:val="24"/>
                <w:shd w:val="clear" w:color="auto" w:fill="FFFFFF"/>
                <w:lang w:val="hy-AM"/>
              </w:rPr>
              <w:t>Ընդունվել է ի գիտություն։</w:t>
            </w:r>
          </w:p>
        </w:tc>
      </w:tr>
      <w:tr w:rsid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0"/>
                <w:numId w:val="15"/>
              </w:numPr>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Արդարադատության նախարարություն</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14.04.2023</w:t>
            </w:r>
          </w:p>
          <w:p w:rsidR="00FF51B5" w:rsidRDefault="00FF51B5">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/27.3/18796-2023</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contextualSpacing/>
              <w:jc w:val="both"/>
              <w:rPr>
                <w:rFonts w:ascii="GHEA Grapalat" w:eastAsia="Times New Roman" w:hAnsi="GHEA Grapalat" w:cs="Times New Roman"/>
                <w:sz w:val="24"/>
                <w:szCs w:val="24"/>
                <w:lang w:val="hy-AM"/>
              </w:rPr>
            </w:pPr>
            <w:r>
              <w:rPr>
                <w:rFonts w:ascii="GHEA Grapalat" w:hAnsi="GHEA Grapalat" w:cs="Sylfaen"/>
                <w:color w:val="000000" w:themeColor="text1"/>
                <w:sz w:val="24"/>
                <w:szCs w:val="24"/>
              </w:rPr>
              <w:t>1. «Հայաստանի Հանրապետության կառավարության 2012 թվականի օգոստոսի 23-ի «Պետական կենսաթոշակային համակարգի տվյալների շտեմարանը վարելու կարգը հաստատելու մասին» N 1081-Ն որոշման մեջ լրացումներ և փոփոխություններ կատարելու մասին» Հայաստանի Հանրապետության կառավարության որոշման նախագծի (այսուհետ՝ Նախագիծ) 1-ին կետի 1-ին ենթակետում անհրաժեշտ է հստակ նշել այն կետերը, որոնց մեջ նախատեսվում է կատարել համապատասխան փոփոխությունը:</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Առաջարկությունն ընդունվել է։ </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1-ին կետի 1-ին ենթակետում հստակ նշվել են այն կետերը, որոնց մեջ նախատեսվում է կատարել փոփոխություն։ </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3.Նախագծի 1-ին կետի 2-րդ ենթակետով նախատեսվում է Հայաստանի Հանրապետության կառավարության 2012 թվականի օգոստոսի 23-ի N 1081-Ն որոշման հավելվածի (այսուհետ՝ Հավելված) 2-րդ կետի 1-ին ենթակետը լրացնել «, պատվովճար, ամենամսյա պարգևավճար, ծերության նպաստ, հաշմանդամության նպաստ, կերակրողին կորցնելու դեպքում նպաստ, վնասի փոխհատուցման գումարներ (այսուհետ՝ կենսաթոշակ)» բառերով: </w:t>
            </w:r>
          </w:p>
          <w:p w:rsidR="00FF51B5" w:rsidRDefault="00FF51B5">
            <w:pPr>
              <w:spacing w:line="360" w:lineRule="auto"/>
              <w:jc w:val="both"/>
              <w:rPr>
                <w:rFonts w:ascii="GHEA Grapalat" w:eastAsia="Times New Roman" w:hAnsi="GHEA Grapalat" w:cs="Times New Roman"/>
                <w:sz w:val="24"/>
                <w:szCs w:val="24"/>
                <w:lang w:val="hy-AM"/>
              </w:rPr>
            </w:pPr>
            <w:r>
              <w:rPr>
                <w:rFonts w:ascii="GHEA Grapalat" w:hAnsi="GHEA Grapalat" w:cs="Sylfaen"/>
                <w:color w:val="000000" w:themeColor="text1"/>
                <w:sz w:val="24"/>
                <w:szCs w:val="24"/>
                <w:lang w:val="hy-AM"/>
              </w:rPr>
              <w:t xml:space="preserve">Գտնում ենք, որ Նախագծի 1-ին կետի 2-րդ ենթակետով նախատեսվող կարգավորումը խնդրահարույց է, քանի որ </w:t>
            </w:r>
            <w:r>
              <w:rPr>
                <w:rFonts w:ascii="GHEA Grapalat" w:hAnsi="GHEA Grapalat" w:cs="Sylfaen"/>
                <w:b/>
                <w:color w:val="000000" w:themeColor="text1"/>
                <w:sz w:val="24"/>
                <w:szCs w:val="24"/>
                <w:lang w:val="hy-AM"/>
              </w:rPr>
              <w:t xml:space="preserve">պատվովճարի, ամենամսյա պարգևավճարի, ծերության նպաստի, հաշմանդամության նպաստի, կերակրողին կորցնելու դեպքում նպաստի, վնասի փոխհատուցման գումարների </w:t>
            </w:r>
            <w:r>
              <w:rPr>
                <w:rFonts w:ascii="GHEA Grapalat" w:hAnsi="GHEA Grapalat" w:cs="Sylfaen"/>
                <w:color w:val="000000" w:themeColor="text1"/>
                <w:sz w:val="24"/>
                <w:szCs w:val="24"/>
                <w:lang w:val="hy-AM"/>
              </w:rPr>
              <w:t xml:space="preserve">հետ կապված հարաբերությունները դուրս են Հայաստանի Հանրապետության կառավարության 2012 թվականի օգոստոսի 23-ի «Պետական կենսաթոշակային համակարգի տվյալների շտեմարանը վարելու կարգը հաստատելու մասին» N 1081-Ն որոշման (այսուհետ՝ Որոշում) կարգավորման առարկայի շրջանակից: Հիշյալ Որոշման Հավելվածի 1-ին կետի համաձայն՝ կարգով կարգավորվում են «Պետական կենսաթոշակների մասին» Հայաստանի Հանրապետության օրենքով (այսուհետ` օրենք) սահմանված` պետական կենսաթոշակային համակարգի տվյալների շտեմարանը (այսուհետ` շտեմարան) վարելու հետ կապված հարաբերությունները: </w:t>
            </w:r>
          </w:p>
          <w:p w:rsidR="00FF51B5" w:rsidRDefault="00FF51B5">
            <w:pPr>
              <w:spacing w:line="360" w:lineRule="auto"/>
              <w:contextualSpacing/>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Վերոգրյալից ելնելով, գտնում ենք, որ Նախագծի 1-ին կետի 2-րդ ենթակետով նախատեսվող լրացումը կատարելու համար՝ անհրաժեշտ է համապատասխան փոփոխություն կատարել Որոշման մեջ և Հավելվածում: </w:t>
            </w:r>
          </w:p>
          <w:p w:rsidR="00FF51B5" w:rsidRDefault="00FF51B5">
            <w:pPr>
              <w:spacing w:line="360" w:lineRule="auto"/>
              <w:contextualSpacing/>
              <w:jc w:val="both"/>
              <w:rPr>
                <w:rFonts w:ascii="GHEA Grapalat" w:eastAsia="Times New Roman" w:hAnsi="GHEA Grapalat" w:cs="Times New Roman"/>
                <w:sz w:val="24"/>
                <w:szCs w:val="24"/>
                <w:lang w:val="hy-AM"/>
              </w:rPr>
            </w:pPr>
            <w:r>
              <w:rPr>
                <w:rFonts w:ascii="GHEA Grapalat" w:hAnsi="GHEA Grapalat" w:cs="Sylfaen"/>
                <w:color w:val="000000" w:themeColor="text1"/>
                <w:sz w:val="24"/>
                <w:szCs w:val="24"/>
                <w:lang w:val="hy-AM"/>
              </w:rPr>
              <w:t>Միևնույն ժամանակ, առաջարկում ենք «(այսուհետ՝ կենսաթոշակ)» բառերը փոխարինել  «(այսուհետ՝ կենսաթոշակ, նպաստ)» բառերով:</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 մասնակիորեն։</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Առաջարկը քննարկելիս հարկ է նկատի ունենալ, որ «Պետական կենսաթոշակների մասին» օրենքի 47-րդ հոդվածի 2-րդ մասի համաձայն՝  Շտեմարանը ներառում է նաև կենսաթոշակ նշանակելու օրը, ամիսը, տարին, կենսաթոշակի չափը, ինչպես նաև կենսաթոշակառուներին վերաբերող` Կառավարության սահմանած տվյալները: Կառավարության 2012 թվականի օգոստոսի 23-ի N 1081-Ն որոշմամբ (այսուհետ՝ Որոշում) հաստատված է պետական կենսաթոշակային համակարգի տվյալների շտեմարանը վարելու կարգը։ </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Այս տեսակետից Կառավարության 2014 թվականի հունիսի 26-ի թիվ 635-Ն որոշման N 1 հավելվածով հաստատված կարգի 9-րդ, 10-րդ, 14-րդ, 31.3-րդ, 48-րդ, 50-րդ 51-րդ կետերով, ինչպես նաև Կառավարության 2021 թվականի փետրվարի 4-ի թիվ 141-Ն որոշման հավելվածով հաստատված ցանկի 32-րդ կետով նախատեսված են շտեմարան մուտքագրվող տվյալները՝ ծերության, հաշմանդամության, կերակրողին կորցնելու դեպքում նպաստների մասով, ինչպես նաև պարգևավճարների մասով։</w:t>
            </w:r>
          </w:p>
          <w:p w:rsidR="00FF51B5" w:rsidRDefault="00FF51B5">
            <w:pPr>
              <w:spacing w:line="360" w:lineRule="auto"/>
              <w:jc w:val="both"/>
              <w:rPr>
                <w:rFonts w:ascii="GHEA Grapalat" w:hAnsi="GHEA Grapalat"/>
                <w:color w:val="000000"/>
                <w:sz w:val="24"/>
                <w:szCs w:val="24"/>
                <w:lang w:val="hy-AM"/>
              </w:rPr>
            </w:pPr>
            <w:r>
              <w:rPr>
                <w:rFonts w:ascii="GHEA Grapalat" w:hAnsi="GHEA Grapalat"/>
                <w:color w:val="000000"/>
                <w:sz w:val="24"/>
                <w:szCs w:val="24"/>
                <w:shd w:val="clear" w:color="auto" w:fill="FFFFFF"/>
                <w:lang w:val="hy-AM"/>
              </w:rPr>
              <w:t xml:space="preserve">ՀՀ կառավարության 2011 թվականի մայիսի 5-ի N 670-Ն որոշմամբ սահմանված է կենսաթոշակը, պատվովճարը, ամենամսյա պարգևավճարը, ծերության նպաստը, հաշմանդամության նպաստը, կերակրողին կորցնելու դեպքում նպաստը, վնասի փոխհատուցման գումարները վճարելու կարգը՝ պետական կենսաթոշակային համակարգի տվյալների շտեմարանի տվյալների հիման վրա։ </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contextualSpacing/>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3. Նախագծի 1-ին կետի 5-րդ ենթակետով նախատեսվում է Որոշման 13-րդ կետից հանել «էլեկտրոնային պատճենը» բառերը: </w:t>
            </w:r>
          </w:p>
          <w:p w:rsidR="00FF51B5" w:rsidRDefault="00FF51B5">
            <w:pPr>
              <w:spacing w:line="360" w:lineRule="auto"/>
              <w:contextualSpacing/>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Սույն դեպքում, հաշվի առնելով Նախագծի 1-ին կետի 1-ին ենթակետի կարգավորումը, համաձայն որի նախատեսվում է Որոշման հավելվածում «էլեկտրոնային պատճենը» բառերը և դրանց հոլովաձևերը փոխարինել «լուսապատճեններ» բառով և դրա հոլովաձևերով, ինչպես նաև հիմք ընդունելով այն հանգամանքը, որ «էլեկտրոնային պատճենը» բառերը հանելու պարագայում Որոշման 15-րդ կետն իմաստային առումով կդառնա թերի՝ գտնում ենք, որ նշված կարգավորման անհրաժեշտությունը բացակայում է: </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 մասնակիորեն։</w:t>
            </w:r>
          </w:p>
          <w:p w:rsidR="00FF51B5" w:rsidRDefault="00FF51B5">
            <w:pPr>
              <w:spacing w:line="360" w:lineRule="auto"/>
              <w:jc w:val="both"/>
              <w:rPr>
                <w:rFonts w:ascii="GHEA Grapalat" w:hAnsi="GHEA Grapalat" w:cs="Sylfaen"/>
                <w:color w:val="000000" w:themeColor="text1"/>
                <w:sz w:val="24"/>
                <w:szCs w:val="24"/>
                <w:lang w:val="hy-AM"/>
              </w:rPr>
            </w:pPr>
            <w:r>
              <w:rPr>
                <w:rFonts w:ascii="GHEA Grapalat" w:hAnsi="GHEA Grapalat"/>
                <w:color w:val="000000"/>
                <w:sz w:val="24"/>
                <w:szCs w:val="24"/>
                <w:shd w:val="clear" w:color="auto" w:fill="FFFFFF"/>
                <w:lang w:val="hy-AM"/>
              </w:rPr>
              <w:t xml:space="preserve">Լրամշակված նախագծի 1-ին կետի 1-ին ենթակետով հստակեցվել են (առանց </w:t>
            </w:r>
            <w:r>
              <w:rPr>
                <w:rFonts w:ascii="GHEA Grapalat" w:hAnsi="GHEA Grapalat"/>
                <w:color w:val="000000"/>
                <w:sz w:val="24"/>
                <w:szCs w:val="24"/>
                <w:lang w:val="hy-AM"/>
              </w:rPr>
              <w:t>13-րդ կետին հղում կատարելու</w:t>
            </w:r>
            <w:r>
              <w:rPr>
                <w:rFonts w:ascii="GHEA Grapalat" w:hAnsi="GHEA Grapalat"/>
                <w:color w:val="000000"/>
                <w:sz w:val="24"/>
                <w:szCs w:val="24"/>
                <w:shd w:val="clear" w:color="auto" w:fill="FFFFFF"/>
                <w:lang w:val="hy-AM"/>
              </w:rPr>
              <w:t xml:space="preserve">) Որոշման այն դրույթները, որտեղ </w:t>
            </w:r>
            <w:r>
              <w:rPr>
                <w:rFonts w:ascii="GHEA Grapalat" w:hAnsi="GHEA Grapalat" w:cs="Sylfaen"/>
                <w:color w:val="000000" w:themeColor="text1"/>
                <w:sz w:val="24"/>
                <w:szCs w:val="24"/>
                <w:lang w:val="hy-AM"/>
              </w:rPr>
              <w:t xml:space="preserve">«էլեկտրոնային պատճենը» բառերը փոխարինվում է «լուսապատճեններ» բառով։ </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s="Sylfaen"/>
                <w:color w:val="000000" w:themeColor="text1"/>
                <w:sz w:val="24"/>
                <w:szCs w:val="24"/>
                <w:lang w:val="hy-AM"/>
              </w:rPr>
              <w:t xml:space="preserve"> </w:t>
            </w:r>
            <w:r>
              <w:rPr>
                <w:rFonts w:ascii="GHEA Grapalat" w:hAnsi="GHEA Grapalat"/>
                <w:color w:val="000000"/>
                <w:sz w:val="24"/>
                <w:szCs w:val="24"/>
                <w:shd w:val="clear" w:color="auto" w:fill="FFFFFF"/>
                <w:lang w:val="hy-AM"/>
              </w:rPr>
              <w:t xml:space="preserve">Այս դեպքում </w:t>
            </w:r>
            <w:r>
              <w:rPr>
                <w:rFonts w:ascii="GHEA Grapalat" w:hAnsi="GHEA Grapalat" w:cs="Sylfaen"/>
                <w:color w:val="000000" w:themeColor="text1"/>
                <w:sz w:val="24"/>
                <w:szCs w:val="24"/>
                <w:lang w:val="hy-AM"/>
              </w:rPr>
              <w:t>Նախագծի 1-ին կետի 5-րդ ենթակետով առաջարկվող փոփոխությունը խնդրահարույց չէ։</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Ինչ վերաբերում է Որոշման 15-րդ կետին, ապա հարկ է նկատի ունենալ, որ նշված դրույթով սահմանված է ինքնաշխատ եղանակով շտեմարանում ներառվող տեղեկատվությունը։ Այս կետով սահմանված կարգովորումները որևէ առնչություն չունեն կենսաթոշակի էլեկտրոնային գործին կցվող բնօրինակ փաստաթղթերի լուսապատճենների հետ։</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contextualSpacing/>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4. Նախագծի 1-ին կետի 6-րդ ենթակետի ա. պարբերության «2-րդ և 15-րդ կետերի 1-ին ենթակետերից» բառերն անհրաժեշտ է փոխարինել «2-րդ ենթակետի և 15-րդ կետի 1-ին ենթակետից» բառերով, իսկ նույն կետի բ. պարբերության «և» շաղկապից առաջ՝ լրացնել «5-րդ» բառը:</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Առաջարկությունն ընդունվել է։ </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Համապատասխան փոփոխությունները կատարվել են։ </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1-ին կետի 6-րդ ենթակետում </w:t>
            </w:r>
            <w:r>
              <w:rPr>
                <w:rFonts w:ascii="GHEA Grapalat" w:hAnsi="GHEA Grapalat" w:cs="Sylfaen"/>
                <w:color w:val="000000" w:themeColor="text1"/>
                <w:sz w:val="24"/>
                <w:szCs w:val="24"/>
                <w:lang w:val="hy-AM"/>
              </w:rPr>
              <w:t>«2-րդ և 15-րդ կետերի 1-ին ենթակետերից» բառերը փոխարինվել է «</w:t>
            </w:r>
            <w:r>
              <w:rPr>
                <w:rFonts w:ascii="GHEA Grapalat" w:hAnsi="GHEA Grapalat"/>
                <w:color w:val="000000"/>
                <w:sz w:val="24"/>
                <w:szCs w:val="24"/>
                <w:lang w:val="hy-AM"/>
              </w:rPr>
              <w:t>2-րդ ենթակետի և 15-րդ կետի          1-ին ենթակետից</w:t>
            </w:r>
            <w:r>
              <w:rPr>
                <w:rFonts w:ascii="GHEA Grapalat" w:hAnsi="GHEA Grapalat" w:cs="Sylfaen"/>
                <w:color w:val="000000" w:themeColor="text1"/>
                <w:sz w:val="24"/>
                <w:szCs w:val="24"/>
                <w:lang w:val="hy-AM"/>
              </w:rPr>
              <w:t>» բառերով, իսկ նույն կետի «բ» պարբերության «և» շաղկապից առաջ լրացվել է «5-րդ» բառը։</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contextualSpacing/>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5. Նախագծի 1-ին կետի 6-րդ ենթակետի գ. պարբերությամբ նոր խմբագրությամբ շարադրվող 5-րդ ենթակետի դ. պարբերության «հաշմանդամ անձ» բառերն անհրաժեշտ է փոխարինել «հաշմանդամություն ունեցող անձ» բառերով:</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Առաջարկությունն ընդունվել է։ </w:t>
            </w:r>
          </w:p>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Համապատասխան փոփոխությունը կատարվել է։</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w:t>
            </w:r>
            <w:r>
              <w:rPr>
                <w:rFonts w:ascii="GHEA Grapalat" w:hAnsi="GHEA Grapalat" w:cs="Sylfaen"/>
                <w:color w:val="000000" w:themeColor="text1"/>
                <w:sz w:val="24"/>
                <w:szCs w:val="24"/>
                <w:lang w:val="hy-AM"/>
              </w:rPr>
              <w:t xml:space="preserve">1-ին կետի 6-րդ ենթակետի «գ» պարբերությամբ նոր խմբագրությամբ շարադրվող 5-րդ ենթակետի «դ» պարբերության «հաշմանդամ անձ» բառերը փոխարինվել է  «հաշմանդամություն ունեցող անձ» բառերով: </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6. Նախագծի 1-ին կետի 11-րդ ենթակետի ա. պարբերության «(բժշկասոցիալական փարձաքննության մարմնից)» բառերն առաջարկում ենք փոխարինել «(բժշկասոցիալական փարձաքննության ոլորտում իրականացնող իրավասու պետական մարմնից)» բառերով՝ հաշվի առնելով Հայաստանի Հանրապետության կառավարության 2006 թվականի մարտի 2-ի N 276-Ն որոշման մեջ կիրառվող հասկացությունները:  </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Նախագծի 1-ին կետի 11-րդ ենթակետի «ա» . պարբերությունը խմբագրվել է։</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contextualSpacing/>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ներկայացվել է հանրային քննարկման</w:t>
            </w:r>
          </w:p>
        </w:tc>
        <w:tc>
          <w:tcPr>
            <w:tcW w:w="6030" w:type="dxa"/>
            <w:tcBorders>
              <w:top w:val="single" w:sz="4" w:space="0" w:color="auto"/>
              <w:left w:val="single" w:sz="4" w:space="0" w:color="auto"/>
              <w:bottom w:val="single" w:sz="4" w:space="0" w:color="auto"/>
              <w:right w:val="single" w:sz="4" w:space="0" w:color="auto"/>
            </w:tcBorders>
          </w:tcPr>
          <w:p w:rsidR="00FF51B5" w:rsidRDefault="00FF51B5">
            <w:pPr>
              <w:spacing w:line="360" w:lineRule="auto"/>
              <w:rPr>
                <w:rFonts w:ascii="GHEA Grapalat" w:hAnsi="GHEA Grapalat"/>
                <w:color w:val="000000"/>
                <w:sz w:val="24"/>
                <w:szCs w:val="24"/>
                <w:shd w:val="clear" w:color="auto" w:fill="FFFFFF"/>
                <w:lang w:val="hy-AM"/>
              </w:rPr>
            </w:pPr>
          </w:p>
        </w:tc>
      </w:tr>
      <w:tr w:rsidR="00FF51B5" w:rsidTr="00FF51B5">
        <w:trPr>
          <w:trHeight w:val="737"/>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contextualSpacing/>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Վարչապետի աշխատակազմի սոցիալական հարցերի վարչության եզրակացությունը</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27.04.2023</w:t>
            </w:r>
          </w:p>
          <w:p w:rsidR="00FF51B5" w:rsidRDefault="00FF51B5">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02/11.4/14275-2023</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0"/>
                <w:numId w:val="16"/>
              </w:numPr>
              <w:tabs>
                <w:tab w:val="left" w:pos="550"/>
                <w:tab w:val="left" w:pos="1350"/>
              </w:tabs>
              <w:spacing w:line="360" w:lineRule="auto"/>
              <w:ind w:left="0" w:right="-1" w:firstLine="171"/>
              <w:jc w:val="both"/>
              <w:rPr>
                <w:rFonts w:ascii="GHEA Grapalat" w:eastAsia="Times New Roman" w:hAnsi="GHEA Grapalat" w:cs="Times New Roman"/>
                <w:sz w:val="24"/>
                <w:szCs w:val="24"/>
                <w:lang w:val="hy-AM"/>
              </w:rPr>
            </w:pPr>
            <w:r>
              <w:rPr>
                <w:rFonts w:ascii="GHEA Grapalat" w:hAnsi="GHEA Grapalat"/>
                <w:sz w:val="24"/>
                <w:szCs w:val="24"/>
                <w:lang w:val="hy-AM"/>
              </w:rPr>
              <w:t>Նախագծով առաջարկվում է «էլեկտրոնային պատճեն» հասկացությունը փոխարինել «լուսապատճեն» բառով: Գործող որոշման մեջ կիրառվում է տեսաներածել (սկանավորել) հասկացությունը: Առաջարկում ենք ևս մեկ անգամ վերանայել գործող որոշումը և հստակեցնել այս երկու հասկացությունների տարբերակված կիրառման դեպքերը:</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ի գիտություն։ </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Որոշման հավելվածի 7-րդ կետով ներկայացվում է </w:t>
            </w:r>
            <w:r>
              <w:rPr>
                <w:rFonts w:ascii="GHEA Grapalat" w:hAnsi="GHEA Grapalat"/>
                <w:color w:val="000000"/>
                <w:sz w:val="24"/>
                <w:szCs w:val="24"/>
                <w:lang w:val="hy-AM"/>
              </w:rPr>
              <w:t xml:space="preserve">էլեկտրոնային գործ կազմելիս` փաստաթղթերի </w:t>
            </w:r>
            <w:r>
              <w:rPr>
                <w:rFonts w:ascii="GHEA Grapalat" w:hAnsi="GHEA Grapalat"/>
                <w:sz w:val="24"/>
                <w:szCs w:val="24"/>
                <w:lang w:val="hy-AM"/>
              </w:rPr>
              <w:t>էլեկտրոնային պատճենները</w:t>
            </w:r>
            <w:r>
              <w:rPr>
                <w:rFonts w:ascii="GHEA Grapalat" w:hAnsi="GHEA Grapalat"/>
                <w:color w:val="000000"/>
                <w:sz w:val="24"/>
                <w:szCs w:val="24"/>
                <w:lang w:val="hy-AM"/>
              </w:rPr>
              <w:t xml:space="preserve"> (լուսապատճեները)՝ </w:t>
            </w:r>
            <w:r>
              <w:rPr>
                <w:rFonts w:ascii="GHEA Grapalat" w:hAnsi="GHEA Grapalat"/>
                <w:color w:val="000000"/>
                <w:sz w:val="24"/>
                <w:szCs w:val="24"/>
                <w:shd w:val="clear" w:color="auto" w:fill="FFFFFF"/>
                <w:lang w:val="hy-AM"/>
              </w:rPr>
              <w:t xml:space="preserve">պետական կենսաթոշակային համակարգի տվյալների շտեմարանում (այսուհետ՝ Շտեմարան) ներառելու գործընթացը։ Ընդ որում, ներկայացված փաստաթղթերի բնօրինակները կամ </w:t>
            </w:r>
            <w:r>
              <w:rPr>
                <w:rFonts w:ascii="GHEA Grapalat" w:hAnsi="GHEA Grapalat"/>
                <w:color w:val="000000"/>
                <w:sz w:val="24"/>
                <w:szCs w:val="24"/>
                <w:lang w:val="hy-AM"/>
              </w:rPr>
              <w:t xml:space="preserve">կենսաթոշակի թղթային գործում առկա փաստաթղթերի բնօրինակները, իսկ դրանց բացակայության դեպքում` փաստաթղթի «իսկականի հետ ճիշտ է» գրառումը պարունակող և կենսաթոշակ նշանակող ստորաբաժանման կնիքով կնքված պատճենը </w:t>
            </w:r>
            <w:r>
              <w:rPr>
                <w:rFonts w:ascii="GHEA Grapalat" w:hAnsi="GHEA Grapalat"/>
                <w:color w:val="000000"/>
                <w:sz w:val="24"/>
                <w:szCs w:val="24"/>
                <w:shd w:val="clear" w:color="auto" w:fill="FFFFFF"/>
                <w:lang w:val="hy-AM"/>
              </w:rPr>
              <w:t>Շտեմարան են ներառվում տեսաներածելու (սկանավորելու) միջոցով։ Ըստ այդմ, որոշման մեջ կիրառվող՝ «էլեկտրոնային պատճենը (լուսապատճենը)» ստեղծվում է «</w:t>
            </w:r>
            <w:r>
              <w:rPr>
                <w:rFonts w:ascii="GHEA Grapalat" w:hAnsi="GHEA Grapalat"/>
                <w:sz w:val="24"/>
                <w:szCs w:val="24"/>
                <w:lang w:val="hy-AM"/>
              </w:rPr>
              <w:t>տեսաներածում (սկանավորում)» կատարելու միջոցով, պահվում է Շտեմարանում որպես առանձին ֆայլ և հասկացությունների տարբերակված կիրառման խնդիր առկա չէ։</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0"/>
                <w:numId w:val="16"/>
              </w:numPr>
              <w:tabs>
                <w:tab w:val="left" w:pos="550"/>
                <w:tab w:val="left" w:pos="1350"/>
              </w:tabs>
              <w:spacing w:line="360" w:lineRule="auto"/>
              <w:ind w:left="0" w:right="-1" w:firstLine="171"/>
              <w:jc w:val="both"/>
              <w:rPr>
                <w:rFonts w:ascii="GHEA Grapalat" w:hAnsi="GHEA Grapalat"/>
                <w:sz w:val="24"/>
                <w:szCs w:val="24"/>
                <w:lang w:val="hy-AM"/>
              </w:rPr>
            </w:pPr>
            <w:r>
              <w:rPr>
                <w:rFonts w:ascii="GHEA Grapalat" w:hAnsi="GHEA Grapalat"/>
                <w:sz w:val="24"/>
                <w:szCs w:val="24"/>
                <w:lang w:val="hy-AM"/>
              </w:rPr>
              <w:t>Հաշմանդամության ոլորտում իրականացված բարեփոխումների շրջանակում առաջարկում ենք.</w:t>
            </w:r>
          </w:p>
          <w:p w:rsidR="00FF51B5" w:rsidRDefault="00FF51B5" w:rsidP="00FF51B5">
            <w:pPr>
              <w:pStyle w:val="ListParagraph"/>
              <w:numPr>
                <w:ilvl w:val="1"/>
                <w:numId w:val="16"/>
              </w:numPr>
              <w:tabs>
                <w:tab w:val="left" w:pos="550"/>
                <w:tab w:val="left" w:pos="1350"/>
              </w:tabs>
              <w:spacing w:line="360" w:lineRule="auto"/>
              <w:ind w:left="0" w:right="-1" w:firstLine="171"/>
              <w:jc w:val="both"/>
              <w:rPr>
                <w:rFonts w:ascii="GHEA Grapalat" w:eastAsia="Times New Roman" w:hAnsi="GHEA Grapalat" w:cs="Times New Roman"/>
                <w:sz w:val="24"/>
                <w:szCs w:val="24"/>
                <w:lang w:val="hy-AM"/>
              </w:rPr>
            </w:pPr>
            <w:r>
              <w:rPr>
                <w:rFonts w:ascii="GHEA Grapalat" w:hAnsi="GHEA Grapalat"/>
                <w:sz w:val="24"/>
                <w:szCs w:val="24"/>
                <w:lang w:val="hy-AM"/>
              </w:rPr>
              <w:t>որոշումը չծանրաբեռնելու նպատակով նախագծով սահմանել անցումայի դրույթ հաշմանդամության խումբ, բժշկասոցիալական փորձաքննություն (վերափորձաքննություն) և այլ հասկացությունների՝ նոր գործող կարգավորումներին հավասարեցման մասով՝ նախագծից հանելով այս մասով առկա փոփոխությունները (օրինակ, նախագծի 1-ին կետի 3-րդ ենթակետ, 6-րդ ենթակետի գ. պարբերություն և այլն).</w:t>
            </w:r>
            <w:r>
              <w:rPr>
                <w:rFonts w:ascii="GHEA Grapalat" w:eastAsia="Times New Roman" w:hAnsi="GHEA Grapalat" w:cs="Times New Roman"/>
                <w:sz w:val="24"/>
                <w:szCs w:val="24"/>
                <w:lang w:val="hy-AM"/>
              </w:rPr>
              <w:t xml:space="preserve"> </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Առաջարկությունը չի ընդունվել։</w:t>
            </w:r>
          </w:p>
          <w:p w:rsidR="00FF51B5" w:rsidRDefault="00FF51B5">
            <w:pPr>
              <w:spacing w:line="360" w:lineRule="auto"/>
              <w:jc w:val="both"/>
              <w:rPr>
                <w:rFonts w:ascii="GHEA Grapalat" w:hAnsi="GHEA Grapalat"/>
                <w:color w:val="000000"/>
                <w:sz w:val="24"/>
                <w:szCs w:val="24"/>
                <w:lang w:val="hy-AM"/>
              </w:rPr>
            </w:pPr>
            <w:r>
              <w:rPr>
                <w:rFonts w:ascii="GHEA Grapalat" w:hAnsi="GHEA Grapalat"/>
                <w:bCs/>
                <w:sz w:val="24"/>
                <w:szCs w:val="24"/>
                <w:lang w:val="hy-AM"/>
              </w:rPr>
              <w:t xml:space="preserve"> Ի տարբերություն կենսաթոշակային օրենսդրության այլ իրավական ակտերի, որոնք ապահովում են հաշմանդամություն ձեռք բերելու հիմքով անձի սոցիալական իրավունքի (կենսաթոշակի, պարգևավճարի) իրացում և որոնցում հնարավոր է սահմանել «Անձի ֆունկցիոնալության գնահատման մասին» օրենքում և  նախկին օրենսդրությունում  կիրառված հասկացությունների համարժեքություն, Որոշմամբ հաստատվում է Շտեմարանը վարելու կարգը, որում, որևէ կերպ պետք է արտացոլվի, օրինակ, այն փաստը, որ անձը նախկին օրենսդրությամբ ճանաչվել է անժամկետ 3-րդ խմբի հաշմանդամություն ունեցող անձ։</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 xml:space="preserve">Շտեմարանում առկա տվյալները օգտագործման համար առավել տեսանելի (մատչելի) դարձնելու տեսանկյունից նպատակահարմար է </w:t>
            </w:r>
            <w:r>
              <w:rPr>
                <w:rFonts w:ascii="GHEA Grapalat" w:hAnsi="GHEA Grapalat"/>
                <w:bCs/>
                <w:sz w:val="24"/>
                <w:szCs w:val="24"/>
                <w:lang w:val="hy-AM"/>
              </w:rPr>
              <w:t xml:space="preserve">«Անձի ֆունկցիոնալության գնահատման մասին» օրենքով սահմանված հասկացություններին զուգահեռ նշել նաև դրանց նախորդ անվանումները։ </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1"/>
                <w:numId w:val="16"/>
              </w:numPr>
              <w:tabs>
                <w:tab w:val="left" w:pos="550"/>
                <w:tab w:val="left" w:pos="630"/>
              </w:tabs>
              <w:spacing w:line="360" w:lineRule="auto"/>
              <w:ind w:left="0" w:right="-1" w:firstLine="171"/>
              <w:jc w:val="both"/>
              <w:rPr>
                <w:rFonts w:ascii="GHEA Grapalat" w:hAnsi="GHEA Grapalat"/>
                <w:sz w:val="24"/>
                <w:szCs w:val="24"/>
                <w:lang w:val="hy-AM"/>
              </w:rPr>
            </w:pPr>
            <w:r>
              <w:rPr>
                <w:rFonts w:ascii="GHEA Grapalat" w:hAnsi="GHEA Grapalat"/>
                <w:sz w:val="24"/>
                <w:szCs w:val="24"/>
                <w:lang w:val="hy-AM"/>
              </w:rPr>
              <w:t>նախագծում կիրառվող «հաշմանդամ» հասկացությունն անհրաժեշտ է փոխարինել «հաշմանդամություն ունեցող անձ» հասկացությամբ:</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Համապատասխան փոփոխությունը կատարվել է։</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w:t>
            </w:r>
            <w:r>
              <w:rPr>
                <w:rFonts w:ascii="GHEA Grapalat" w:hAnsi="GHEA Grapalat" w:cs="Sylfaen"/>
                <w:color w:val="000000" w:themeColor="text1"/>
                <w:sz w:val="24"/>
                <w:szCs w:val="24"/>
                <w:lang w:val="hy-AM"/>
              </w:rPr>
              <w:t xml:space="preserve">1-ին կետի 6-րդ ենթակետի «գ» պարբերությամբ նոր խմբագրությամբ շարադրվող 5-րդ ենթակետի «ա» և «զ» պարբերություններում «հաշմանդամ» բառերը փոխարինվել է  «հաշմանդամություն ունեցող անձ» բառերով: </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0"/>
                <w:numId w:val="16"/>
              </w:numPr>
              <w:tabs>
                <w:tab w:val="left" w:pos="550"/>
                <w:tab w:val="left" w:pos="720"/>
              </w:tabs>
              <w:spacing w:line="360" w:lineRule="auto"/>
              <w:ind w:left="0" w:right="-1" w:firstLine="171"/>
              <w:jc w:val="both"/>
              <w:rPr>
                <w:rFonts w:ascii="GHEA Grapalat" w:eastAsia="Times New Roman" w:hAnsi="GHEA Grapalat" w:cs="Times New Roman"/>
                <w:sz w:val="24"/>
                <w:szCs w:val="24"/>
                <w:lang w:val="hy-AM"/>
              </w:rPr>
            </w:pPr>
            <w:r>
              <w:rPr>
                <w:rFonts w:ascii="GHEA Grapalat" w:hAnsi="GHEA Grapalat"/>
                <w:sz w:val="24"/>
                <w:szCs w:val="24"/>
                <w:lang w:val="hy-AM"/>
              </w:rPr>
              <w:t>Նախագծի 1-ին կետի 6-րդ ենթակետի ա. պարբերությունն անհրաժեշտ է համապատասխանեցնել «Պետական կառավարման համակարգի մարմինների մասին» օրենքի 6-րդ հոդվածին:</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Առաջարկությունը չի ընդունվել։ </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«Պետական կենսաթոշակների մասին» օրենքի 17-րդ հոդվածով սահմանված է զինվորական կենսաթոշակի իրավունք ունեցող՝ Հայաստանի Հանրապետության պաշտպանության, ոստիկանության, ազգային անվտանգության հանրապետական գործադիր մարմինների, պետական պահպանության ծառայության և Հայաստանի փրկարար ծառայության (այսուհետ նաև` համապատասխան մարմիններ)</w:t>
            </w:r>
            <w:r>
              <w:rPr>
                <w:rFonts w:ascii="Calibri" w:hAnsi="Calibri" w:cs="Calibri"/>
                <w:color w:val="000000"/>
                <w:sz w:val="24"/>
                <w:szCs w:val="24"/>
                <w:shd w:val="clear" w:color="auto" w:fill="FFFFFF"/>
                <w:lang w:val="hy-AM"/>
              </w:rPr>
              <w:t> </w:t>
            </w:r>
            <w:r>
              <w:rPr>
                <w:rFonts w:ascii="GHEA Grapalat" w:hAnsi="GHEA Grapalat" w:cs="Calibri"/>
                <w:color w:val="000000"/>
                <w:sz w:val="24"/>
                <w:szCs w:val="24"/>
                <w:shd w:val="clear" w:color="auto" w:fill="FFFFFF"/>
                <w:lang w:val="hy-AM"/>
              </w:rPr>
              <w:t>համակարգի</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ծառայողների շրջանակը։ Ըստ այդմ, հետագայում «Պետական կենսաթոշակների մասին» օրենքում (այսուհետ՝ Օրենք) կատարվող փոփոխությունների (լրացումների) համատեքստում անդրադարձ կկատարվի «Պետական կենսաթոշակների մասին» օրենքը՝  «Պետական կառավարման համակարգի մարմինների մասին» օրենքի 6-րդ հոդվածին համապատասխանեցնելու հարցին։</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Որից հետո (օրենքի ընդունմամբ պայմանավորված) կիրականացվի փոփոխություններ (լրացումներ) այլ իրավական ակտերում, այդ թվում նաև՝ </w:t>
            </w:r>
            <w:r>
              <w:rPr>
                <w:rFonts w:ascii="GHEA Grapalat" w:eastAsia="Times New Roman" w:hAnsi="GHEA Grapalat" w:cs="Times New Roman"/>
                <w:sz w:val="24"/>
                <w:szCs w:val="24"/>
                <w:lang w:val="hy-AM"/>
              </w:rPr>
              <w:t>«Հայաստանի Հանրապետության կառավարության 2012 թվականի օգոստոսի 23-ի N</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1081-</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Ն որոշման մեջ։</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0"/>
                <w:numId w:val="16"/>
              </w:numPr>
              <w:tabs>
                <w:tab w:val="left" w:pos="550"/>
                <w:tab w:val="left" w:pos="720"/>
              </w:tabs>
              <w:spacing w:line="360" w:lineRule="auto"/>
              <w:ind w:left="0" w:right="-1" w:firstLine="171"/>
              <w:jc w:val="both"/>
              <w:rPr>
                <w:rFonts w:ascii="GHEA Grapalat" w:hAnsi="GHEA Grapalat"/>
                <w:sz w:val="24"/>
                <w:szCs w:val="24"/>
                <w:lang w:val="hy-AM"/>
              </w:rPr>
            </w:pPr>
            <w:r>
              <w:rPr>
                <w:rFonts w:ascii="GHEA Grapalat" w:hAnsi="GHEA Grapalat"/>
                <w:sz w:val="24"/>
                <w:szCs w:val="24"/>
                <w:lang w:val="hy-AM"/>
              </w:rPr>
              <w:t>Անհրաժեշտ է վերանայել նախագծի 1-ին կետի 8-րդ ենթակետով շարադրվող 21-րդ կետի 8-10-րդ ենթակետերը, քանի որ օրենքին կատարված հղումները և շարադրվող մտքերն իրար չեն համապատասխանում: Նույն դիտարկման շրջանակում, ըստ անհրաժեշտության, վերանայել նախագծի 1-ին կետի 6-րդ ենթակետի գ. պարբերությունը:</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1-ին կետի 8-րդ ենթակետով շարադրվող 21-րդ կետի 8-րդ ենթակետը խմբագրվել է</w:t>
            </w:r>
            <w:r>
              <w:rPr>
                <w:rFonts w:ascii="Times New Roman" w:hAnsi="Times New Roman" w:cs="Times New Roman"/>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lang w:val="hy-AM"/>
              </w:rPr>
              <w:t>օրենքի 13-րդ հոդվածի 1-ին մասի 2-րդ</w:t>
            </w:r>
            <w:r>
              <w:rPr>
                <w:rFonts w:ascii="GHEA Grapalat" w:hAnsi="GHEA Grapalat"/>
                <w:color w:val="000000"/>
                <w:sz w:val="24"/>
                <w:szCs w:val="24"/>
                <w:shd w:val="clear" w:color="auto" w:fill="FFFFFF"/>
                <w:lang w:val="hy-AM"/>
              </w:rPr>
              <w:t>» բառերը փոխարինվել է «</w:t>
            </w:r>
            <w:r>
              <w:rPr>
                <w:rFonts w:ascii="GHEA Grapalat" w:hAnsi="GHEA Grapalat"/>
                <w:color w:val="000000"/>
                <w:sz w:val="24"/>
                <w:szCs w:val="24"/>
                <w:lang w:val="hy-AM"/>
              </w:rPr>
              <w:t>օրենքի 13-րդ հոդվածի 1-ին մասի 4-րդ</w:t>
            </w:r>
            <w:r>
              <w:rPr>
                <w:rFonts w:ascii="GHEA Grapalat" w:hAnsi="GHEA Grapalat"/>
                <w:color w:val="000000"/>
                <w:sz w:val="24"/>
                <w:szCs w:val="24"/>
                <w:shd w:val="clear" w:color="auto" w:fill="FFFFFF"/>
                <w:lang w:val="hy-AM"/>
              </w:rPr>
              <w:t xml:space="preserve">» բառերով։ </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Նախագծի 1-ին կետի 6-րդ ենթակետի «գ» պարբերությունը խմբագրելու անհրաժեշտություն չկա։</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0"/>
                <w:numId w:val="16"/>
              </w:numPr>
              <w:tabs>
                <w:tab w:val="left" w:pos="550"/>
                <w:tab w:val="left" w:pos="720"/>
              </w:tabs>
              <w:spacing w:line="360" w:lineRule="auto"/>
              <w:ind w:left="0" w:right="-1" w:firstLine="171"/>
              <w:jc w:val="both"/>
              <w:rPr>
                <w:rFonts w:ascii="GHEA Grapalat" w:hAnsi="GHEA Grapalat"/>
                <w:sz w:val="24"/>
                <w:szCs w:val="24"/>
                <w:lang w:val="hy-AM"/>
              </w:rPr>
            </w:pPr>
            <w:r>
              <w:rPr>
                <w:rFonts w:ascii="GHEA Grapalat" w:hAnsi="GHEA Grapalat"/>
                <w:sz w:val="24"/>
                <w:szCs w:val="24"/>
                <w:lang w:val="hy-AM"/>
              </w:rPr>
              <w:t xml:space="preserve">Նախագծի 1-ին կետի 2-րդ ենթակետով սահմանվում է, թե որ վճարներն են մտնում կենսաթոշակ հասկացության մեջ: Գործող որոշման հավելվածի 16-րդ կետով սահմանվում է </w:t>
            </w:r>
            <w:r>
              <w:rPr>
                <w:rFonts w:ascii="GHEA Grapalat" w:eastAsia="Times New Roman" w:hAnsi="GHEA Grapalat" w:cs="Times New Roman"/>
                <w:color w:val="000000"/>
                <w:sz w:val="24"/>
                <w:szCs w:val="24"/>
                <w:lang w:val="hy-AM"/>
              </w:rPr>
              <w:t>կենսաթոշակառուի` տարեցների համար նախատեսված սոցիալական պաշտպանության պետական կազմակերպություն (ծերանոց) ընդունվելու պարագայում պետական բյուջեից վճարման ենթակա գումարների համամասնությունը:</w:t>
            </w:r>
          </w:p>
          <w:p w:rsidR="00FF51B5" w:rsidRDefault="00FF51B5">
            <w:pPr>
              <w:pStyle w:val="ListParagraph"/>
              <w:tabs>
                <w:tab w:val="left" w:pos="550"/>
                <w:tab w:val="left" w:pos="720"/>
              </w:tabs>
              <w:spacing w:line="360" w:lineRule="auto"/>
              <w:ind w:left="0" w:right="-1"/>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 xml:space="preserve">Նախագծի 1-ին կետի 8-րդ ենթակետի գ. պարբերությամբ առաջարկվում է «սոցիալական կենսաթոշակ» բառերը փոխարինել «կենսաթոշակ» բառով և փոփոխության արդյունքում ստացվում է, որ կենսաթոշակ ստանալու իրավունքն ինքնաշխատ եղանակով դադարեցվում է կենսաթոշակ ստացող անձի՝ ծերանոց ընդունվելու օրվանից: Մինչդեռ միայն սոցիալական կենսաթոշակի պարագայում է, որ վճարումն ամբողջությամբ դադարեցվում է, իսկ մնացած դեպքերում (աշխատանքային կենսաթոշակ, զինվորական կենսաթոշակ և այլն) կենսաթոշակառուն որոշմամբ սահմանված համամասնությամբ շարունակելու է ստանալ: </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1-ին կետի 8-րդ ենթակետի «գ» պարբերությունում «կենսաթոշակ» բառը փոխարինվել է «</w:t>
            </w:r>
            <w:r>
              <w:rPr>
                <w:rFonts w:ascii="GHEA Grapalat" w:hAnsi="GHEA Grapalat"/>
                <w:color w:val="000000"/>
                <w:sz w:val="24"/>
                <w:szCs w:val="24"/>
                <w:lang w:val="hy-AM"/>
              </w:rPr>
              <w:t>ծերության նպաստ, հաշմանդամության նպաստ, կերակրողին կորցնելու դեպքում նպաստ» բառերով։</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0"/>
                <w:numId w:val="16"/>
              </w:numPr>
              <w:tabs>
                <w:tab w:val="left" w:pos="550"/>
                <w:tab w:val="left" w:pos="720"/>
              </w:tabs>
              <w:spacing w:line="360" w:lineRule="auto"/>
              <w:ind w:left="0" w:right="-1" w:firstLine="171"/>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Իրավական տեխնիկայի առումով նախագիծն անհրաժեշտ է համապատասխանեցնել «Նորմատիվ իրավական ակտերի մասին» օրենքի պահանջներին: Օրինակ, նախագծի 1-ին կետ, 1-ին կետի 6-րդ ենթակետի ա. պարբերություն և այլն:</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Համապատասխան փոփոխությունները կատարվել են։</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0"/>
                <w:numId w:val="16"/>
              </w:numPr>
              <w:tabs>
                <w:tab w:val="left" w:pos="550"/>
                <w:tab w:val="left" w:pos="720"/>
              </w:tabs>
              <w:spacing w:line="360" w:lineRule="auto"/>
              <w:ind w:left="0" w:right="-1" w:firstLine="171"/>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Անհրաժեշտ է լրամշակել նախագծին կից հիմնավորումը.</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1"/>
                <w:numId w:val="16"/>
              </w:numPr>
              <w:tabs>
                <w:tab w:val="left" w:pos="550"/>
                <w:tab w:val="left" w:pos="720"/>
              </w:tabs>
              <w:spacing w:line="360" w:lineRule="auto"/>
              <w:ind w:left="0" w:right="-1" w:firstLine="17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հանելով այն կետերը, որոնք կարգավորված չեն նախագծով (օրինակ, 2-րդ բաժնի 2-րդ կետով առաջարկվող կարգավորումը),</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Նախագծին կից ներկայացված հիմնավորման </w:t>
            </w:r>
          </w:p>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w:t>
            </w: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color w:val="000000"/>
                <w:sz w:val="24"/>
                <w:szCs w:val="24"/>
                <w:shd w:val="clear" w:color="auto" w:fill="FFFFFF"/>
                <w:lang w:val="hy-AM"/>
              </w:rPr>
              <w:t xml:space="preserve">» բաժնի 2-րդ կետը հանվել է, համարակալումը փոխվել է։ </w:t>
            </w:r>
          </w:p>
        </w:tc>
      </w:tr>
      <w:tr w:rsidR="00FF51B5" w:rsidRPr="00FF51B5" w:rsidTr="00FF51B5">
        <w:trPr>
          <w:jc w:val="center"/>
        </w:trPr>
        <w:tc>
          <w:tcPr>
            <w:tcW w:w="8455" w:type="dxa"/>
            <w:tcBorders>
              <w:top w:val="single" w:sz="4" w:space="0" w:color="auto"/>
              <w:left w:val="single" w:sz="4" w:space="0" w:color="auto"/>
              <w:bottom w:val="single" w:sz="4" w:space="0" w:color="auto"/>
              <w:right w:val="single" w:sz="4" w:space="0" w:color="auto"/>
            </w:tcBorders>
            <w:hideMark/>
          </w:tcPr>
          <w:p w:rsidR="00FF51B5" w:rsidRDefault="00FF51B5" w:rsidP="00FF51B5">
            <w:pPr>
              <w:pStyle w:val="ListParagraph"/>
              <w:numPr>
                <w:ilvl w:val="1"/>
                <w:numId w:val="16"/>
              </w:numPr>
              <w:tabs>
                <w:tab w:val="left" w:pos="550"/>
                <w:tab w:val="left" w:pos="720"/>
              </w:tabs>
              <w:spacing w:line="360" w:lineRule="auto"/>
              <w:ind w:left="0" w:right="-1" w:firstLine="171"/>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ներառելով նախագծով առաջարկվող հիմնարար փոփոխությունների մասով կարգավորումները (օրինակ, նախագծի 1-ին կետի 6-րդ ենթակետի գ., ե. պարբերությունները, 8-րդ ենթակետը և այլն):</w:t>
            </w:r>
          </w:p>
        </w:tc>
        <w:tc>
          <w:tcPr>
            <w:tcW w:w="6030" w:type="dxa"/>
            <w:tcBorders>
              <w:top w:val="single" w:sz="4" w:space="0" w:color="auto"/>
              <w:left w:val="single" w:sz="4" w:space="0" w:color="auto"/>
              <w:bottom w:val="single" w:sz="4" w:space="0" w:color="auto"/>
              <w:right w:val="single" w:sz="4" w:space="0" w:color="auto"/>
            </w:tcBorders>
            <w:hideMark/>
          </w:tcPr>
          <w:p w:rsidR="00FF51B5" w:rsidRDefault="00FF51B5">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FF51B5" w:rsidRDefault="00FF51B5">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Նախագծին կից ներկայացված հիմնավորման մեջ կատարվել է համապատասխան լրացում՝ նախագծով առաջարկվող փոփոխություններին և լրացումներին համապատասխան։  </w:t>
            </w:r>
          </w:p>
        </w:tc>
      </w:tr>
    </w:tbl>
    <w:p w:rsidR="00FF51B5" w:rsidRDefault="00FF51B5" w:rsidP="00FF51B5">
      <w:pPr>
        <w:spacing w:line="276" w:lineRule="auto"/>
        <w:rPr>
          <w:rFonts w:ascii="GHEA Grapalat" w:hAnsi="GHEA Grapalat"/>
          <w:sz w:val="24"/>
          <w:szCs w:val="24"/>
          <w:lang w:val="hy-AM"/>
        </w:rPr>
      </w:pPr>
    </w:p>
    <w:p w:rsidR="00FF51B5" w:rsidRDefault="00FF51B5" w:rsidP="00FF51B5">
      <w:pPr>
        <w:rPr>
          <w:lang w:val="hy-AM"/>
        </w:rPr>
      </w:pPr>
    </w:p>
    <w:p w:rsidR="00AC7883" w:rsidRPr="00FF51B5" w:rsidRDefault="00AC7883" w:rsidP="00FF51B5">
      <w:pPr>
        <w:rPr>
          <w:lang w:val="hy-AM"/>
        </w:rPr>
      </w:pPr>
      <w:bookmarkStart w:id="0" w:name="_GoBack"/>
      <w:bookmarkEnd w:id="0"/>
    </w:p>
    <w:sectPr w:rsidR="00AC7883" w:rsidRPr="00FF51B5" w:rsidSect="00885E1C">
      <w:pgSz w:w="16838" w:h="11906" w:orient="landscape" w:code="9"/>
      <w:pgMar w:top="567" w:right="706"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C18" w:rsidRDefault="00564C18" w:rsidP="003D30E3">
      <w:pPr>
        <w:spacing w:after="0" w:line="240" w:lineRule="auto"/>
      </w:pPr>
      <w:r>
        <w:separator/>
      </w:r>
    </w:p>
  </w:endnote>
  <w:endnote w:type="continuationSeparator" w:id="0">
    <w:p w:rsidR="00564C18" w:rsidRDefault="00564C18"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C18" w:rsidRDefault="00564C18" w:rsidP="003D30E3">
      <w:pPr>
        <w:spacing w:after="0" w:line="240" w:lineRule="auto"/>
      </w:pPr>
      <w:r>
        <w:separator/>
      </w:r>
    </w:p>
  </w:footnote>
  <w:footnote w:type="continuationSeparator" w:id="0">
    <w:p w:rsidR="00564C18" w:rsidRDefault="00564C18"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multilevel"/>
    <w:tmpl w:val="2F80CF2C"/>
    <w:lvl w:ilvl="0">
      <w:start w:val="1"/>
      <w:numFmt w:val="decimal"/>
      <w:lvlText w:val="%1."/>
      <w:lvlJc w:val="left"/>
      <w:pPr>
        <w:ind w:left="108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7"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AF5BD3"/>
    <w:multiLevelType w:val="hybridMultilevel"/>
    <w:tmpl w:val="10E0A0DC"/>
    <w:lvl w:ilvl="0" w:tplc="ABD69A62">
      <w:start w:val="1"/>
      <w:numFmt w:val="decimal"/>
      <w:lvlText w:val="%1)"/>
      <w:lvlJc w:val="left"/>
      <w:pPr>
        <w:ind w:left="928"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0"/>
  </w:num>
  <w:num w:numId="4">
    <w:abstractNumId w:val="5"/>
  </w:num>
  <w:num w:numId="5">
    <w:abstractNumId w:val="1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3"/>
  </w:num>
  <w:num w:numId="10">
    <w:abstractNumId w:val="11"/>
  </w:num>
  <w:num w:numId="11">
    <w:abstractNumId w:val="4"/>
  </w:num>
  <w:num w:numId="12">
    <w:abstractNumId w:val="2"/>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2233E"/>
    <w:rsid w:val="00023601"/>
    <w:rsid w:val="0002456B"/>
    <w:rsid w:val="00027E4C"/>
    <w:rsid w:val="00036ECC"/>
    <w:rsid w:val="000406FC"/>
    <w:rsid w:val="000438DE"/>
    <w:rsid w:val="00061345"/>
    <w:rsid w:val="00077908"/>
    <w:rsid w:val="000816BB"/>
    <w:rsid w:val="000A0C90"/>
    <w:rsid w:val="000A0FC6"/>
    <w:rsid w:val="000A403A"/>
    <w:rsid w:val="000C06EB"/>
    <w:rsid w:val="000D27B0"/>
    <w:rsid w:val="000E6ADE"/>
    <w:rsid w:val="000E7CA0"/>
    <w:rsid w:val="000F00A2"/>
    <w:rsid w:val="00101A93"/>
    <w:rsid w:val="00113DBC"/>
    <w:rsid w:val="00125C9C"/>
    <w:rsid w:val="00131C59"/>
    <w:rsid w:val="00132F23"/>
    <w:rsid w:val="00151623"/>
    <w:rsid w:val="001667BB"/>
    <w:rsid w:val="00180AB7"/>
    <w:rsid w:val="00191258"/>
    <w:rsid w:val="001A241F"/>
    <w:rsid w:val="001B68E9"/>
    <w:rsid w:val="001E3C65"/>
    <w:rsid w:val="001F0AFD"/>
    <w:rsid w:val="00203CE0"/>
    <w:rsid w:val="00212FF7"/>
    <w:rsid w:val="002372DA"/>
    <w:rsid w:val="00242597"/>
    <w:rsid w:val="002472FA"/>
    <w:rsid w:val="00250C8A"/>
    <w:rsid w:val="00262978"/>
    <w:rsid w:val="0027741F"/>
    <w:rsid w:val="002A0A4D"/>
    <w:rsid w:val="002A16AE"/>
    <w:rsid w:val="002A2090"/>
    <w:rsid w:val="002B73A4"/>
    <w:rsid w:val="002C2887"/>
    <w:rsid w:val="002D78BC"/>
    <w:rsid w:val="002E2D97"/>
    <w:rsid w:val="002F263D"/>
    <w:rsid w:val="00301EC9"/>
    <w:rsid w:val="00353CA8"/>
    <w:rsid w:val="003571C1"/>
    <w:rsid w:val="003837D1"/>
    <w:rsid w:val="00395373"/>
    <w:rsid w:val="003A4A89"/>
    <w:rsid w:val="003B3E4F"/>
    <w:rsid w:val="003B647A"/>
    <w:rsid w:val="003D05DC"/>
    <w:rsid w:val="003D0A3C"/>
    <w:rsid w:val="003D30E3"/>
    <w:rsid w:val="00412AD1"/>
    <w:rsid w:val="00416F18"/>
    <w:rsid w:val="0043100D"/>
    <w:rsid w:val="004324AA"/>
    <w:rsid w:val="004475D4"/>
    <w:rsid w:val="00450C3A"/>
    <w:rsid w:val="00461A17"/>
    <w:rsid w:val="00465B5C"/>
    <w:rsid w:val="004717CA"/>
    <w:rsid w:val="00472F9A"/>
    <w:rsid w:val="00483069"/>
    <w:rsid w:val="0048536B"/>
    <w:rsid w:val="00485EAF"/>
    <w:rsid w:val="00495587"/>
    <w:rsid w:val="004B255B"/>
    <w:rsid w:val="004B61D5"/>
    <w:rsid w:val="004C0FBB"/>
    <w:rsid w:val="004D0B27"/>
    <w:rsid w:val="004D118E"/>
    <w:rsid w:val="004F3C2B"/>
    <w:rsid w:val="0050112C"/>
    <w:rsid w:val="00532B8A"/>
    <w:rsid w:val="00535FDC"/>
    <w:rsid w:val="005545BC"/>
    <w:rsid w:val="00563029"/>
    <w:rsid w:val="00564C18"/>
    <w:rsid w:val="00564F11"/>
    <w:rsid w:val="005754CC"/>
    <w:rsid w:val="00590B8A"/>
    <w:rsid w:val="005A1196"/>
    <w:rsid w:val="005A12E7"/>
    <w:rsid w:val="005A5972"/>
    <w:rsid w:val="005A59DE"/>
    <w:rsid w:val="005B64FD"/>
    <w:rsid w:val="005E697B"/>
    <w:rsid w:val="006034EA"/>
    <w:rsid w:val="00607627"/>
    <w:rsid w:val="00615A71"/>
    <w:rsid w:val="00625EE1"/>
    <w:rsid w:val="0063619B"/>
    <w:rsid w:val="006438E4"/>
    <w:rsid w:val="006552E7"/>
    <w:rsid w:val="006643A4"/>
    <w:rsid w:val="00664F1F"/>
    <w:rsid w:val="0068196C"/>
    <w:rsid w:val="0068585A"/>
    <w:rsid w:val="006A5FC5"/>
    <w:rsid w:val="006B6E91"/>
    <w:rsid w:val="006E35D7"/>
    <w:rsid w:val="006E4094"/>
    <w:rsid w:val="006F48C3"/>
    <w:rsid w:val="006F5238"/>
    <w:rsid w:val="0070151D"/>
    <w:rsid w:val="00703CCD"/>
    <w:rsid w:val="00711850"/>
    <w:rsid w:val="00717B72"/>
    <w:rsid w:val="007414C6"/>
    <w:rsid w:val="007453A7"/>
    <w:rsid w:val="0075323D"/>
    <w:rsid w:val="007543CE"/>
    <w:rsid w:val="00755710"/>
    <w:rsid w:val="00764253"/>
    <w:rsid w:val="00776CF9"/>
    <w:rsid w:val="007810AC"/>
    <w:rsid w:val="007A3D0C"/>
    <w:rsid w:val="007B52FE"/>
    <w:rsid w:val="007D4550"/>
    <w:rsid w:val="007D5F95"/>
    <w:rsid w:val="007E2AD7"/>
    <w:rsid w:val="007E58A8"/>
    <w:rsid w:val="007F1509"/>
    <w:rsid w:val="008007AF"/>
    <w:rsid w:val="00806660"/>
    <w:rsid w:val="0080760C"/>
    <w:rsid w:val="00872EB6"/>
    <w:rsid w:val="00877761"/>
    <w:rsid w:val="0088288E"/>
    <w:rsid w:val="00885E1C"/>
    <w:rsid w:val="00886404"/>
    <w:rsid w:val="008A111B"/>
    <w:rsid w:val="008B30D0"/>
    <w:rsid w:val="008D2B23"/>
    <w:rsid w:val="008E2C8D"/>
    <w:rsid w:val="008E4EE8"/>
    <w:rsid w:val="008E61D4"/>
    <w:rsid w:val="008E6F97"/>
    <w:rsid w:val="00912FD3"/>
    <w:rsid w:val="0091576B"/>
    <w:rsid w:val="00924ACA"/>
    <w:rsid w:val="00930229"/>
    <w:rsid w:val="00932296"/>
    <w:rsid w:val="00940AEB"/>
    <w:rsid w:val="009433E8"/>
    <w:rsid w:val="0095260D"/>
    <w:rsid w:val="00954ED1"/>
    <w:rsid w:val="009554B9"/>
    <w:rsid w:val="00955728"/>
    <w:rsid w:val="0096225C"/>
    <w:rsid w:val="0096329A"/>
    <w:rsid w:val="009905FA"/>
    <w:rsid w:val="009922FB"/>
    <w:rsid w:val="009A6775"/>
    <w:rsid w:val="009B486C"/>
    <w:rsid w:val="009C4986"/>
    <w:rsid w:val="009D0E37"/>
    <w:rsid w:val="009D1904"/>
    <w:rsid w:val="009D6417"/>
    <w:rsid w:val="009D712D"/>
    <w:rsid w:val="009E6D06"/>
    <w:rsid w:val="00A25C77"/>
    <w:rsid w:val="00A263DE"/>
    <w:rsid w:val="00A64027"/>
    <w:rsid w:val="00A66BF9"/>
    <w:rsid w:val="00A92339"/>
    <w:rsid w:val="00AA2BAB"/>
    <w:rsid w:val="00AB72C5"/>
    <w:rsid w:val="00AC5E7F"/>
    <w:rsid w:val="00AC7883"/>
    <w:rsid w:val="00AF1294"/>
    <w:rsid w:val="00B27B9E"/>
    <w:rsid w:val="00B559FA"/>
    <w:rsid w:val="00B604DA"/>
    <w:rsid w:val="00B77EB9"/>
    <w:rsid w:val="00B92AD6"/>
    <w:rsid w:val="00BA5BC5"/>
    <w:rsid w:val="00BB4652"/>
    <w:rsid w:val="00BD7DDA"/>
    <w:rsid w:val="00BE4270"/>
    <w:rsid w:val="00BE65EB"/>
    <w:rsid w:val="00BF160D"/>
    <w:rsid w:val="00C071BD"/>
    <w:rsid w:val="00C1511E"/>
    <w:rsid w:val="00C345F1"/>
    <w:rsid w:val="00C56C7D"/>
    <w:rsid w:val="00C824D5"/>
    <w:rsid w:val="00C903DE"/>
    <w:rsid w:val="00CA0609"/>
    <w:rsid w:val="00CA4165"/>
    <w:rsid w:val="00CA5528"/>
    <w:rsid w:val="00CB13F3"/>
    <w:rsid w:val="00CC34DC"/>
    <w:rsid w:val="00CC38AF"/>
    <w:rsid w:val="00D3282F"/>
    <w:rsid w:val="00D422F8"/>
    <w:rsid w:val="00D43DCD"/>
    <w:rsid w:val="00D86E47"/>
    <w:rsid w:val="00D93826"/>
    <w:rsid w:val="00DA22A7"/>
    <w:rsid w:val="00DB4EC7"/>
    <w:rsid w:val="00DB7721"/>
    <w:rsid w:val="00DC21F9"/>
    <w:rsid w:val="00DC754F"/>
    <w:rsid w:val="00DD6ADB"/>
    <w:rsid w:val="00DE1014"/>
    <w:rsid w:val="00DE5BE6"/>
    <w:rsid w:val="00E02EEC"/>
    <w:rsid w:val="00E0558E"/>
    <w:rsid w:val="00E174FD"/>
    <w:rsid w:val="00E54D93"/>
    <w:rsid w:val="00E62FE8"/>
    <w:rsid w:val="00E73843"/>
    <w:rsid w:val="00E94AF7"/>
    <w:rsid w:val="00E968F6"/>
    <w:rsid w:val="00EC3B05"/>
    <w:rsid w:val="00EC6AFD"/>
    <w:rsid w:val="00ED43EE"/>
    <w:rsid w:val="00EF5A0C"/>
    <w:rsid w:val="00F21472"/>
    <w:rsid w:val="00F21A5B"/>
    <w:rsid w:val="00F3390D"/>
    <w:rsid w:val="00F33EF8"/>
    <w:rsid w:val="00F42142"/>
    <w:rsid w:val="00F421AD"/>
    <w:rsid w:val="00F514D5"/>
    <w:rsid w:val="00F606F5"/>
    <w:rsid w:val="00F71C5E"/>
    <w:rsid w:val="00FA0D16"/>
    <w:rsid w:val="00FF4870"/>
    <w:rsid w:val="00FF51B5"/>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1F661"/>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1B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267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61633109">
      <w:bodyDiv w:val="1"/>
      <w:marLeft w:val="0"/>
      <w:marRight w:val="0"/>
      <w:marTop w:val="0"/>
      <w:marBottom w:val="0"/>
      <w:divBdr>
        <w:top w:val="none" w:sz="0" w:space="0" w:color="auto"/>
        <w:left w:val="none" w:sz="0" w:space="0" w:color="auto"/>
        <w:bottom w:val="none" w:sz="0" w:space="0" w:color="auto"/>
        <w:right w:val="none" w:sz="0" w:space="0" w:color="auto"/>
      </w:divBdr>
      <w:divsChild>
        <w:div w:id="1142042523">
          <w:marLeft w:val="0"/>
          <w:marRight w:val="0"/>
          <w:marTop w:val="0"/>
          <w:marBottom w:val="0"/>
          <w:divBdr>
            <w:top w:val="none" w:sz="0" w:space="0" w:color="auto"/>
            <w:left w:val="none" w:sz="0" w:space="0" w:color="auto"/>
            <w:bottom w:val="none" w:sz="0" w:space="0" w:color="auto"/>
            <w:right w:val="none" w:sz="0" w:space="0" w:color="auto"/>
          </w:divBdr>
          <w:divsChild>
            <w:div w:id="61991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876677">
      <w:bodyDiv w:val="1"/>
      <w:marLeft w:val="0"/>
      <w:marRight w:val="0"/>
      <w:marTop w:val="0"/>
      <w:marBottom w:val="0"/>
      <w:divBdr>
        <w:top w:val="none" w:sz="0" w:space="0" w:color="auto"/>
        <w:left w:val="none" w:sz="0" w:space="0" w:color="auto"/>
        <w:bottom w:val="none" w:sz="0" w:space="0" w:color="auto"/>
        <w:right w:val="none" w:sz="0" w:space="0" w:color="auto"/>
      </w:divBdr>
      <w:divsChild>
        <w:div w:id="14159525">
          <w:marLeft w:val="0"/>
          <w:marRight w:val="0"/>
          <w:marTop w:val="0"/>
          <w:marBottom w:val="0"/>
          <w:divBdr>
            <w:top w:val="none" w:sz="0" w:space="0" w:color="auto"/>
            <w:left w:val="none" w:sz="0" w:space="0" w:color="auto"/>
            <w:bottom w:val="none" w:sz="0" w:space="0" w:color="auto"/>
            <w:right w:val="none" w:sz="0" w:space="0" w:color="auto"/>
          </w:divBdr>
          <w:divsChild>
            <w:div w:id="10800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297836679">
      <w:bodyDiv w:val="1"/>
      <w:marLeft w:val="0"/>
      <w:marRight w:val="0"/>
      <w:marTop w:val="0"/>
      <w:marBottom w:val="0"/>
      <w:divBdr>
        <w:top w:val="none" w:sz="0" w:space="0" w:color="auto"/>
        <w:left w:val="none" w:sz="0" w:space="0" w:color="auto"/>
        <w:bottom w:val="none" w:sz="0" w:space="0" w:color="auto"/>
        <w:right w:val="none" w:sz="0" w:space="0" w:color="auto"/>
      </w:divBdr>
      <w:divsChild>
        <w:div w:id="1718092324">
          <w:marLeft w:val="0"/>
          <w:marRight w:val="0"/>
          <w:marTop w:val="0"/>
          <w:marBottom w:val="0"/>
          <w:divBdr>
            <w:top w:val="none" w:sz="0" w:space="0" w:color="auto"/>
            <w:left w:val="none" w:sz="0" w:space="0" w:color="auto"/>
            <w:bottom w:val="none" w:sz="0" w:space="0" w:color="auto"/>
            <w:right w:val="none" w:sz="0" w:space="0" w:color="auto"/>
          </w:divBdr>
          <w:divsChild>
            <w:div w:id="105455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93411161">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BE18C-703D-4C97-9067-8D9F12180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12</Pages>
  <Words>1529</Words>
  <Characters>11409</Characters>
  <Application>Microsoft Office Word</Application>
  <DocSecurity>0</DocSecurity>
  <Lines>302</Lines>
  <Paragraphs>78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https://mul2.gov.am/tasks/787479/oneclick/ampopatert.docx?token=487182f6bafcb8d6ee1372d8c4332fbf</cp:keywords>
  <dc:description/>
  <cp:lastModifiedBy>User</cp:lastModifiedBy>
  <cp:revision>23</cp:revision>
  <dcterms:created xsi:type="dcterms:W3CDTF">2023-04-17T12:47:00Z</dcterms:created>
  <dcterms:modified xsi:type="dcterms:W3CDTF">2023-05-17T10:39:00Z</dcterms:modified>
</cp:coreProperties>
</file>