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07EBE3BA" w14:textId="601520A2" w:rsidR="00274C93" w:rsidRPr="00274C93" w:rsidRDefault="008325A3" w:rsidP="00274C93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A73405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ՀՍԿԱ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ՓԱԿ ԲԱԺՆԵՏԻՐԱԿԱՆ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«</w:t>
      </w:r>
      <w:r w:rsidR="00A73405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ՀՍԿԱ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ՓԱԿ ԲԱԺՆԵՏԻՐԱԿԱՆ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 ԸՆԿԵՐՈՒԹՅԱՆ, «</w:t>
      </w:r>
      <w:r w:rsidR="00A73405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ԱԿԲԱ ԼԻԶԻՆԳ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» </w:t>
      </w:r>
      <w:r w:rsidR="00A73405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 xml:space="preserve">ՎԿ </w:t>
      </w:r>
      <w:r w:rsidR="00274C93" w:rsidRPr="00274C9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փակ բաժնետիրական ընկերության նկատմամբ ԱՐՏՈՆՈՒԹՅՈՒՆԸ ԿԻՐԱՌԵԼՈՒ մասին</w:t>
      </w:r>
    </w:p>
    <w:p w14:paraId="24202766" w14:textId="77777777" w:rsidR="008325A3" w:rsidRPr="008325A3" w:rsidRDefault="008325A3" w:rsidP="00274C93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6DFA67AF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ՀՍԿԱ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</w:t>
      </w:r>
      <w:r w:rsidR="00274C93" w:rsidRPr="00274C93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ԱԿԲԱ ԼԻԶԻՆԳ</w:t>
      </w:r>
      <w:r w:rsidR="00274C93"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ՎԿ </w:t>
      </w:r>
      <w:r w:rsidR="00274C93"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փակ բաժնետիրական ընկերության կողմից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</w:t>
      </w:r>
      <w:r w:rsidR="00C4020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հետագայում ընկերությանը տրամադրվող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2F4D5C16" w14:textId="326FC73F" w:rsidR="00422BE0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ՀՍԿԱ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bookmarkStart w:id="2" w:name="_Hlk129958787"/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bookmarkEnd w:id="2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80711B">
        <w:rPr>
          <w:rFonts w:ascii="GHEA Grapalat" w:eastAsia="Calibri" w:hAnsi="GHEA Grapalat" w:cs="Times New Roman"/>
          <w:sz w:val="24"/>
          <w:szCs w:val="24"/>
          <w:lang w:val="hy-AM"/>
        </w:rPr>
        <w:t>սարքավորումները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նախատեսվում է օգտագործել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բետոնի արտադրության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Արտադրությունն իրականացվելու է ՀՀ Երևան քաղաքում։ 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>Ընկերությունը հիմնադրվել է 20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22</w:t>
      </w:r>
      <w:r w:rsidR="00EE55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>թվականին։</w:t>
      </w:r>
    </w:p>
    <w:p w14:paraId="305725F0" w14:textId="5E61AFC0" w:rsidR="00422BE0" w:rsidRPr="008F5359" w:rsidRDefault="00A73405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Արդեն իսկ իրականացվել է 1</w:t>
      </w:r>
      <w:r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7 մլրդ դրամի կապիտալ ներդրում։ </w:t>
      </w:r>
      <w:r w:rsidR="00422BE0"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1 մլրդ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>դրամի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կապիտալ ներդրում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8F5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37BB87D7" w14:textId="22C7E44F" w:rsidR="00422BE0" w:rsidRPr="006B7AAA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>Նախատեսվում է ներդրումային ծրագրի շրջանակներում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ստեղծել </w:t>
      </w:r>
      <w:r w:rsidR="002271D4">
        <w:rPr>
          <w:rFonts w:ascii="GHEA Grapalat" w:eastAsia="Calibri" w:hAnsi="GHEA Grapalat" w:cs="Times New Roman"/>
          <w:sz w:val="24"/>
          <w:szCs w:val="24"/>
          <w:lang w:val="hy-AM"/>
        </w:rPr>
        <w:t>85</w:t>
      </w:r>
      <w:r w:rsidR="00372E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>նոր աշխատատեղ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2271D4">
        <w:rPr>
          <w:rFonts w:ascii="GHEA Grapalat" w:eastAsia="Calibri" w:hAnsi="GHEA Grapalat" w:cs="Times New Roman"/>
          <w:sz w:val="24"/>
          <w:szCs w:val="24"/>
          <w:lang w:val="hy-AM"/>
        </w:rPr>
        <w:t>680</w:t>
      </w:r>
      <w:r w:rsidR="00280359">
        <w:rPr>
          <w:rFonts w:ascii="GHEA Grapalat" w:eastAsia="Calibri" w:hAnsi="GHEA Grapalat" w:cs="Times New Roman"/>
          <w:sz w:val="24"/>
          <w:szCs w:val="24"/>
          <w:lang w:val="hy-AM"/>
        </w:rPr>
        <w:t>,000 հազ դրամ միջին ամսական աշխատավարձով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105A52EF" w14:textId="2ECC6B4C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95EFD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Արտոնություն ստանալու համար ներկայացված ապրանքների արժեքը կազմում է</w:t>
      </w:r>
      <w:r w:rsidR="00A754F3" w:rsidRPr="00695E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5785C" w:rsidRPr="00695EFD">
        <w:rPr>
          <w:rFonts w:ascii="GHEA Grapalat" w:eastAsia="Calibri" w:hAnsi="GHEA Grapalat" w:cs="Times New Roman"/>
          <w:sz w:val="24"/>
          <w:szCs w:val="24"/>
          <w:lang w:val="hy-AM"/>
        </w:rPr>
        <w:t>776</w:t>
      </w:r>
      <w:r w:rsidR="0015785C" w:rsidRPr="00695EFD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15785C" w:rsidRPr="00695EFD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995050" w:rsidRPr="00695E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</w:t>
      </w:r>
      <w:r w:rsidR="006E1280" w:rsidRPr="00695EFD">
        <w:rPr>
          <w:rFonts w:ascii="GHEA Grapalat" w:eastAsia="Calibri" w:hAnsi="GHEA Grapalat" w:cs="Times New Roman"/>
          <w:sz w:val="24"/>
          <w:szCs w:val="24"/>
          <w:lang w:val="hy-AM"/>
        </w:rPr>
        <w:t>լն</w:t>
      </w:r>
      <w:r w:rsidR="006133DA" w:rsidRPr="00695E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95E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15785C" w:rsidRPr="00695EFD">
        <w:rPr>
          <w:rFonts w:ascii="GHEA Grapalat" w:eastAsia="Calibri" w:hAnsi="GHEA Grapalat" w:cs="Times New Roman"/>
          <w:sz w:val="24"/>
          <w:szCs w:val="24"/>
          <w:lang w:val="hy-AM"/>
        </w:rPr>
        <w:t>95</w:t>
      </w:r>
      <w:r w:rsidR="00735AA7" w:rsidRPr="00695E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E1280" w:rsidRPr="00695E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մլն </w:t>
      </w:r>
      <w:r w:rsidRPr="00695EFD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CEA7EE1" w14:textId="31F6B113" w:rsidR="00274C93" w:rsidRPr="00274C93" w:rsidRDefault="00274C9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Ընկերությունը նախատեսում է ցանկում ներկայացված ապրանքները ներմուծել 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ԱԿԲԱ ԼԻԶԻՆԳ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ՎԿ 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>փակ բաժնետիրական ընկերության (այսուհետ՝ Լիզինգատու կազմակերպություն)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</w:t>
      </w:r>
      <w:bookmarkStart w:id="3" w:name="_GoBack"/>
      <w:bookmarkEnd w:id="3"/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ջոցով՝ 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>պայմանով, որ ապրանքները ներմուծելուց հետո, այն հանձնելու է «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ՀՍԿԱ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ՓԲ</w:t>
      </w:r>
      <w:r w:rsidRPr="00274C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ընկերությանը ներդրումային ծրագրի իրականացման համար։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1BDFF77E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ՀՍԿԱ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օգտվել գերակա ոլորտում իրականացվող ներդրումային ծրագրի շրջանակներում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ԱԿԲԱ ԼԻԶԻՆԳ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ՎԿ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փակ բաժնետիրական ընկերության կողմից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ներմուծվող </w:t>
      </w:r>
      <w:r w:rsidR="00C40207" w:rsidRPr="00C40207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հետագայում ընկերությանը տրամադրվող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519A345A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ՀՍԿԱ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ԱԿԲԱ ԼԻԶԻՆԳ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ՎԿ </w:t>
      </w:r>
      <w:r w:rsidR="001539DE" w:rsidRPr="001539DE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փակ բաժնետիրական ընկերության կողմից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lastRenderedPageBreak/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0C396CD6" w14:textId="3AB8F780" w:rsidR="00E263CD" w:rsidRPr="00E263CD" w:rsidRDefault="008325A3" w:rsidP="00E263CD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73405">
        <w:rPr>
          <w:rFonts w:ascii="GHEA Grapalat" w:eastAsia="Calibri" w:hAnsi="GHEA Grapalat" w:cs="Times New Roman"/>
          <w:sz w:val="24"/>
          <w:szCs w:val="24"/>
          <w:lang w:val="hy-AM"/>
        </w:rPr>
        <w:t>ՀՍԿԱ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223B6">
        <w:rPr>
          <w:rFonts w:ascii="GHEA Grapalat" w:eastAsia="Calibri" w:hAnsi="GHEA Grapalat" w:cs="Times New Roman"/>
          <w:sz w:val="24"/>
          <w:szCs w:val="24"/>
          <w:lang w:val="hy-AM"/>
        </w:rPr>
        <w:t>փակ բաժնետիրական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95EFD" w:rsidRPr="00695EFD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95EFD" w:rsidRPr="00695EF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95EFD" w:rsidRPr="00695EFD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բարձրացմանը։</w:t>
      </w:r>
    </w:p>
    <w:p w14:paraId="05B10D57" w14:textId="1210FA41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29F0D453" w14:textId="332DA3EE" w:rsidR="00701DB3" w:rsidRPr="00C40207" w:rsidRDefault="008325A3" w:rsidP="00C40207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երակա ոլորտում իրականացվող ներդրումային ծրագրի շրջանակներում ներմուծվող տեխնոլոգիական սարքավորումների, դրանց բաղկացուցիչ ու համալրող մասերի, հումքի </w:t>
      </w:r>
      <w:r w:rsid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(կամ) նյութերի նկատմամբ սակագնային, մասնավորապես ներմուծման մաքսատուրքից ազատելու արտոնության կիրառման համար 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ՀՍԿԱ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եվ 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ՀՍԿԱ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223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ընկերության, «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ԱԿԲԱ ԼԻԶԻՆԳ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A734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ՎԿ </w:t>
      </w:r>
      <w:r w:rsidR="001539DE" w:rsidRPr="001539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 ընկերության նկատմամբ արտոնությունը կիրառելու մասին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sectPr w:rsidR="00701DB3" w:rsidRPr="00C40207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1311" w14:textId="77777777" w:rsidR="008B25D5" w:rsidRDefault="008B25D5" w:rsidP="008325A3">
      <w:pPr>
        <w:spacing w:after="0" w:line="240" w:lineRule="auto"/>
      </w:pPr>
      <w:r>
        <w:separator/>
      </w:r>
    </w:p>
  </w:endnote>
  <w:endnote w:type="continuationSeparator" w:id="0">
    <w:p w14:paraId="1BE0ABBE" w14:textId="77777777" w:rsidR="008B25D5" w:rsidRDefault="008B25D5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8B25D5">
    <w:pPr>
      <w:pStyle w:val="Footer"/>
    </w:pPr>
  </w:p>
  <w:p w14:paraId="722B2118" w14:textId="77777777" w:rsidR="00085719" w:rsidRDefault="008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5850" w14:textId="77777777" w:rsidR="008B25D5" w:rsidRDefault="008B25D5" w:rsidP="008325A3">
      <w:pPr>
        <w:spacing w:after="0" w:line="240" w:lineRule="auto"/>
      </w:pPr>
      <w:r>
        <w:separator/>
      </w:r>
    </w:p>
  </w:footnote>
  <w:footnote w:type="continuationSeparator" w:id="0">
    <w:p w14:paraId="100D9FA9" w14:textId="77777777" w:rsidR="008B25D5" w:rsidRDefault="008B25D5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9BD"/>
    <w:rsid w:val="00003DCC"/>
    <w:rsid w:val="0001424A"/>
    <w:rsid w:val="000248F8"/>
    <w:rsid w:val="00061418"/>
    <w:rsid w:val="000C5FC4"/>
    <w:rsid w:val="000F2997"/>
    <w:rsid w:val="000F73DB"/>
    <w:rsid w:val="00145D00"/>
    <w:rsid w:val="001539DE"/>
    <w:rsid w:val="0015785C"/>
    <w:rsid w:val="001A66E8"/>
    <w:rsid w:val="00200271"/>
    <w:rsid w:val="002271D4"/>
    <w:rsid w:val="00250194"/>
    <w:rsid w:val="00263750"/>
    <w:rsid w:val="00274C93"/>
    <w:rsid w:val="00280359"/>
    <w:rsid w:val="002C7C84"/>
    <w:rsid w:val="002E6D46"/>
    <w:rsid w:val="00315FC7"/>
    <w:rsid w:val="00372E28"/>
    <w:rsid w:val="003A4261"/>
    <w:rsid w:val="00422BE0"/>
    <w:rsid w:val="004260A6"/>
    <w:rsid w:val="00456BAD"/>
    <w:rsid w:val="004E76EC"/>
    <w:rsid w:val="005005F0"/>
    <w:rsid w:val="00564EB7"/>
    <w:rsid w:val="005D60EF"/>
    <w:rsid w:val="006133DA"/>
    <w:rsid w:val="00641121"/>
    <w:rsid w:val="00662BF1"/>
    <w:rsid w:val="00695EFD"/>
    <w:rsid w:val="006B7AAA"/>
    <w:rsid w:val="006C3889"/>
    <w:rsid w:val="006E1280"/>
    <w:rsid w:val="00701DB3"/>
    <w:rsid w:val="00735AA7"/>
    <w:rsid w:val="00767E59"/>
    <w:rsid w:val="007C0CC6"/>
    <w:rsid w:val="007E1C44"/>
    <w:rsid w:val="0080711B"/>
    <w:rsid w:val="008223B6"/>
    <w:rsid w:val="008325A3"/>
    <w:rsid w:val="00860A1F"/>
    <w:rsid w:val="008B25D5"/>
    <w:rsid w:val="008B3C8F"/>
    <w:rsid w:val="008E039B"/>
    <w:rsid w:val="008F00A7"/>
    <w:rsid w:val="008F5359"/>
    <w:rsid w:val="00923BD8"/>
    <w:rsid w:val="00945EA8"/>
    <w:rsid w:val="00973C80"/>
    <w:rsid w:val="00995050"/>
    <w:rsid w:val="00A73405"/>
    <w:rsid w:val="00A754F3"/>
    <w:rsid w:val="00A83774"/>
    <w:rsid w:val="00AD3592"/>
    <w:rsid w:val="00B504B1"/>
    <w:rsid w:val="00BA1E12"/>
    <w:rsid w:val="00C02BDD"/>
    <w:rsid w:val="00C40207"/>
    <w:rsid w:val="00C85CFB"/>
    <w:rsid w:val="00D165E0"/>
    <w:rsid w:val="00D2268F"/>
    <w:rsid w:val="00D2370A"/>
    <w:rsid w:val="00D5383E"/>
    <w:rsid w:val="00E263CD"/>
    <w:rsid w:val="00E554BD"/>
    <w:rsid w:val="00EE55B1"/>
    <w:rsid w:val="00F2486B"/>
    <w:rsid w:val="00F91CE1"/>
    <w:rsid w:val="00FA3EF3"/>
    <w:rsid w:val="00FB5BE5"/>
    <w:rsid w:val="00FB75E7"/>
    <w:rsid w:val="00FC1EF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  <w:style w:type="paragraph" w:styleId="BalloonText">
    <w:name w:val="Balloon Text"/>
    <w:basedOn w:val="Normal"/>
    <w:link w:val="BalloonTextChar"/>
    <w:uiPriority w:val="99"/>
    <w:semiHidden/>
    <w:unhideWhenUsed/>
    <w:rsid w:val="0015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45DF-0ABA-45B3-9456-741AC478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27</cp:revision>
  <cp:lastPrinted>2022-11-21T08:32:00Z</cp:lastPrinted>
  <dcterms:created xsi:type="dcterms:W3CDTF">2022-01-19T13:25:00Z</dcterms:created>
  <dcterms:modified xsi:type="dcterms:W3CDTF">2023-04-07T12:01:00Z</dcterms:modified>
</cp:coreProperties>
</file>