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AB49CB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AB49CB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57C03A7E" w14:textId="467D1144" w:rsidR="0077537C" w:rsidRPr="00AB49CB" w:rsidRDefault="008B225F" w:rsidP="008B225F">
      <w:pPr>
        <w:spacing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lang w:val="hy-AM"/>
        </w:rPr>
        <w:t>«</w:t>
      </w:r>
      <w:r w:rsidRPr="008B225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և (կամ) նյութերի նկատմամբ սակագնային, մասնավորապես, ներմուծման մաքսատուրքից ազատելու արտոնությունից օգտվելու համար</w:t>
      </w:r>
      <w:r w:rsidRPr="008B225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«ՊԱՆՈ» </w:t>
      </w:r>
      <w:r w:rsidRPr="008B225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սահմանափակ պատասխանատվությամբ ընկերության կողմից ներկայացված հայտը բավարարելու եվ արտոնությունը կիրառելու մասին»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914853" w:rsidRPr="00AB49C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կառավարության որոշման նախագծի վերաբերյալ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914853" w:rsidRPr="00AB49C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շահագրգիռ մարմինների առարկությունների</w:t>
      </w:r>
      <w:r w:rsidR="0057528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և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914853" w:rsidRPr="00AB49C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առաջարկությունների</w:t>
      </w:r>
    </w:p>
    <w:p w14:paraId="665EF567" w14:textId="77777777" w:rsidR="00914853" w:rsidRPr="00AB49CB" w:rsidRDefault="00914853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48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2"/>
        <w:gridCol w:w="5364"/>
      </w:tblGrid>
      <w:tr w:rsidR="0077537C" w:rsidRPr="00AB49CB" w14:paraId="5DF326E4" w14:textId="77777777" w:rsidTr="008B225F">
        <w:trPr>
          <w:trHeight w:val="717"/>
          <w:tblCellSpacing w:w="0" w:type="dxa"/>
          <w:jc w:val="center"/>
        </w:trPr>
        <w:tc>
          <w:tcPr>
            <w:tcW w:w="94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43E77DCA" w14:textId="1689342F" w:rsidR="0077537C" w:rsidRPr="00AB49CB" w:rsidRDefault="0077537C" w:rsidP="00622F8F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0BD3294D" w:rsidR="0077537C" w:rsidRPr="00AB49CB" w:rsidRDefault="008B225F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21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57528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AB49CB" w14:paraId="3E13445D" w14:textId="77777777" w:rsidTr="008B225F">
        <w:trPr>
          <w:trHeight w:val="480"/>
          <w:tblCellSpacing w:w="0" w:type="dxa"/>
          <w:jc w:val="center"/>
        </w:trPr>
        <w:tc>
          <w:tcPr>
            <w:tcW w:w="94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580E8C5D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8B225F" w:rsidRPr="008B225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01/2-1/7811-2023</w:t>
            </w:r>
          </w:p>
        </w:tc>
      </w:tr>
      <w:tr w:rsidR="0077537C" w:rsidRPr="00AB49CB" w14:paraId="759FF38C" w14:textId="77777777" w:rsidTr="008B225F">
        <w:trPr>
          <w:trHeight w:val="957"/>
          <w:tblCellSpacing w:w="0" w:type="dxa"/>
          <w:jc w:val="center"/>
        </w:trPr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AF17B" w14:textId="77777777" w:rsidR="0016145A" w:rsidRDefault="008B225F" w:rsidP="008B225F">
            <w:pPr>
              <w:spacing w:before="120" w:after="0" w:line="360" w:lineRule="auto"/>
              <w:ind w:left="60" w:right="75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Գերակա ոլորտում իրակա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նացվող ներդրումային ծրագրի շրջանակներում ներմուծվող տեխնոլոգիական սարքա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վորումների, դրանց բաղկացուցիչ ու համալրող մասերի, հումքի և (կամ) նյութերի նկատմամբ սակա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գնային, մասնավորապես, ներմուծման մաքսատուրքից ազատելու արտոնությունից օգտվելու համար «Պանո» սահմանափակ պատասխանատվությամբ ընկերության կողմից ներկա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յացված հայտը բավարարելու և արտոնությունը կիրառելու մասին ՀՀ կառա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վարության որոշման նախագծի և հայտի վերա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բերյալ հայտ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նում ենք, որ դիտողություններ և առա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ջարկություններ չկան։</w:t>
            </w:r>
          </w:p>
          <w:p w14:paraId="0CBDEC45" w14:textId="77777777" w:rsidR="008B225F" w:rsidRDefault="008B225F" w:rsidP="008B225F">
            <w:pPr>
              <w:spacing w:before="120" w:after="0" w:line="360" w:lineRule="auto"/>
              <w:ind w:left="60" w:right="75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04328472" w14:textId="2B4EE542" w:rsidR="008B225F" w:rsidRPr="00AB49CB" w:rsidRDefault="008B225F" w:rsidP="008B225F">
            <w:pPr>
              <w:spacing w:before="120" w:after="0" w:line="360" w:lineRule="auto"/>
              <w:ind w:left="150" w:right="75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4AF88F4E" w:rsidR="0077537C" w:rsidRPr="00AB49CB" w:rsidRDefault="00BB066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bookmarkStart w:id="1" w:name="_GoBack"/>
            <w:bookmarkEnd w:id="1"/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</w:t>
            </w:r>
            <w:r w:rsidR="00092818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է։ </w:t>
            </w:r>
          </w:p>
        </w:tc>
      </w:tr>
      <w:tr w:rsidR="0077537C" w:rsidRPr="00AB49CB" w14:paraId="0D9A04D2" w14:textId="77777777" w:rsidTr="008B225F">
        <w:trPr>
          <w:trHeight w:val="615"/>
          <w:tblCellSpacing w:w="0" w:type="dxa"/>
          <w:jc w:val="center"/>
        </w:trPr>
        <w:tc>
          <w:tcPr>
            <w:tcW w:w="9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3D44CCFA" w14:textId="572A8DA7" w:rsidR="0077537C" w:rsidRPr="00AB49CB" w:rsidRDefault="0077537C" w:rsidP="00622F8F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2" w:name="_Hlk69199583"/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2. ՀՀ պետական եկամուտների կոմիտե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5DA9275E" w:rsidR="0077537C" w:rsidRPr="00AB49CB" w:rsidRDefault="008B225F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21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57528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AB49CB" w14:paraId="7AC49DF7" w14:textId="77777777" w:rsidTr="008B225F">
        <w:trPr>
          <w:trHeight w:val="753"/>
          <w:tblCellSpacing w:w="0" w:type="dxa"/>
          <w:jc w:val="center"/>
        </w:trPr>
        <w:tc>
          <w:tcPr>
            <w:tcW w:w="9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7246036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8B225F" w:rsidRPr="008B225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01/3-2/24096-2023</w:t>
            </w:r>
          </w:p>
        </w:tc>
      </w:tr>
      <w:tr w:rsidR="0077537C" w:rsidRPr="008B225F" w14:paraId="5BC6AF60" w14:textId="77777777" w:rsidTr="008B225F">
        <w:trPr>
          <w:trHeight w:val="3045"/>
          <w:tblCellSpacing w:w="0" w:type="dxa"/>
          <w:jc w:val="center"/>
        </w:trPr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6AEB51" w14:textId="77777777" w:rsidR="008B225F" w:rsidRPr="008B225F" w:rsidRDefault="008B225F" w:rsidP="008B225F">
            <w:pPr>
              <w:spacing w:line="360" w:lineRule="auto"/>
              <w:ind w:left="60" w:right="75" w:firstLine="65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225F">
              <w:rPr>
                <w:rFonts w:ascii="GHEA Grapalat" w:hAnsi="GHEA Grapalat" w:cs="Sylfaen"/>
                <w:sz w:val="24"/>
                <w:szCs w:val="24"/>
                <w:lang w:val="hy-AM"/>
              </w:rPr>
              <w:t>Առաջնորդվելով Հայաստանի Հանրապետության կառավարության 2015 թվականի սեպտեմբերի 17-ի N 1118-Ն որոշման հավելվածով հաստատված կարգի 17-րդ կետով՝ Կարգի 14-րդ կետին համապատասխան «Պանո» սահմանափակ պատասխանատ</w:t>
            </w:r>
            <w:r w:rsidRPr="008B225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վությամբ ընկերության կողմից ներկայացված հայտի, ինչպես նաև «Գերակա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և (կամ) նյութերի նկատմամբ սակագնային, մասնավորապես, ներմուծման մաքսատուրքից ազատելու արտոնությունից օգտվելու համար «Պանո»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նախագծի վերա</w:t>
            </w:r>
            <w:r w:rsidRPr="008B225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բերյալ հայտնում ենք, որ նախագծի հավելվածում ներկայացված ապրանքների ցանկում նշված ապրանքների վերաբերյալ տեղեկությունները բավարար չեն ըստ Եվրասիական տնտեսական միության արտաքին տնտեսական գործունեության ապրանքային անվա</w:t>
            </w:r>
            <w:r w:rsidRPr="008B225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</w:t>
            </w:r>
            <w:r w:rsidRPr="008B225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ցանկի` դասակարգման ճշգրտության վերաբերյալ դիրքորոշում ներկայացնելու համար:</w:t>
            </w:r>
          </w:p>
          <w:p w14:paraId="5E4978F8" w14:textId="77777777" w:rsidR="0077537C" w:rsidRDefault="008B225F" w:rsidP="008B225F">
            <w:pPr>
              <w:spacing w:line="360" w:lineRule="auto"/>
              <w:ind w:left="60" w:right="75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22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Միաժամանակ,  «Պանո» սահմանափակ պատասխանատվությամբ ընկերությունը (ՀՎՀՀ 02255916, գրանցված 21.02.2013թ.) գործում է հարկման </w:t>
            </w:r>
            <w:r w:rsidRPr="008B225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ընդհանուր համակարգում, ըստ ներկայացրած վերջին՝ 2023թ. փետրվար ամսվա եկամտային հարկի և սոցիալական վճարի ամսական հաշվարկի ունի 122 հարկման բազա ունեցող վարձու աշխատողներ, որոնց միջին հարկման բազան կազմում է 267,707 ՀՀ դրամ: Ինչ վերաբերում է ընկերության շրջանառությունից ստացված տարեկան հասույթներին, ապա հայտնում ենք, որ ընկերության կողմից իրացման վերաբերյալ դիմումին կից ներկայացված տեղեկատվությունը չի համընկնում հարկային մարմնի տեղեկատվական բազայում առկա տվյալների հետ, ուստի տեղեկատվությունը հանդիսանում է հարկային գաղտնիք և ենթակա չէ տրամադրման, իսկ 16.04.2023թ</w:t>
            </w:r>
            <w:r w:rsidRPr="008B22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8B22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դրությամբ ընկերությունն ունի հարկային մարմնի կողմից վերահսկվող եկամուտների գծով ժամկետանց պարտա</w:t>
            </w:r>
            <w:r w:rsidRPr="008B225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վորություն:</w:t>
            </w:r>
          </w:p>
          <w:p w14:paraId="63ED152C" w14:textId="0372984D" w:rsidR="00772957" w:rsidRPr="008B225F" w:rsidRDefault="00772957" w:rsidP="008B225F">
            <w:pPr>
              <w:spacing w:line="360" w:lineRule="auto"/>
              <w:ind w:left="60" w:right="75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23059" w14:textId="57D74C0B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Ընդունվել է։</w:t>
            </w:r>
          </w:p>
          <w:p w14:paraId="798D26D9" w14:textId="6B632570" w:rsidR="00092818" w:rsidRPr="00AB49CB" w:rsidRDefault="008B225F" w:rsidP="00BB0668">
            <w:pPr>
              <w:tabs>
                <w:tab w:val="center" w:pos="4680"/>
                <w:tab w:val="right" w:pos="9360"/>
              </w:tabs>
              <w:spacing w:after="0" w:line="360" w:lineRule="auto"/>
              <w:ind w:left="75" w:right="13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</w:t>
            </w:r>
            <w:r w:rsidRPr="008B22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արկային մարմնի կողմից վերահսկվող </w:t>
            </w:r>
            <w:r w:rsidR="00BB06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Pr="008B225F">
              <w:rPr>
                <w:rFonts w:ascii="GHEA Grapalat" w:hAnsi="GHEA Grapalat" w:cs="Sylfaen"/>
                <w:sz w:val="24"/>
                <w:szCs w:val="24"/>
                <w:lang w:val="hy-AM"/>
              </w:rPr>
              <w:t>եկամուտների գծով ժամկետանց պարտավորություն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մարման վերաբերյալ տեղեկանքը կցվում է։</w:t>
            </w:r>
          </w:p>
          <w:p w14:paraId="384533E7" w14:textId="51E4E475" w:rsidR="00092818" w:rsidRPr="00AB49CB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51D378A" w14:textId="5CE89D92" w:rsidR="00092818" w:rsidRPr="00AB49CB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2F1CE37" w14:textId="71810E8F" w:rsidR="00092818" w:rsidRPr="00AB49CB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1158760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1F71477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ED8E19C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15414D9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14:paraId="4CEDD9BB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5B08DC" w:rsidRPr="00AB49CB" w14:paraId="2887830F" w14:textId="77777777" w:rsidTr="008B225F">
        <w:trPr>
          <w:trHeight w:val="750"/>
          <w:tblCellSpacing w:w="0" w:type="dxa"/>
          <w:jc w:val="center"/>
        </w:trPr>
        <w:tc>
          <w:tcPr>
            <w:tcW w:w="94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EC691CB" w14:textId="77777777" w:rsidR="00622F8F" w:rsidRDefault="00622F8F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14:paraId="06818804" w14:textId="77777777" w:rsidR="005B08DC" w:rsidRDefault="000B33DD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>3</w:t>
            </w:r>
            <w:r w:rsidR="005B08DC" w:rsidRPr="00AB49C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5B08DC"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ՀՀ </w:t>
            </w:r>
            <w:r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>արդարադատության նախարարություն</w:t>
            </w:r>
          </w:p>
          <w:p w14:paraId="57DE0F1F" w14:textId="32D3E83F" w:rsidR="00622F8F" w:rsidRPr="00AB49CB" w:rsidRDefault="00622F8F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CF6F0F9" w14:textId="152B1A72" w:rsidR="005B08DC" w:rsidRPr="00AB49CB" w:rsidRDefault="0077295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</w:t>
            </w:r>
            <w:r w:rsidR="005B08D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57528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5B08D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57528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5B08D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</w:t>
            </w:r>
            <w:r w:rsidR="005B08DC" w:rsidRPr="00AB49CB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5B08DC" w:rsidRPr="00AB49CB" w14:paraId="573C6E80" w14:textId="77777777" w:rsidTr="008B225F">
        <w:trPr>
          <w:trHeight w:val="65"/>
          <w:tblCellSpacing w:w="0" w:type="dxa"/>
          <w:jc w:val="center"/>
        </w:trPr>
        <w:tc>
          <w:tcPr>
            <w:tcW w:w="94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7834426" w14:textId="77777777" w:rsidR="005B08DC" w:rsidRPr="00AB49CB" w:rsidRDefault="005B08DC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1DA1AA0" w14:textId="7B2E61AF" w:rsidR="005B08DC" w:rsidRPr="00AB49CB" w:rsidRDefault="005B08D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N</w:t>
            </w:r>
            <w:r w:rsidRPr="0077295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72957" w:rsidRPr="0077295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/27.4/19949-2023</w:t>
            </w:r>
          </w:p>
        </w:tc>
      </w:tr>
      <w:tr w:rsidR="005B08DC" w:rsidRPr="00AB49CB" w14:paraId="7558B97D" w14:textId="77777777" w:rsidTr="008B225F">
        <w:trPr>
          <w:trHeight w:val="642"/>
          <w:tblCellSpacing w:w="0" w:type="dxa"/>
          <w:jc w:val="center"/>
        </w:trPr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8C2D9" w14:textId="77777777" w:rsidR="00772957" w:rsidRDefault="00772957" w:rsidP="00772957">
            <w:pPr>
              <w:widowControl w:val="0"/>
              <w:spacing w:after="0"/>
              <w:ind w:left="-360" w:right="-180"/>
              <w:jc w:val="center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ԿԱՐԾԻՔ</w:t>
            </w:r>
          </w:p>
          <w:p w14:paraId="5A67DF30" w14:textId="77777777" w:rsidR="00772957" w:rsidRDefault="00772957" w:rsidP="00772957">
            <w:pPr>
              <w:widowControl w:val="0"/>
              <w:spacing w:after="0" w:line="360" w:lineRule="auto"/>
              <w:ind w:right="-180"/>
              <w:jc w:val="center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Գերակա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ոլորտում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իրականացվող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ներդրումային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ծրագրի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ներմուծվող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տեխնոլոգիական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սարքավորումների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բաղկացուցիչ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ու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համալրող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մասերի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հումքի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և (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նյութերի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նկատմամբ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սակագնային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մասնավորապես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ներմուծման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մաքսատուրքից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ազատելու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արտոնության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կիրառման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«ՊԱՆՈ»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սահմանափակ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պատասխանատվությամբ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ընկերության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ներկայացված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հայտը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բավարարելու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արտոնությունը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կիրառելու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վերաբերյալ</w:t>
            </w:r>
            <w:proofErr w:type="spellEnd"/>
          </w:p>
          <w:p w14:paraId="5DEA24E7" w14:textId="77777777" w:rsidR="00772957" w:rsidRDefault="00772957" w:rsidP="00772957">
            <w:pPr>
              <w:widowControl w:val="0"/>
              <w:spacing w:after="0" w:line="360" w:lineRule="auto"/>
              <w:ind w:right="-180"/>
              <w:jc w:val="center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7A96A468" w14:textId="77777777" w:rsidR="00772957" w:rsidRDefault="00772957" w:rsidP="000E0D6B">
            <w:pPr>
              <w:widowControl w:val="0"/>
              <w:spacing w:after="0" w:line="360" w:lineRule="auto"/>
              <w:ind w:left="150" w:right="75" w:firstLine="720"/>
              <w:jc w:val="both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և (կամ) նյութերի նկատմամբ սակագնային, մասնավորապես ներմուծման մաքսատուրքից ազատելու արտոնության կիրառման համար «ՊԱՆՈ»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վերաբերյալ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դիտողություններ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չունենք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14:paraId="7FEF3C22" w14:textId="002E189B" w:rsidR="005B08DC" w:rsidRPr="00AB49CB" w:rsidRDefault="00772957" w:rsidP="00772957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197941" w14:textId="77777777" w:rsidR="00772957" w:rsidRDefault="0077295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0D2A727" w14:textId="77777777" w:rsidR="00772957" w:rsidRDefault="0077295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4037752" w14:textId="77777777" w:rsidR="00772957" w:rsidRDefault="0077295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20ED3B98" w14:textId="77777777" w:rsidR="00772957" w:rsidRDefault="0077295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FD0B9A3" w14:textId="77777777" w:rsidR="00772957" w:rsidRDefault="0077295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A355B49" w14:textId="77777777" w:rsidR="00772957" w:rsidRDefault="0077295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65BA0C6" w14:textId="77777777" w:rsidR="00772957" w:rsidRDefault="0077295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147F03E" w14:textId="77777777" w:rsidR="00772957" w:rsidRDefault="0077295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2624083F" w14:textId="77777777" w:rsidR="00772957" w:rsidRDefault="0077295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4C922BE" w14:textId="77777777" w:rsidR="00772957" w:rsidRDefault="0077295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7E2DD83" w14:textId="027D2E11" w:rsidR="005B08DC" w:rsidRPr="00AB49CB" w:rsidRDefault="00BB066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0B33DD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</w:tc>
      </w:tr>
      <w:bookmarkEnd w:id="0"/>
      <w:bookmarkEnd w:id="2"/>
    </w:tbl>
    <w:p w14:paraId="7042EAE9" w14:textId="77777777" w:rsidR="0077537C" w:rsidRPr="00AB49CB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AB49CB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92818"/>
    <w:rsid w:val="000A558F"/>
    <w:rsid w:val="000B1583"/>
    <w:rsid w:val="000B33DD"/>
    <w:rsid w:val="000E0D6B"/>
    <w:rsid w:val="0016145A"/>
    <w:rsid w:val="00250194"/>
    <w:rsid w:val="003C37B7"/>
    <w:rsid w:val="003D2AC6"/>
    <w:rsid w:val="0057528B"/>
    <w:rsid w:val="005B08DC"/>
    <w:rsid w:val="005D2217"/>
    <w:rsid w:val="00622F8F"/>
    <w:rsid w:val="007174DF"/>
    <w:rsid w:val="00772957"/>
    <w:rsid w:val="0077537C"/>
    <w:rsid w:val="00793867"/>
    <w:rsid w:val="007E11A3"/>
    <w:rsid w:val="007F2A15"/>
    <w:rsid w:val="007F42AC"/>
    <w:rsid w:val="008B225F"/>
    <w:rsid w:val="008B3C8F"/>
    <w:rsid w:val="00914853"/>
    <w:rsid w:val="00A123B0"/>
    <w:rsid w:val="00AA33F5"/>
    <w:rsid w:val="00AB49CB"/>
    <w:rsid w:val="00BB0668"/>
    <w:rsid w:val="00C83321"/>
    <w:rsid w:val="00E85ACA"/>
    <w:rsid w:val="00E93523"/>
    <w:rsid w:val="00F35A89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897CA7A4-7629-4FEB-BE5C-DE143D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793867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793867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D22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https://mul2.gov.am/tasks/783924/oneclick/ampopatert.docx?token=dd1bb22b2b9482df766da13b5df3357c</cp:keywords>
  <dc:description/>
  <cp:lastModifiedBy>Gohar H. Harutyunyan</cp:lastModifiedBy>
  <cp:revision>22</cp:revision>
  <dcterms:created xsi:type="dcterms:W3CDTF">2021-11-10T11:33:00Z</dcterms:created>
  <dcterms:modified xsi:type="dcterms:W3CDTF">2023-04-28T11:04:00Z</dcterms:modified>
</cp:coreProperties>
</file>