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6E" w:rsidRPr="00291DF4" w:rsidRDefault="002E7D6E" w:rsidP="00DD701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291DF4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2E7D6E" w:rsidRDefault="002E7D6E" w:rsidP="00DD7011">
      <w:pPr>
        <w:spacing w:after="0"/>
        <w:jc w:val="center"/>
        <w:outlineLvl w:val="2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52657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52657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ԿԱՌԱՎԱՐՈՒԹՅԱՆ 2002 ԹՎԱԿԱՆԻ ՀՈՒՆԻՍԻ 29-Ի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N </w:t>
      </w:r>
      <w:bookmarkStart w:id="0" w:name="_GoBack"/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867</w:t>
      </w:r>
      <w:bookmarkEnd w:id="0"/>
      <w:r w:rsidRPr="0052657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ՈՐՈՇՄԱՆ ՄԵՋ ԼՐԱՑՈՒՄ ԿԱՏԱՐԵԼՈՒ ՄԱՍԻՆ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</w:t>
      </w:r>
      <w:r w:rsidRPr="00DD5FF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ՈՐՈՇՄԱՆ ՆԱԽԱԳԾԻ </w:t>
      </w:r>
      <w:r w:rsidRPr="002C6C43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ԸՆԴՈՒՆՄԱՆ</w:t>
      </w:r>
    </w:p>
    <w:p w:rsidR="00DD7011" w:rsidRPr="00814D37" w:rsidRDefault="00DD7011" w:rsidP="00DD7011">
      <w:pPr>
        <w:spacing w:after="0"/>
        <w:jc w:val="center"/>
        <w:outlineLvl w:val="2"/>
        <w:rPr>
          <w:rFonts w:ascii="GHEA Grapalat" w:hAnsi="GHEA Grapalat"/>
          <w:b/>
          <w:bCs/>
          <w:caps/>
          <w:color w:val="000000"/>
          <w:sz w:val="24"/>
          <w:szCs w:val="24"/>
          <w:lang w:val="hy-AM"/>
        </w:rPr>
      </w:pPr>
    </w:p>
    <w:p w:rsidR="002E7D6E" w:rsidRDefault="002E7D6E" w:rsidP="00DD701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142" w:firstLine="567"/>
        <w:contextualSpacing/>
        <w:jc w:val="both"/>
        <w:rPr>
          <w:rFonts w:ascii="GHEA Grapalat" w:hAnsi="GHEA Grapalat"/>
          <w:b/>
          <w:i/>
          <w:lang w:val="hy-AM"/>
        </w:rPr>
      </w:pPr>
      <w:r w:rsidRPr="006E1734">
        <w:rPr>
          <w:rFonts w:ascii="GHEA Grapalat" w:hAnsi="GHEA Grapalat"/>
          <w:b/>
          <w:i/>
          <w:lang w:val="hy-AM"/>
        </w:rPr>
        <w:t>Նախագծերի ընդունման անհրաժեշտությունը.</w:t>
      </w:r>
    </w:p>
    <w:p w:rsidR="002E7D6E" w:rsidRDefault="002E7D6E" w:rsidP="00DD7011">
      <w:pPr>
        <w:pStyle w:val="NormalWeb"/>
        <w:spacing w:before="0" w:beforeAutospacing="0" w:after="0" w:afterAutospacing="0" w:line="276" w:lineRule="auto"/>
        <w:ind w:firstLine="708"/>
        <w:contextualSpacing/>
        <w:jc w:val="both"/>
        <w:rPr>
          <w:rFonts w:ascii="GHEA Grapalat" w:hAnsi="GHEA Grapalat" w:cs="Sylfaen"/>
          <w:color w:val="000000"/>
          <w:lang w:val="hy-AM"/>
        </w:rPr>
      </w:pPr>
      <w:r w:rsidRPr="006E1734">
        <w:rPr>
          <w:rFonts w:ascii="GHEA Grapalat" w:hAnsi="GHEA Grapalat" w:cs="Sylfaen"/>
          <w:color w:val="000000"/>
          <w:lang w:val="hy-AM"/>
        </w:rPr>
        <w:t>Հայաստանի</w:t>
      </w:r>
      <w:r w:rsidRPr="00526575">
        <w:rPr>
          <w:rFonts w:ascii="GHEA Grapalat" w:hAnsi="GHEA Grapalat"/>
          <w:bCs/>
          <w:color w:val="000000"/>
          <w:lang w:val="hy-AM"/>
        </w:rPr>
        <w:t xml:space="preserve"> Հանրապետության կառավարության 2002 թվականի հունիսի 29-ի «Հայաստանի Հանրապետությունում դեղերի արտադրության, դեղատնային գործունեության, կազմակերպությունների կամ անհատ ձեռնարկատերերի կողմից բժշկական օգնության և սպասարկման իրականացման, դեղերի մեծածախ իրացման</w:t>
      </w:r>
      <w:r w:rsidR="00C806BA" w:rsidRPr="008A33DF">
        <w:rPr>
          <w:rFonts w:ascii="GHEA Grapalat" w:hAnsi="GHEA Grapalat"/>
          <w:bCs/>
          <w:iCs/>
          <w:color w:val="000000"/>
          <w:lang w:val="hy-AM"/>
        </w:rPr>
        <w:t>, բժշկական արտադրատեսակների արտադրության, բժշկական արտադրատեսակների սպասարկման</w:t>
      </w:r>
      <w:r w:rsidRPr="00526575">
        <w:rPr>
          <w:rFonts w:ascii="GHEA Grapalat" w:hAnsi="GHEA Grapalat"/>
          <w:bCs/>
          <w:color w:val="000000"/>
          <w:lang w:val="hy-AM"/>
        </w:rPr>
        <w:t xml:space="preserve"> լիցենզավորման կարգերը և նշված գործունեությունների իրականացման լիցենզիայի </w:t>
      </w:r>
      <w:proofErr w:type="spellStart"/>
      <w:r w:rsidRPr="00526575">
        <w:rPr>
          <w:rFonts w:ascii="GHEA Grapalat" w:hAnsi="GHEA Grapalat"/>
          <w:bCs/>
          <w:color w:val="000000"/>
          <w:lang w:val="hy-AM"/>
        </w:rPr>
        <w:t>ձևերը</w:t>
      </w:r>
      <w:proofErr w:type="spellEnd"/>
      <w:r w:rsidRPr="00526575">
        <w:rPr>
          <w:rFonts w:ascii="GHEA Grapalat" w:hAnsi="GHEA Grapalat"/>
          <w:bCs/>
          <w:color w:val="000000"/>
          <w:lang w:val="hy-AM"/>
        </w:rPr>
        <w:t xml:space="preserve"> հաստատելու մասին» N 867 որոշման</w:t>
      </w:r>
      <w:r w:rsidRPr="00DD5FF5">
        <w:rPr>
          <w:rFonts w:ascii="GHEA Grapalat" w:hAnsi="GHEA Grapalat" w:cs="Courier New"/>
          <w:bCs/>
          <w:color w:val="000000"/>
          <w:lang w:val="hy-AM"/>
        </w:rPr>
        <w:t xml:space="preserve"> մեջ լրացում կատարելու</w:t>
      </w:r>
      <w:r w:rsidRPr="00DD5FF5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մասին Հայաստանի Հանրապետության կառավարության որոշման </w:t>
      </w:r>
      <w:r w:rsidRPr="00DD5FF5">
        <w:rPr>
          <w:rFonts w:ascii="GHEA Grapalat" w:hAnsi="GHEA Grapalat" w:cs="Sylfaen"/>
          <w:bCs/>
          <w:color w:val="000000"/>
          <w:lang w:val="hy-AM"/>
        </w:rPr>
        <w:t>նախագծի</w:t>
      </w:r>
      <w:r w:rsidRPr="00DD5FF5">
        <w:rPr>
          <w:rFonts w:ascii="GHEA Grapalat" w:hAnsi="GHEA Grapalat"/>
          <w:color w:val="000000"/>
          <w:lang w:val="hy-AM"/>
        </w:rPr>
        <w:t xml:space="preserve"> </w:t>
      </w:r>
      <w:r w:rsidRPr="00DD5FF5">
        <w:rPr>
          <w:rFonts w:ascii="GHEA Grapalat" w:hAnsi="GHEA Grapalat" w:cs="Sylfaen"/>
          <w:color w:val="000000"/>
          <w:lang w:val="hy-AM"/>
        </w:rPr>
        <w:t xml:space="preserve">ընդունումը պայմանավորված է </w:t>
      </w:r>
      <w:r w:rsidR="006D7386">
        <w:rPr>
          <w:rFonts w:ascii="GHEA Grapalat" w:hAnsi="GHEA Grapalat" w:cs="Sylfaen"/>
          <w:color w:val="000000"/>
          <w:lang w:val="hy-AM"/>
        </w:rPr>
        <w:t>դեղերի շրջանառության ոլորտում միատեսակ կարգավորումներ սահմանելու</w:t>
      </w:r>
      <w:r w:rsidR="006B0393">
        <w:rPr>
          <w:rFonts w:ascii="GHEA Grapalat" w:hAnsi="GHEA Grapalat" w:cs="Sylfaen"/>
          <w:color w:val="000000"/>
          <w:lang w:val="hy-AM"/>
        </w:rPr>
        <w:t>, իրավական բացը լրացնելու</w:t>
      </w:r>
      <w:r w:rsidR="006D7386">
        <w:rPr>
          <w:rFonts w:ascii="GHEA Grapalat" w:hAnsi="GHEA Grapalat" w:cs="Sylfaen"/>
          <w:color w:val="000000"/>
          <w:lang w:val="hy-AM"/>
        </w:rPr>
        <w:t xml:space="preserve"> և այդ ոլորտում վերահսկողության արդյունավետությունը </w:t>
      </w:r>
      <w:r w:rsidR="00403ADF">
        <w:rPr>
          <w:rFonts w:ascii="GHEA Grapalat" w:hAnsi="GHEA Grapalat" w:cs="Sylfaen"/>
          <w:color w:val="000000"/>
          <w:lang w:val="hy-AM"/>
        </w:rPr>
        <w:t>բարձրացնելու</w:t>
      </w:r>
      <w:r>
        <w:rPr>
          <w:rFonts w:ascii="GHEA Grapalat" w:hAnsi="GHEA Grapalat" w:cs="Sylfaen"/>
          <w:color w:val="000000"/>
          <w:lang w:val="hy-AM"/>
        </w:rPr>
        <w:t xml:space="preserve"> անհրաժեշտությամբ</w:t>
      </w:r>
      <w:r w:rsidRPr="00526575">
        <w:rPr>
          <w:rFonts w:ascii="GHEA Grapalat" w:hAnsi="GHEA Grapalat" w:cs="Sylfaen"/>
          <w:color w:val="000000"/>
          <w:lang w:val="hy-AM"/>
        </w:rPr>
        <w:t>։</w:t>
      </w:r>
    </w:p>
    <w:p w:rsidR="00DD7011" w:rsidRPr="00E21346" w:rsidRDefault="00DD7011" w:rsidP="00DD7011">
      <w:pPr>
        <w:pStyle w:val="NormalWeb"/>
        <w:spacing w:before="0" w:beforeAutospacing="0" w:after="0" w:afterAutospacing="0" w:line="276" w:lineRule="auto"/>
        <w:ind w:firstLine="708"/>
        <w:contextualSpacing/>
        <w:jc w:val="both"/>
        <w:rPr>
          <w:rFonts w:ascii="GHEA Grapalat" w:hAnsi="GHEA Grapalat"/>
          <w:color w:val="000000"/>
          <w:lang w:val="hy-AM"/>
        </w:rPr>
      </w:pPr>
    </w:p>
    <w:p w:rsidR="002E7D6E" w:rsidRPr="00787F2A" w:rsidRDefault="002E7D6E" w:rsidP="00DD7011">
      <w:pPr>
        <w:pStyle w:val="NormalWeb"/>
        <w:spacing w:before="0" w:beforeAutospacing="0" w:after="0" w:afterAutospacing="0" w:line="276" w:lineRule="auto"/>
        <w:ind w:firstLine="708"/>
        <w:contextualSpacing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b/>
          <w:i/>
          <w:lang w:val="hy-AM"/>
        </w:rPr>
        <w:t>2. Ը</w:t>
      </w:r>
      <w:r w:rsidRPr="00787F2A">
        <w:rPr>
          <w:rFonts w:ascii="GHEA Grapalat" w:hAnsi="GHEA Grapalat"/>
          <w:b/>
          <w:i/>
          <w:lang w:val="hy-AM"/>
        </w:rPr>
        <w:t>նթացիկ իրավիճակը և խնդիրները</w:t>
      </w:r>
      <w:r w:rsidR="00534C51">
        <w:rPr>
          <w:rFonts w:ascii="GHEA Grapalat" w:hAnsi="GHEA Grapalat"/>
          <w:b/>
          <w:i/>
          <w:lang w:val="hy-AM"/>
        </w:rPr>
        <w:t>.</w:t>
      </w:r>
    </w:p>
    <w:p w:rsidR="006B0393" w:rsidRPr="006B0393" w:rsidRDefault="006B0393" w:rsidP="00534C51">
      <w:pPr>
        <w:pStyle w:val="NormalWeb"/>
        <w:shd w:val="clear" w:color="auto" w:fill="FFFFFF"/>
        <w:spacing w:before="0" w:beforeAutospacing="0" w:after="0" w:afterAutospacing="0" w:line="276" w:lineRule="auto"/>
        <w:ind w:firstLine="644"/>
        <w:jc w:val="both"/>
        <w:rPr>
          <w:rFonts w:ascii="GHEA Grapalat" w:hAnsi="GHEA Grapalat" w:cs="Arial Unicode"/>
          <w:bCs/>
          <w:lang w:val="hy-AM"/>
        </w:rPr>
      </w:pPr>
      <w:r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«Դեղերի մասին» օրենքի 26-րդ հոդվածի 1-ին մասը </w:t>
      </w:r>
      <w:proofErr w:type="spellStart"/>
      <w:r w:rsidR="002E7D6E" w:rsidRPr="00BF10F0">
        <w:rPr>
          <w:rFonts w:ascii="GHEA Grapalat" w:hAnsi="GHEA Grapalat" w:cs="Arial Unicode"/>
          <w:bCs/>
          <w:lang w:val="hy-AM"/>
        </w:rPr>
        <w:t>թեև</w:t>
      </w:r>
      <w:proofErr w:type="spellEnd"/>
      <w:r w:rsidR="002E7D6E" w:rsidRPr="00BF10F0">
        <w:rPr>
          <w:rFonts w:ascii="GHEA Grapalat" w:hAnsi="GHEA Grapalat" w:cs="Arial Unicode"/>
          <w:bCs/>
          <w:lang w:val="hy-AM"/>
        </w:rPr>
        <w:t xml:space="preserve"> կանոնակարգում է </w:t>
      </w:r>
      <w:r w:rsidR="002E7D6E" w:rsidRPr="00BF10F0">
        <w:rPr>
          <w:rFonts w:cs="Calibri"/>
          <w:bCs/>
          <w:lang w:val="hy-AM"/>
        </w:rPr>
        <w:t> </w:t>
      </w:r>
      <w:r w:rsidR="002E7D6E" w:rsidRPr="00BF10F0">
        <w:rPr>
          <w:rFonts w:ascii="GHEA Grapalat" w:hAnsi="GHEA Grapalat" w:cs="Calibri"/>
          <w:bCs/>
          <w:lang w:val="hy-AM"/>
        </w:rPr>
        <w:t>պ</w:t>
      </w:r>
      <w:r w:rsidR="002E7D6E" w:rsidRPr="00BF10F0">
        <w:rPr>
          <w:rFonts w:ascii="GHEA Grapalat" w:hAnsi="GHEA Grapalat" w:cs="GHEA Grapalat"/>
          <w:bCs/>
          <w:lang w:val="hy-AM"/>
        </w:rPr>
        <w:t>իտանիության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ժամկետը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լրացած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, </w:t>
      </w:r>
      <w:r w:rsidR="002E7D6E" w:rsidRPr="00BF10F0">
        <w:rPr>
          <w:rFonts w:ascii="GHEA Grapalat" w:hAnsi="GHEA Grapalat" w:cs="GHEA Grapalat"/>
          <w:bCs/>
          <w:lang w:val="hy-AM"/>
        </w:rPr>
        <w:t>չգրանցված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, </w:t>
      </w:r>
      <w:r w:rsidR="002E7D6E" w:rsidRPr="00BF10F0">
        <w:rPr>
          <w:rFonts w:ascii="GHEA Grapalat" w:hAnsi="GHEA Grapalat" w:cs="GHEA Grapalat"/>
          <w:bCs/>
          <w:lang w:val="hy-AM"/>
        </w:rPr>
        <w:t>ինչպես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նաև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կեղծ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և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օգտագործման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համար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ոչ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պիտանի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, </w:t>
      </w:r>
      <w:r w:rsidR="002E7D6E" w:rsidRPr="00BF10F0">
        <w:rPr>
          <w:rFonts w:ascii="GHEA Grapalat" w:hAnsi="GHEA Grapalat" w:cs="GHEA Grapalat"/>
          <w:bCs/>
          <w:lang w:val="hy-AM"/>
        </w:rPr>
        <w:t>ոչ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օրինական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ճանապարհով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ձեռք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բերված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, </w:t>
      </w:r>
      <w:r w:rsidR="002E7D6E" w:rsidRPr="00BF10F0">
        <w:rPr>
          <w:rFonts w:ascii="GHEA Grapalat" w:hAnsi="GHEA Grapalat" w:cs="GHEA Grapalat"/>
          <w:bCs/>
          <w:lang w:val="hy-AM"/>
        </w:rPr>
        <w:t>անորակ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, </w:t>
      </w:r>
      <w:proofErr w:type="spellStart"/>
      <w:r w:rsidR="002E7D6E" w:rsidRPr="00BF10F0">
        <w:rPr>
          <w:rFonts w:ascii="GHEA Grapalat" w:hAnsi="GHEA Grapalat" w:cs="GHEA Grapalat"/>
          <w:bCs/>
          <w:lang w:val="hy-AM"/>
        </w:rPr>
        <w:t>չհայտարարագրված</w:t>
      </w:r>
      <w:proofErr w:type="spellEnd"/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proofErr w:type="spellStart"/>
      <w:r w:rsidR="002E7D6E" w:rsidRPr="00BF10F0">
        <w:rPr>
          <w:rFonts w:ascii="GHEA Grapalat" w:hAnsi="GHEA Grapalat" w:cs="GHEA Grapalat"/>
          <w:bCs/>
          <w:lang w:val="hy-AM"/>
        </w:rPr>
        <w:t>բաղադրատարրեր</w:t>
      </w:r>
      <w:proofErr w:type="spellEnd"/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պարունակող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դեղերի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, </w:t>
      </w:r>
      <w:r w:rsidR="002E7D6E" w:rsidRPr="00BF10F0">
        <w:rPr>
          <w:rFonts w:ascii="GHEA Grapalat" w:hAnsi="GHEA Grapalat" w:cs="GHEA Grapalat"/>
          <w:bCs/>
          <w:lang w:val="hy-AM"/>
        </w:rPr>
        <w:t>դեղանյութերի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, </w:t>
      </w:r>
      <w:proofErr w:type="spellStart"/>
      <w:r w:rsidR="002E7D6E" w:rsidRPr="00BF10F0">
        <w:rPr>
          <w:rFonts w:ascii="GHEA Grapalat" w:hAnsi="GHEA Grapalat" w:cs="GHEA Grapalat"/>
          <w:bCs/>
          <w:lang w:val="hy-AM"/>
        </w:rPr>
        <w:t>դեղաբուսական</w:t>
      </w:r>
      <w:proofErr w:type="spellEnd"/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հումքի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և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հետազոտվող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դեղագործական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r w:rsidR="002E7D6E" w:rsidRPr="00BF10F0">
        <w:rPr>
          <w:rFonts w:ascii="GHEA Grapalat" w:hAnsi="GHEA Grapalat" w:cs="GHEA Grapalat"/>
          <w:bCs/>
          <w:lang w:val="hy-AM"/>
        </w:rPr>
        <w:t>արտադրանքի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 ոչնչացման հետ կապված հարաբերությունները, սակայն նշված հոդվածով սահմանված կարգավորումն ունի ընդհանրական բնույթ և տնտեսավարող ընկերությունների համար չի սահմանում թափոնների ոչնչացմ</w:t>
      </w:r>
      <w:r w:rsidR="00534C51">
        <w:rPr>
          <w:rFonts w:ascii="GHEA Grapalat" w:hAnsi="GHEA Grapalat" w:cs="Arial Unicode"/>
          <w:bCs/>
          <w:lang w:val="hy-AM"/>
        </w:rPr>
        <w:t xml:space="preserve">ան </w:t>
      </w:r>
      <w:r w:rsidR="002E7D6E" w:rsidRPr="00BF10F0">
        <w:rPr>
          <w:rFonts w:ascii="GHEA Grapalat" w:hAnsi="GHEA Grapalat" w:cs="Arial Unicode"/>
          <w:bCs/>
          <w:lang w:val="hy-AM"/>
        </w:rPr>
        <w:t xml:space="preserve">համար լիցենզավորված իրավաբանական անձի կամ անհատ ձեռնարկատիրոջ հետ պայմանագրային կամ այլ </w:t>
      </w:r>
      <w:proofErr w:type="spellStart"/>
      <w:r w:rsidR="002E7D6E" w:rsidRPr="00BF10F0">
        <w:rPr>
          <w:rFonts w:ascii="GHEA Grapalat" w:hAnsi="GHEA Grapalat" w:cs="Arial Unicode"/>
          <w:bCs/>
          <w:lang w:val="hy-AM"/>
        </w:rPr>
        <w:t>փաստաթղթավորված</w:t>
      </w:r>
      <w:proofErr w:type="spellEnd"/>
      <w:r w:rsidR="002E7D6E" w:rsidRPr="00BF10F0">
        <w:rPr>
          <w:rFonts w:ascii="GHEA Grapalat" w:hAnsi="GHEA Grapalat" w:cs="Arial Unicode"/>
          <w:bCs/>
          <w:lang w:val="hy-AM"/>
        </w:rPr>
        <w:t xml:space="preserve"> </w:t>
      </w:r>
      <w:proofErr w:type="spellStart"/>
      <w:r w:rsidR="002E7D6E" w:rsidRPr="00BF10F0">
        <w:rPr>
          <w:rFonts w:ascii="GHEA Grapalat" w:hAnsi="GHEA Grapalat" w:cs="Arial Unicode"/>
          <w:bCs/>
          <w:lang w:val="hy-AM"/>
        </w:rPr>
        <w:t>իրավահարաբերություններ</w:t>
      </w:r>
      <w:proofErr w:type="spellEnd"/>
      <w:r w:rsidR="002E7D6E" w:rsidRPr="00BF10F0">
        <w:rPr>
          <w:rFonts w:ascii="GHEA Grapalat" w:hAnsi="GHEA Grapalat" w:cs="Arial Unicode"/>
          <w:bCs/>
          <w:lang w:val="hy-AM"/>
        </w:rPr>
        <w:t xml:space="preserve"> ունենալու պարտավորություն։</w:t>
      </w:r>
      <w:r>
        <w:rPr>
          <w:rFonts w:ascii="GHEA Grapalat" w:hAnsi="GHEA Grapalat" w:cs="Arial Unicode"/>
          <w:bCs/>
          <w:lang w:val="hy-AM"/>
        </w:rPr>
        <w:t xml:space="preserve"> Տվյալ հարաբերությունները մասնակիորեն կարգավորված են </w:t>
      </w:r>
      <w:r w:rsidRPr="006B0393">
        <w:rPr>
          <w:rFonts w:ascii="GHEA Grapalat" w:hAnsi="GHEA Grapalat" w:cs="Arial Unicode"/>
          <w:bCs/>
          <w:lang w:val="hy-AM"/>
        </w:rPr>
        <w:t>Հայաստանի Հանրապետության կառավարության 2002 թվ</w:t>
      </w:r>
      <w:r>
        <w:rPr>
          <w:rFonts w:ascii="GHEA Grapalat" w:hAnsi="GHEA Grapalat" w:cs="Arial Unicode"/>
          <w:bCs/>
          <w:lang w:val="hy-AM"/>
        </w:rPr>
        <w:t xml:space="preserve">ականի հունիսի 29-ի N 867 որոշմամբ: Մասնավորապես, </w:t>
      </w:r>
      <w:r w:rsidRPr="006B0393">
        <w:rPr>
          <w:rFonts w:ascii="GHEA Grapalat" w:hAnsi="GHEA Grapalat" w:cs="Sylfaen"/>
          <w:color w:val="000000"/>
          <w:lang w:val="hy-AM"/>
        </w:rPr>
        <w:t xml:space="preserve">Հայաստանի Հանրապետության կառավարության 2002 թվականի հունիսի 29-ի N 867 որոշման N3 հավելվածի (Հայաստանի Հանրապետությունում դեղատնային գործունեության իրականացման լիցենզավորման կարգ) 43.1-ին կետի 3-րդ ենթակետի համաձայն` լիցենզավորված անձը լիցենզավորված գործունեությունն սկսելուց առնվազն հինգ աշխատանքային օր առաջ լիազոր մարմին է ներկայացնում՝ Հայաստանի </w:t>
      </w:r>
      <w:r w:rsidRPr="006B0393">
        <w:rPr>
          <w:rFonts w:ascii="GHEA Grapalat" w:hAnsi="GHEA Grapalat" w:cs="Sylfaen"/>
          <w:color w:val="000000"/>
          <w:lang w:val="hy-AM"/>
        </w:rPr>
        <w:lastRenderedPageBreak/>
        <w:t>Հանրապետության օրենսդրությամբ սահմանված կարգով վտանգավոր թափոնների վնասազերծման ոլորտում համապատասխան լիցենզիա ունեցող որևէ կազմակերպության հետ կնքված պայմանագրի պատճենը:</w:t>
      </w:r>
      <w:r w:rsidR="00534C51">
        <w:rPr>
          <w:rFonts w:ascii="GHEA Grapalat" w:hAnsi="GHEA Grapalat" w:cs="Sylfaen"/>
          <w:color w:val="000000"/>
          <w:lang w:val="hy-AM"/>
        </w:rPr>
        <w:t xml:space="preserve"> </w:t>
      </w:r>
      <w:r w:rsidRPr="006B0393">
        <w:rPr>
          <w:rFonts w:ascii="GHEA Grapalat" w:hAnsi="GHEA Grapalat" w:cs="Sylfaen"/>
          <w:color w:val="000000"/>
          <w:lang w:val="hy-AM"/>
        </w:rPr>
        <w:t>Համանման կարգավորում է նախատեսված նաև նույն որոշման N 5 հավելվածի (Հայաստանի Հանրապետությունում կազմակերպությունների կամ անհատ ձեռնարկատերերի կողմից բժշկական օգնության և սպասարկման իրականացման լիցենզավորման կարգ) 18-րդ կետ</w:t>
      </w:r>
      <w:r>
        <w:rPr>
          <w:rFonts w:ascii="GHEA Grapalat" w:hAnsi="GHEA Grapalat" w:cs="Sylfaen"/>
          <w:color w:val="000000"/>
          <w:lang w:val="hy-AM"/>
        </w:rPr>
        <w:t>ով:</w:t>
      </w:r>
      <w:r w:rsidRPr="006B0393">
        <w:rPr>
          <w:rFonts w:ascii="GHEA Grapalat" w:hAnsi="GHEA Grapalat" w:cs="Sylfaen"/>
          <w:color w:val="000000"/>
          <w:lang w:val="hy-AM"/>
        </w:rPr>
        <w:t xml:space="preserve"> </w:t>
      </w:r>
    </w:p>
    <w:p w:rsidR="005D4201" w:rsidRDefault="006B0393" w:rsidP="006B0393">
      <w:pPr>
        <w:pStyle w:val="NormalWeb"/>
        <w:shd w:val="clear" w:color="auto" w:fill="FFFFFF"/>
        <w:spacing w:before="0" w:beforeAutospacing="0" w:after="0" w:afterAutospacing="0" w:line="276" w:lineRule="auto"/>
        <w:ind w:firstLine="644"/>
        <w:jc w:val="both"/>
        <w:rPr>
          <w:rFonts w:ascii="GHEA Grapalat" w:hAnsi="GHEA Grapalat" w:cs="Arial Unicode"/>
          <w:bCs/>
          <w:lang w:val="hy-AM"/>
        </w:rPr>
      </w:pPr>
      <w:r>
        <w:rPr>
          <w:rFonts w:ascii="GHEA Grapalat" w:hAnsi="GHEA Grapalat" w:cs="Arial Unicode"/>
          <w:bCs/>
          <w:lang w:val="hy-AM"/>
        </w:rPr>
        <w:t xml:space="preserve">Վերոգրյալ </w:t>
      </w:r>
      <w:proofErr w:type="spellStart"/>
      <w:r>
        <w:rPr>
          <w:rFonts w:ascii="GHEA Grapalat" w:hAnsi="GHEA Grapalat" w:cs="Arial Unicode"/>
          <w:bCs/>
          <w:lang w:val="hy-AM"/>
        </w:rPr>
        <w:t>կարգավորումներից</w:t>
      </w:r>
      <w:proofErr w:type="spellEnd"/>
      <w:r>
        <w:rPr>
          <w:rFonts w:ascii="GHEA Grapalat" w:hAnsi="GHEA Grapalat" w:cs="Arial Unicode"/>
          <w:bCs/>
          <w:lang w:val="hy-AM"/>
        </w:rPr>
        <w:t xml:space="preserve"> </w:t>
      </w:r>
      <w:proofErr w:type="spellStart"/>
      <w:r>
        <w:rPr>
          <w:rFonts w:ascii="GHEA Grapalat" w:hAnsi="GHEA Grapalat" w:cs="Arial Unicode"/>
          <w:bCs/>
          <w:lang w:val="hy-AM"/>
        </w:rPr>
        <w:t>հետևում</w:t>
      </w:r>
      <w:proofErr w:type="spellEnd"/>
      <w:r>
        <w:rPr>
          <w:rFonts w:ascii="GHEA Grapalat" w:hAnsi="GHEA Grapalat" w:cs="Arial Unicode"/>
          <w:bCs/>
          <w:lang w:val="hy-AM"/>
        </w:rPr>
        <w:t xml:space="preserve"> է, որ</w:t>
      </w:r>
      <w:r w:rsidRPr="006B0393">
        <w:rPr>
          <w:rFonts w:ascii="GHEA Grapalat" w:hAnsi="GHEA Grapalat" w:cs="Arial Unicode"/>
          <w:bCs/>
          <w:lang w:val="hy-AM"/>
        </w:rPr>
        <w:t xml:space="preserve"> դեղատնային գործունեության և բժշկական օգնության </w:t>
      </w:r>
      <w:r>
        <w:rPr>
          <w:rFonts w:ascii="GHEA Grapalat" w:hAnsi="GHEA Grapalat" w:cs="Arial Unicode"/>
          <w:bCs/>
          <w:lang w:val="hy-AM"/>
        </w:rPr>
        <w:t>ու</w:t>
      </w:r>
      <w:r w:rsidRPr="006B0393">
        <w:rPr>
          <w:rFonts w:ascii="GHEA Grapalat" w:hAnsi="GHEA Grapalat" w:cs="Arial Unicode"/>
          <w:bCs/>
          <w:lang w:val="hy-AM"/>
        </w:rPr>
        <w:t xml:space="preserve"> սպասարկման տեսակներով լիցենզավորված անձինք գործունեությունը սկսելուց առնվազն 5 աշխատանքային օր առաջ Հայաստանի Հանրապետության օրենսդրությամբ սահմանված կարգով վտանգավոր թափոնների վնասազերծման ոլորտում համապատասխան լիցենզիա ունեցող որևէ կազմակե</w:t>
      </w:r>
      <w:r w:rsidR="00534C51">
        <w:rPr>
          <w:rFonts w:ascii="GHEA Grapalat" w:hAnsi="GHEA Grapalat" w:cs="Arial Unicode"/>
          <w:bCs/>
          <w:lang w:val="hy-AM"/>
        </w:rPr>
        <w:t>րպության հետ կնքված պայմանագիրը,</w:t>
      </w:r>
      <w:r w:rsidRPr="006B0393">
        <w:rPr>
          <w:rFonts w:ascii="GHEA Grapalat" w:hAnsi="GHEA Grapalat" w:cs="Arial Unicode"/>
          <w:bCs/>
          <w:lang w:val="hy-AM"/>
        </w:rPr>
        <w:t xml:space="preserve"> ի թիվս այլ փաստաթղթերի, ներկայացնում են լիազոր մարմին:</w:t>
      </w:r>
      <w:r w:rsidR="00534C51">
        <w:rPr>
          <w:rFonts w:ascii="GHEA Grapalat" w:hAnsi="GHEA Grapalat" w:cs="Arial Unicode"/>
          <w:bCs/>
          <w:lang w:val="hy-AM"/>
        </w:rPr>
        <w:t xml:space="preserve"> </w:t>
      </w:r>
      <w:r>
        <w:rPr>
          <w:rFonts w:ascii="GHEA Grapalat" w:hAnsi="GHEA Grapalat" w:cs="Arial Unicode"/>
          <w:bCs/>
          <w:lang w:val="hy-AM"/>
        </w:rPr>
        <w:t xml:space="preserve">Սակայն նույն որոշմամբ </w:t>
      </w:r>
      <w:r w:rsidRPr="00820F4F">
        <w:rPr>
          <w:rFonts w:ascii="GHEA Grapalat" w:hAnsi="GHEA Grapalat" w:cs="Arial Unicode"/>
          <w:bCs/>
          <w:lang w:val="hy-AM"/>
        </w:rPr>
        <w:t>դեղերի մեծածախ իրացման լիցենզիա ունեցող կազմակերպությունների նկատմամբ</w:t>
      </w:r>
      <w:r>
        <w:rPr>
          <w:rFonts w:ascii="GHEA Grapalat" w:hAnsi="GHEA Grapalat" w:cs="Arial Unicode"/>
          <w:bCs/>
          <w:lang w:val="hy-AM"/>
        </w:rPr>
        <w:t xml:space="preserve"> նման պահանջ նախատեսված չէ, այսինքն՝ </w:t>
      </w:r>
      <w:r w:rsidRPr="006B0393">
        <w:rPr>
          <w:rFonts w:ascii="GHEA Grapalat" w:hAnsi="GHEA Grapalat" w:cs="Arial Unicode"/>
          <w:bCs/>
          <w:lang w:val="hy-AM"/>
        </w:rPr>
        <w:t>դեղերի շրջանառության ոլորտում</w:t>
      </w:r>
      <w:r>
        <w:rPr>
          <w:rFonts w:ascii="GHEA Grapalat" w:hAnsi="GHEA Grapalat" w:cs="Arial Unicode"/>
          <w:bCs/>
          <w:lang w:val="hy-AM"/>
        </w:rPr>
        <w:t xml:space="preserve">՝ </w:t>
      </w:r>
      <w:r w:rsidRPr="006B0393">
        <w:rPr>
          <w:rFonts w:ascii="GHEA Grapalat" w:hAnsi="GHEA Grapalat" w:cs="Arial Unicode"/>
          <w:bCs/>
          <w:lang w:val="hy-AM"/>
        </w:rPr>
        <w:t>դեղ</w:t>
      </w:r>
      <w:r>
        <w:rPr>
          <w:rFonts w:ascii="GHEA Grapalat" w:hAnsi="GHEA Grapalat" w:cs="Arial Unicode"/>
          <w:bCs/>
          <w:lang w:val="hy-AM"/>
        </w:rPr>
        <w:t xml:space="preserve">երի մանրածախ և </w:t>
      </w:r>
      <w:r w:rsidRPr="006B0393">
        <w:rPr>
          <w:rFonts w:ascii="GHEA Grapalat" w:hAnsi="GHEA Grapalat" w:cs="Arial Unicode"/>
          <w:bCs/>
          <w:lang w:val="hy-AM"/>
        </w:rPr>
        <w:t>մեծածախ իրացման</w:t>
      </w:r>
      <w:r w:rsidR="00D53054">
        <w:rPr>
          <w:rFonts w:ascii="GHEA Grapalat" w:hAnsi="GHEA Grapalat" w:cs="Arial Unicode"/>
          <w:bCs/>
          <w:lang w:val="hy-AM"/>
        </w:rPr>
        <w:t xml:space="preserve"> ոլորտներում</w:t>
      </w:r>
      <w:r>
        <w:rPr>
          <w:rFonts w:ascii="GHEA Grapalat" w:hAnsi="GHEA Grapalat" w:cs="Arial Unicode"/>
          <w:bCs/>
          <w:lang w:val="hy-AM"/>
        </w:rPr>
        <w:t xml:space="preserve"> նախատեսվել են տար</w:t>
      </w:r>
      <w:r w:rsidR="005D4201">
        <w:rPr>
          <w:rFonts w:ascii="GHEA Grapalat" w:hAnsi="GHEA Grapalat" w:cs="Arial Unicode"/>
          <w:bCs/>
          <w:lang w:val="hy-AM"/>
        </w:rPr>
        <w:t>աբնույթ</w:t>
      </w:r>
      <w:r w:rsidRPr="006B0393">
        <w:rPr>
          <w:rFonts w:ascii="GHEA Grapalat" w:hAnsi="GHEA Grapalat" w:cs="Arial Unicode"/>
          <w:bCs/>
          <w:lang w:val="hy-AM"/>
        </w:rPr>
        <w:t xml:space="preserve"> կարգավորումներ</w:t>
      </w:r>
      <w:r>
        <w:rPr>
          <w:rFonts w:ascii="GHEA Grapalat" w:hAnsi="GHEA Grapalat" w:cs="Arial Unicode"/>
          <w:bCs/>
          <w:lang w:val="hy-AM"/>
        </w:rPr>
        <w:t>,</w:t>
      </w:r>
      <w:r w:rsidR="00D53054">
        <w:rPr>
          <w:rFonts w:ascii="GHEA Grapalat" w:hAnsi="GHEA Grapalat" w:cs="Arial Unicode"/>
          <w:bCs/>
          <w:lang w:val="hy-AM"/>
        </w:rPr>
        <w:t xml:space="preserve"> որոնք առաջացնում են</w:t>
      </w:r>
      <w:r w:rsidR="005D4201">
        <w:rPr>
          <w:rFonts w:ascii="GHEA Grapalat" w:hAnsi="GHEA Grapalat" w:cs="Arial Unicode"/>
          <w:bCs/>
          <w:lang w:val="hy-AM"/>
        </w:rPr>
        <w:t xml:space="preserve"> </w:t>
      </w:r>
      <w:r w:rsidR="00534C51">
        <w:rPr>
          <w:rFonts w:ascii="GHEA Grapalat" w:hAnsi="GHEA Grapalat" w:cs="Arial Unicode"/>
          <w:bCs/>
          <w:lang w:val="hy-AM"/>
        </w:rPr>
        <w:t>տարատեսակ</w:t>
      </w:r>
      <w:r w:rsidR="005D4201">
        <w:rPr>
          <w:rFonts w:ascii="GHEA Grapalat" w:hAnsi="GHEA Grapalat" w:cs="Arial Unicode"/>
          <w:bCs/>
          <w:lang w:val="hy-AM"/>
        </w:rPr>
        <w:t xml:space="preserve"> խնդիրներ:</w:t>
      </w:r>
    </w:p>
    <w:p w:rsidR="005D4201" w:rsidRPr="00BF10F0" w:rsidRDefault="005D4201" w:rsidP="005D4201">
      <w:pPr>
        <w:pStyle w:val="NormalWeb"/>
        <w:shd w:val="clear" w:color="auto" w:fill="FFFFFF"/>
        <w:spacing w:before="0" w:beforeAutospacing="0" w:after="0" w:afterAutospacing="0" w:line="276" w:lineRule="auto"/>
        <w:ind w:firstLine="644"/>
        <w:jc w:val="both"/>
        <w:rPr>
          <w:rFonts w:ascii="GHEA Grapalat" w:hAnsi="GHEA Grapalat" w:cs="Arial Unicode"/>
          <w:bCs/>
          <w:lang w:val="hy-AM"/>
        </w:rPr>
      </w:pPr>
      <w:r>
        <w:rPr>
          <w:rFonts w:ascii="GHEA Grapalat" w:hAnsi="GHEA Grapalat" w:cs="Arial Unicode"/>
          <w:bCs/>
          <w:lang w:val="hy-AM"/>
        </w:rPr>
        <w:t xml:space="preserve">Այսպես, </w:t>
      </w:r>
      <w:r w:rsidR="00D53054">
        <w:rPr>
          <w:rFonts w:ascii="GHEA Grapalat" w:hAnsi="GHEA Grapalat" w:cs="Arial Unicode"/>
          <w:bCs/>
          <w:lang w:val="hy-AM"/>
        </w:rPr>
        <w:t xml:space="preserve"> </w:t>
      </w:r>
      <w:r>
        <w:rPr>
          <w:rFonts w:ascii="GHEA Grapalat" w:hAnsi="GHEA Grapalat" w:cs="Arial Unicode"/>
          <w:bCs/>
          <w:lang w:val="hy-AM"/>
        </w:rPr>
        <w:t>դ</w:t>
      </w:r>
      <w:r w:rsidRPr="00BF10F0">
        <w:rPr>
          <w:rFonts w:ascii="GHEA Grapalat" w:hAnsi="GHEA Grapalat" w:cs="Arial Unicode"/>
          <w:bCs/>
          <w:lang w:val="hy-AM"/>
        </w:rPr>
        <w:t>եղերի շրջանառության նկատմամբ վերահսկողության ընթացքում ի</w:t>
      </w:r>
      <w:r w:rsidRPr="00BF10F0">
        <w:rPr>
          <w:rFonts w:ascii="GHEA Grapalat" w:hAnsi="GHEA Grapalat" w:cs="Sylfaen"/>
          <w:lang w:val="hy-AM"/>
        </w:rPr>
        <w:t xml:space="preserve">րավաբանական անձանց մոտ իրականացված ստուգումների </w:t>
      </w:r>
      <w:r w:rsidR="00534C51">
        <w:rPr>
          <w:rFonts w:ascii="GHEA Grapalat" w:hAnsi="GHEA Grapalat" w:cs="Sylfaen"/>
          <w:lang w:val="hy-AM"/>
        </w:rPr>
        <w:t>արդյունքներով</w:t>
      </w:r>
      <w:r w:rsidRPr="00BF10F0">
        <w:rPr>
          <w:rFonts w:ascii="GHEA Grapalat" w:hAnsi="GHEA Grapalat" w:cs="Sylfaen"/>
          <w:lang w:val="hy-AM"/>
        </w:rPr>
        <w:t xml:space="preserve"> արձանագրվել են վտանգավոր թափոնների ոչնչացման պայմանագրեր չունենալու դեպքեր, ինչը </w:t>
      </w:r>
      <w:proofErr w:type="spellStart"/>
      <w:r w:rsidRPr="00BF10F0">
        <w:rPr>
          <w:rFonts w:ascii="GHEA Grapalat" w:hAnsi="GHEA Grapalat" w:cs="Sylfaen"/>
          <w:lang w:val="hy-AM"/>
        </w:rPr>
        <w:t>պատճառաբանվել</w:t>
      </w:r>
      <w:proofErr w:type="spellEnd"/>
      <w:r w:rsidRPr="00BF10F0">
        <w:rPr>
          <w:rFonts w:ascii="GHEA Grapalat" w:hAnsi="GHEA Grapalat" w:cs="Sylfaen"/>
          <w:lang w:val="hy-AM"/>
        </w:rPr>
        <w:t xml:space="preserve"> է նման օրենսդրական պահանջի բացակայությամբ, իսկ ոչնչացման վերաբերյալ ակտեր կամ այլ փաստաթղթեր չունենալը՝ դրանք սահմանված ժամկետներով չպահպանելու խնդրով։ Արդյունքում</w:t>
      </w:r>
      <w:r w:rsidR="002F2194">
        <w:rPr>
          <w:rFonts w:ascii="GHEA Grapalat" w:hAnsi="GHEA Grapalat" w:cs="Sylfaen"/>
          <w:lang w:val="hy-AM"/>
        </w:rPr>
        <w:t>,</w:t>
      </w:r>
      <w:r w:rsidRPr="00BF10F0">
        <w:rPr>
          <w:rFonts w:ascii="GHEA Grapalat" w:hAnsi="GHEA Grapalat" w:cs="Arial Unicode"/>
          <w:bCs/>
          <w:lang w:val="hy-AM"/>
        </w:rPr>
        <w:t xml:space="preserve"> նվազում է </w:t>
      </w:r>
      <w:r w:rsidRPr="00BF10F0">
        <w:rPr>
          <w:rFonts w:ascii="GHEA Grapalat" w:hAnsi="GHEA Grapalat" w:cs="Sylfaen"/>
          <w:lang w:val="hy-AM"/>
        </w:rPr>
        <w:t xml:space="preserve">դեղերի մեծածախ </w:t>
      </w:r>
      <w:proofErr w:type="spellStart"/>
      <w:r w:rsidRPr="00BF10F0">
        <w:rPr>
          <w:rFonts w:ascii="GHEA Grapalat" w:hAnsi="GHEA Grapalat" w:cs="Sylfaen"/>
          <w:lang w:val="hy-AM"/>
        </w:rPr>
        <w:t>իրացմամբ</w:t>
      </w:r>
      <w:proofErr w:type="spellEnd"/>
      <w:r w:rsidRPr="00BF10F0">
        <w:rPr>
          <w:rFonts w:ascii="GHEA Grapalat" w:hAnsi="GHEA Grapalat" w:cs="Sylfaen"/>
          <w:lang w:val="hy-AM"/>
        </w:rPr>
        <w:t xml:space="preserve"> զբաղվող իրավաբանական անձանց և անհատ ձեռնարկատերերի կողմից </w:t>
      </w:r>
      <w:r w:rsidRPr="00BF10F0">
        <w:rPr>
          <w:rFonts w:ascii="GHEA Grapalat" w:hAnsi="GHEA Grapalat" w:cs="Arial Unicode"/>
          <w:bCs/>
          <w:lang w:val="hy-AM"/>
        </w:rPr>
        <w:t xml:space="preserve">«Դեղերի մասին» Հայաստանի Հանրապետության օրենքի 26-րդ հոդվածի 1-ին մասի պահանջը պահպանելու փաստը վերահսկելու հնարավորությունը (առկա է նաև մտավախություն, որ ոչնչացումը կարող է իրականացվել թափոնների վնասազերծման ոլորտում համապատասխան լիցենզիա չունեցող անձի կողմից, որն առանց փաստաթղթային </w:t>
      </w:r>
      <w:proofErr w:type="spellStart"/>
      <w:r w:rsidRPr="00BF10F0">
        <w:rPr>
          <w:rFonts w:ascii="GHEA Grapalat" w:hAnsi="GHEA Grapalat" w:cs="Arial Unicode"/>
          <w:bCs/>
          <w:lang w:val="hy-AM"/>
        </w:rPr>
        <w:t>ձևակերպման</w:t>
      </w:r>
      <w:proofErr w:type="spellEnd"/>
      <w:r w:rsidRPr="00BF10F0">
        <w:rPr>
          <w:rFonts w:ascii="GHEA Grapalat" w:hAnsi="GHEA Grapalat" w:cs="Arial Unicode"/>
          <w:bCs/>
          <w:lang w:val="hy-AM"/>
        </w:rPr>
        <w:t xml:space="preserve"> պայմաններում հնարավոր չլինի պարզել)։</w:t>
      </w:r>
      <w:r w:rsidRPr="005D4201">
        <w:rPr>
          <w:rFonts w:ascii="GHEA Grapalat" w:hAnsi="GHEA Grapalat" w:cs="Arial Unicode"/>
          <w:bCs/>
          <w:lang w:val="hy-AM"/>
        </w:rPr>
        <w:t xml:space="preserve"> </w:t>
      </w:r>
      <w:r w:rsidRPr="00BF10F0">
        <w:rPr>
          <w:rFonts w:ascii="GHEA Grapalat" w:hAnsi="GHEA Grapalat" w:cs="Arial Unicode"/>
          <w:bCs/>
          <w:lang w:val="hy-AM"/>
        </w:rPr>
        <w:t xml:space="preserve">Հարկ է </w:t>
      </w:r>
      <w:r w:rsidR="002F2194">
        <w:rPr>
          <w:rFonts w:ascii="GHEA Grapalat" w:hAnsi="GHEA Grapalat" w:cs="Arial Unicode"/>
          <w:bCs/>
          <w:lang w:val="hy-AM"/>
        </w:rPr>
        <w:t xml:space="preserve">նաև </w:t>
      </w:r>
      <w:r w:rsidRPr="00BF10F0">
        <w:rPr>
          <w:rFonts w:ascii="GHEA Grapalat" w:hAnsi="GHEA Grapalat" w:cs="Arial Unicode"/>
          <w:bCs/>
          <w:lang w:val="hy-AM"/>
        </w:rPr>
        <w:t>նշել, որ</w:t>
      </w:r>
      <w:r w:rsidRPr="00BF10F0">
        <w:rPr>
          <w:rFonts w:ascii="Arial Unicode" w:eastAsia="Calibri" w:hAnsi="Arial Unicode"/>
          <w:sz w:val="21"/>
          <w:szCs w:val="21"/>
          <w:shd w:val="clear" w:color="auto" w:fill="FFFFFF"/>
          <w:lang w:val="hy-AM" w:eastAsia="en-US"/>
        </w:rPr>
        <w:t xml:space="preserve"> </w:t>
      </w:r>
      <w:r w:rsidRPr="00BF10F0">
        <w:rPr>
          <w:rFonts w:ascii="GHEA Grapalat" w:hAnsi="GHEA Grapalat"/>
          <w:bCs/>
          <w:lang w:val="hy-AM"/>
        </w:rPr>
        <w:t>Հայաստանի Հանրապետության կառավարության 2002 թվականի հունիսի 29-ի N 867 որոշմամբ դեղատնային գործունեություն իրականացնող անձանց համար</w:t>
      </w:r>
      <w:r>
        <w:rPr>
          <w:rFonts w:ascii="GHEA Grapalat" w:hAnsi="GHEA Grapalat"/>
          <w:bCs/>
          <w:lang w:val="hy-AM"/>
        </w:rPr>
        <w:t xml:space="preserve"> ամրագրված պարտականությունը</w:t>
      </w:r>
      <w:r w:rsidRPr="00BF10F0">
        <w:rPr>
          <w:rFonts w:ascii="GHEA Grapalat" w:hAnsi="GHEA Grapalat"/>
          <w:bCs/>
          <w:lang w:val="hy-AM"/>
        </w:rPr>
        <w:t xml:space="preserve"> </w:t>
      </w:r>
      <w:proofErr w:type="spellStart"/>
      <w:r w:rsidRPr="00BF10F0">
        <w:rPr>
          <w:rFonts w:ascii="GHEA Grapalat" w:hAnsi="GHEA Grapalat"/>
          <w:bCs/>
          <w:lang w:val="hy-AM"/>
        </w:rPr>
        <w:t>դյուրացրել</w:t>
      </w:r>
      <w:proofErr w:type="spellEnd"/>
      <w:r w:rsidRPr="00BF10F0">
        <w:rPr>
          <w:rFonts w:ascii="GHEA Grapalat" w:hAnsi="GHEA Grapalat"/>
          <w:bCs/>
          <w:lang w:val="hy-AM"/>
        </w:rPr>
        <w:t xml:space="preserve"> է նշված մասով վերահսկ</w:t>
      </w:r>
      <w:r w:rsidR="00534C51">
        <w:rPr>
          <w:rFonts w:ascii="GHEA Grapalat" w:hAnsi="GHEA Grapalat"/>
          <w:bCs/>
          <w:lang w:val="hy-AM"/>
        </w:rPr>
        <w:t xml:space="preserve">ողություն իրականացնելու </w:t>
      </w:r>
      <w:r w:rsidRPr="00BF10F0">
        <w:rPr>
          <w:rFonts w:ascii="GHEA Grapalat" w:hAnsi="GHEA Grapalat"/>
          <w:bCs/>
          <w:lang w:val="hy-AM"/>
        </w:rPr>
        <w:t>գործընթացը</w:t>
      </w:r>
      <w:r>
        <w:rPr>
          <w:rFonts w:ascii="GHEA Grapalat" w:hAnsi="GHEA Grapalat"/>
          <w:bCs/>
          <w:lang w:val="hy-AM"/>
        </w:rPr>
        <w:t xml:space="preserve">, ինչպես նաև </w:t>
      </w:r>
      <w:proofErr w:type="spellStart"/>
      <w:r>
        <w:rPr>
          <w:rFonts w:ascii="GHEA Grapalat" w:hAnsi="GHEA Grapalat"/>
          <w:bCs/>
          <w:lang w:val="hy-AM"/>
        </w:rPr>
        <w:t>նվազեցրել</w:t>
      </w:r>
      <w:proofErr w:type="spellEnd"/>
      <w:r>
        <w:rPr>
          <w:rFonts w:ascii="GHEA Grapalat" w:hAnsi="GHEA Grapalat"/>
          <w:bCs/>
          <w:lang w:val="hy-AM"/>
        </w:rPr>
        <w:t xml:space="preserve"> հնարավոր չարաշահումների և խախտումների դեպքերը</w:t>
      </w:r>
      <w:r w:rsidRPr="00BF10F0">
        <w:rPr>
          <w:rFonts w:ascii="GHEA Grapalat" w:hAnsi="GHEA Grapalat"/>
          <w:bCs/>
          <w:lang w:val="hy-AM"/>
        </w:rPr>
        <w:t>։</w:t>
      </w:r>
    </w:p>
    <w:p w:rsidR="006B0393" w:rsidRPr="002F2194" w:rsidRDefault="002F2194" w:rsidP="002F2194">
      <w:pPr>
        <w:pStyle w:val="NormalWeb"/>
        <w:spacing w:before="0" w:beforeAutospacing="0" w:after="0" w:afterAutospacing="0" w:line="276" w:lineRule="auto"/>
        <w:ind w:firstLine="708"/>
        <w:contextualSpacing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Ուստի, անհրաժեշտություն է առաջացել </w:t>
      </w:r>
      <w:r w:rsidR="006B0393" w:rsidRPr="00973F41">
        <w:rPr>
          <w:rFonts w:ascii="GHEA Grapalat" w:hAnsi="GHEA Grapalat" w:cs="Sylfaen"/>
          <w:color w:val="000000"/>
          <w:lang w:val="hy-AM"/>
        </w:rPr>
        <w:t xml:space="preserve">դեղերի մեծածախ իրացման </w:t>
      </w:r>
      <w:r>
        <w:rPr>
          <w:rFonts w:ascii="GHEA Grapalat" w:hAnsi="GHEA Grapalat" w:cs="Sylfaen"/>
          <w:color w:val="000000"/>
          <w:lang w:val="hy-AM"/>
        </w:rPr>
        <w:t>ոլորտում նույնպես սահմանել՝</w:t>
      </w:r>
      <w:r w:rsidR="006B0393" w:rsidRPr="00973F41">
        <w:rPr>
          <w:rFonts w:ascii="GHEA Grapalat" w:hAnsi="GHEA Grapalat" w:cs="Sylfaen"/>
          <w:color w:val="000000"/>
          <w:lang w:val="hy-AM"/>
        </w:rPr>
        <w:t xml:space="preserve"> </w:t>
      </w:r>
      <w:r w:rsidRPr="002F2194">
        <w:rPr>
          <w:rFonts w:ascii="GHEA Grapalat" w:hAnsi="GHEA Grapalat" w:cs="Sylfaen"/>
          <w:color w:val="000000"/>
          <w:lang w:val="hy-AM"/>
        </w:rPr>
        <w:t xml:space="preserve">լիցենզավորված գործունեությունն սկսելուց </w:t>
      </w:r>
      <w:r w:rsidRPr="002F2194">
        <w:rPr>
          <w:rFonts w:ascii="GHEA Grapalat" w:hAnsi="GHEA Grapalat" w:cs="Sylfaen"/>
          <w:color w:val="000000"/>
          <w:lang w:val="hy-AM"/>
        </w:rPr>
        <w:lastRenderedPageBreak/>
        <w:t>առնվազն հինգ աշխատանքային օր առաջ</w:t>
      </w:r>
      <w:r w:rsidR="006B0393" w:rsidRPr="00973F41">
        <w:rPr>
          <w:rFonts w:ascii="GHEA Grapalat" w:hAnsi="GHEA Grapalat" w:cs="Sylfaen"/>
          <w:color w:val="000000"/>
          <w:lang w:val="hy-AM"/>
        </w:rPr>
        <w:t xml:space="preserve"> Հայաստանի Հանրապետության օրենսդրությամբ սահմանված կարգով վտանգավոր թափոնների վնասազերծման ոլորտում համապատասխան լիցենզիա ունեցող որևէ կազմակերպության հետ կնքված պայմանագիր</w:t>
      </w:r>
      <w:r>
        <w:rPr>
          <w:rFonts w:ascii="GHEA Grapalat" w:hAnsi="GHEA Grapalat" w:cs="Sylfaen"/>
          <w:color w:val="000000"/>
          <w:lang w:val="hy-AM"/>
        </w:rPr>
        <w:t>ը</w:t>
      </w:r>
      <w:r w:rsidR="006B0393" w:rsidRPr="00973F41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լիազոր մարմնին ներկայացնելու </w:t>
      </w:r>
      <w:r w:rsidR="006B0393">
        <w:rPr>
          <w:rFonts w:ascii="GHEA Grapalat" w:hAnsi="GHEA Grapalat" w:cs="Sylfaen"/>
          <w:color w:val="000000"/>
          <w:lang w:val="hy-AM"/>
        </w:rPr>
        <w:t>պահանջ</w:t>
      </w:r>
      <w:r w:rsidR="00534C51">
        <w:rPr>
          <w:rFonts w:ascii="GHEA Grapalat" w:hAnsi="GHEA Grapalat" w:cs="Sylfaen"/>
          <w:color w:val="000000"/>
          <w:lang w:val="hy-AM"/>
        </w:rPr>
        <w:t>:</w:t>
      </w:r>
    </w:p>
    <w:p w:rsidR="00DD7011" w:rsidRPr="00BF10F0" w:rsidRDefault="00DD7011" w:rsidP="00DD7011">
      <w:pPr>
        <w:pStyle w:val="NormalWeb"/>
        <w:shd w:val="clear" w:color="auto" w:fill="FFFFFF"/>
        <w:spacing w:before="0" w:beforeAutospacing="0" w:after="0" w:afterAutospacing="0" w:line="276" w:lineRule="auto"/>
        <w:ind w:firstLine="644"/>
        <w:jc w:val="both"/>
        <w:rPr>
          <w:rFonts w:ascii="GHEA Grapalat" w:hAnsi="GHEA Grapalat" w:cs="Arial Unicode"/>
          <w:bCs/>
          <w:lang w:val="hy-AM"/>
        </w:rPr>
      </w:pPr>
    </w:p>
    <w:p w:rsidR="002E7D6E" w:rsidRPr="006E1734" w:rsidRDefault="002E7D6E" w:rsidP="00DD7011">
      <w:pPr>
        <w:tabs>
          <w:tab w:val="left" w:pos="36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i/>
          <w:sz w:val="24"/>
          <w:szCs w:val="24"/>
          <w:lang w:val="hy-AM"/>
        </w:rPr>
        <w:t xml:space="preserve">3. </w:t>
      </w:r>
      <w:r w:rsidRPr="006E1734">
        <w:rPr>
          <w:rFonts w:ascii="GHEA Grapalat" w:eastAsia="Times New Roman" w:hAnsi="GHEA Grapalat"/>
          <w:b/>
          <w:i/>
          <w:sz w:val="24"/>
          <w:szCs w:val="24"/>
          <w:lang w:val="hy-AM"/>
        </w:rPr>
        <w:t>Կարգավորման նպատակը և բնույթը.</w:t>
      </w:r>
    </w:p>
    <w:p w:rsidR="002E7D6E" w:rsidRDefault="002E7D6E" w:rsidP="00DD7011">
      <w:pPr>
        <w:pStyle w:val="NormalWeb"/>
        <w:shd w:val="clear" w:color="auto" w:fill="FFFFFF"/>
        <w:spacing w:before="0" w:beforeAutospacing="0" w:after="0" w:afterAutospacing="0" w:line="276" w:lineRule="auto"/>
        <w:ind w:firstLine="644"/>
        <w:jc w:val="both"/>
        <w:rPr>
          <w:rFonts w:ascii="GHEA Grapalat" w:hAnsi="GHEA Grapalat" w:cs="Arial Unicode"/>
          <w:bCs/>
          <w:lang w:val="hy-AM"/>
        </w:rPr>
      </w:pPr>
      <w:r w:rsidRPr="00066111">
        <w:rPr>
          <w:rFonts w:ascii="GHEA Grapalat" w:hAnsi="GHEA Grapalat" w:cs="Arial Unicode"/>
          <w:bCs/>
          <w:lang w:val="hy-AM"/>
        </w:rPr>
        <w:t>«Հայաստանի Հանրապետության կառավարության 2002 թվականի հունիսի 29-ի «Հայաստանի Հանրապետությունում դեղերի արտադրության, դեղատնային գործունեության, կազմակերպությունների կամ անհատ ձեռնարկատերերի կողմից բժշկական օգնության և սպասարկման իրականացման, դեղերի մեծածախ իրացման</w:t>
      </w:r>
      <w:r w:rsidR="00C806BA" w:rsidRPr="008A33DF">
        <w:rPr>
          <w:rFonts w:ascii="GHEA Grapalat" w:hAnsi="GHEA Grapalat"/>
          <w:bCs/>
          <w:iCs/>
          <w:color w:val="000000"/>
          <w:lang w:val="hy-AM"/>
        </w:rPr>
        <w:t>, բժշկական արտադրատեսակների արտադրության, բժշկական արտադրատեսակների սպասարկման</w:t>
      </w:r>
      <w:r w:rsidRPr="00066111">
        <w:rPr>
          <w:rFonts w:ascii="GHEA Grapalat" w:hAnsi="GHEA Grapalat" w:cs="Arial Unicode"/>
          <w:bCs/>
          <w:lang w:val="hy-AM"/>
        </w:rPr>
        <w:t xml:space="preserve"> լիցենզավորման կարգերը և նշված գործունեությունների իրականացման լիցենզիայի </w:t>
      </w:r>
      <w:proofErr w:type="spellStart"/>
      <w:r w:rsidRPr="00066111">
        <w:rPr>
          <w:rFonts w:ascii="GHEA Grapalat" w:hAnsi="GHEA Grapalat" w:cs="Arial Unicode"/>
          <w:bCs/>
          <w:lang w:val="hy-AM"/>
        </w:rPr>
        <w:t>ձևերը</w:t>
      </w:r>
      <w:proofErr w:type="spellEnd"/>
      <w:r w:rsidRPr="00066111">
        <w:rPr>
          <w:rFonts w:ascii="GHEA Grapalat" w:hAnsi="GHEA Grapalat" w:cs="Arial Unicode"/>
          <w:bCs/>
          <w:lang w:val="hy-AM"/>
        </w:rPr>
        <w:t xml:space="preserve"> հաստատելու մ</w:t>
      </w:r>
      <w:r>
        <w:rPr>
          <w:rFonts w:ascii="GHEA Grapalat" w:hAnsi="GHEA Grapalat" w:cs="Arial Unicode"/>
          <w:bCs/>
          <w:lang w:val="hy-AM"/>
        </w:rPr>
        <w:t>ասին» N 867 որոշման մեջ լրացում</w:t>
      </w:r>
      <w:r w:rsidRPr="00066111">
        <w:rPr>
          <w:rFonts w:ascii="GHEA Grapalat" w:hAnsi="GHEA Grapalat" w:cs="Arial Unicode"/>
          <w:bCs/>
          <w:lang w:val="hy-AM"/>
        </w:rPr>
        <w:t xml:space="preserve"> կատարելու մասին» Հայաստանի Հանրապետության կառավարության որոշման նախագծի ընդունումը նպատակ է հետապնդում դեղերի մեծածախ իրացման լիցենզիա ունեցող իրավաբանական անձի կամ անհատ ձեռնարկատիրոջ կողմից պիտանիության ժամկետը լրացած, չգրանցված, ինչպես նաև կեղծ և օգտագործման համար ոչ պիտանի, ոչ օրինական ճանապարհով ձեռք բերված, անորակ, </w:t>
      </w:r>
      <w:proofErr w:type="spellStart"/>
      <w:r w:rsidRPr="00066111">
        <w:rPr>
          <w:rFonts w:ascii="GHEA Grapalat" w:hAnsi="GHEA Grapalat" w:cs="Arial Unicode"/>
          <w:bCs/>
          <w:lang w:val="hy-AM"/>
        </w:rPr>
        <w:t>չհայտարարագրված</w:t>
      </w:r>
      <w:proofErr w:type="spellEnd"/>
      <w:r w:rsidRPr="00066111">
        <w:rPr>
          <w:rFonts w:ascii="GHEA Grapalat" w:hAnsi="GHEA Grapalat" w:cs="Arial Unicode"/>
          <w:bCs/>
          <w:lang w:val="hy-AM"/>
        </w:rPr>
        <w:t xml:space="preserve"> </w:t>
      </w:r>
      <w:proofErr w:type="spellStart"/>
      <w:r w:rsidRPr="00066111">
        <w:rPr>
          <w:rFonts w:ascii="GHEA Grapalat" w:hAnsi="GHEA Grapalat" w:cs="Arial Unicode"/>
          <w:bCs/>
          <w:lang w:val="hy-AM"/>
        </w:rPr>
        <w:t>բաղադրատարրեր</w:t>
      </w:r>
      <w:proofErr w:type="spellEnd"/>
      <w:r w:rsidRPr="00066111">
        <w:rPr>
          <w:rFonts w:ascii="GHEA Grapalat" w:hAnsi="GHEA Grapalat" w:cs="Arial Unicode"/>
          <w:bCs/>
          <w:lang w:val="hy-AM"/>
        </w:rPr>
        <w:t xml:space="preserve"> պարունակող դեղերի, դեղանյութերի, </w:t>
      </w:r>
      <w:proofErr w:type="spellStart"/>
      <w:r w:rsidRPr="00066111">
        <w:rPr>
          <w:rFonts w:ascii="GHEA Grapalat" w:hAnsi="GHEA Grapalat" w:cs="Arial Unicode"/>
          <w:bCs/>
          <w:lang w:val="hy-AM"/>
        </w:rPr>
        <w:t>դեղաբուսական</w:t>
      </w:r>
      <w:proofErr w:type="spellEnd"/>
      <w:r w:rsidRPr="00066111">
        <w:rPr>
          <w:rFonts w:ascii="GHEA Grapalat" w:hAnsi="GHEA Grapalat" w:cs="Arial Unicode"/>
          <w:bCs/>
          <w:lang w:val="hy-AM"/>
        </w:rPr>
        <w:t xml:space="preserve"> հումքի և հետազոտվող դեղագործական արտադրանքի ոչնչացում</w:t>
      </w:r>
      <w:r w:rsidR="00403ADF">
        <w:rPr>
          <w:rFonts w:ascii="GHEA Grapalat" w:hAnsi="GHEA Grapalat" w:cs="Arial Unicode"/>
          <w:bCs/>
          <w:lang w:val="hy-AM"/>
        </w:rPr>
        <w:t>ն իրականացնել</w:t>
      </w:r>
      <w:r w:rsidRPr="00066111">
        <w:rPr>
          <w:rFonts w:ascii="GHEA Grapalat" w:hAnsi="GHEA Grapalat" w:cs="Arial Unicode"/>
          <w:bCs/>
          <w:lang w:val="hy-AM"/>
        </w:rPr>
        <w:t xml:space="preserve"> Հայաստանի Հանրապետության օրենսդրությամբ և այլ իրավական ակտերով վտանգավոր թափոնների ոչնչացմանը ներկայացվող պահանջների պահպան</w:t>
      </w:r>
      <w:r w:rsidR="00403ADF">
        <w:rPr>
          <w:rFonts w:ascii="GHEA Grapalat" w:hAnsi="GHEA Grapalat" w:cs="Arial Unicode"/>
          <w:bCs/>
          <w:lang w:val="hy-AM"/>
        </w:rPr>
        <w:t>մամբ</w:t>
      </w:r>
      <w:r w:rsidRPr="00066111">
        <w:rPr>
          <w:rFonts w:ascii="GHEA Grapalat" w:hAnsi="GHEA Grapalat" w:cs="Arial Unicode"/>
          <w:bCs/>
          <w:lang w:val="hy-AM"/>
        </w:rPr>
        <w:t>:</w:t>
      </w:r>
    </w:p>
    <w:p w:rsidR="00DD7011" w:rsidRPr="00066111" w:rsidRDefault="00DD7011" w:rsidP="00DD7011">
      <w:pPr>
        <w:pStyle w:val="NormalWeb"/>
        <w:shd w:val="clear" w:color="auto" w:fill="FFFFFF"/>
        <w:spacing w:before="0" w:beforeAutospacing="0" w:after="0" w:afterAutospacing="0" w:line="276" w:lineRule="auto"/>
        <w:ind w:firstLine="644"/>
        <w:jc w:val="both"/>
        <w:rPr>
          <w:rFonts w:ascii="GHEA Grapalat" w:hAnsi="GHEA Grapalat" w:cs="Arial Unicode"/>
          <w:bCs/>
          <w:lang w:val="hy-AM"/>
        </w:rPr>
      </w:pPr>
    </w:p>
    <w:p w:rsidR="002E7D6E" w:rsidRPr="00822796" w:rsidRDefault="002E7D6E" w:rsidP="00DD7011">
      <w:pPr>
        <w:tabs>
          <w:tab w:val="left" w:pos="36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i/>
          <w:sz w:val="24"/>
          <w:szCs w:val="24"/>
          <w:lang w:val="hy-AM"/>
        </w:rPr>
        <w:t xml:space="preserve">4. </w:t>
      </w:r>
      <w:r w:rsidRPr="00822796">
        <w:rPr>
          <w:rFonts w:ascii="GHEA Grapalat" w:eastAsia="Times New Roman" w:hAnsi="GHEA Grapalat"/>
          <w:b/>
          <w:i/>
          <w:sz w:val="24"/>
          <w:szCs w:val="24"/>
          <w:lang w:val="hy-AM"/>
        </w:rPr>
        <w:t>Իրավական ակտի նախագիծը մշակող պատասխանատու մարմինը.</w:t>
      </w:r>
    </w:p>
    <w:p w:rsidR="002E7D6E" w:rsidRDefault="002E7D6E" w:rsidP="00DD7011">
      <w:pPr>
        <w:spacing w:after="0"/>
        <w:ind w:left="-207" w:firstLine="774"/>
        <w:jc w:val="both"/>
        <w:rPr>
          <w:rFonts w:ascii="GHEA Grapalat" w:hAnsi="GHEA Grapalat"/>
          <w:sz w:val="24"/>
          <w:szCs w:val="24"/>
          <w:lang w:val="hy-AM"/>
        </w:rPr>
      </w:pPr>
      <w:r w:rsidRPr="003D1A7F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վարչապետի աշխատակազմի տեսչական մարմինների աշխատանքների համակարգման գրասենյակի </w:t>
      </w:r>
      <w:r>
        <w:rPr>
          <w:rFonts w:ascii="GHEA Grapalat" w:hAnsi="GHEA Grapalat"/>
          <w:sz w:val="24"/>
          <w:szCs w:val="24"/>
          <w:lang w:val="hy-AM"/>
        </w:rPr>
        <w:t>և Տեսչական մարմնի կողմից համատեղ:</w:t>
      </w:r>
    </w:p>
    <w:p w:rsidR="00DD7011" w:rsidRPr="007636F5" w:rsidRDefault="00DD7011" w:rsidP="00DD7011">
      <w:pPr>
        <w:spacing w:after="0"/>
        <w:ind w:left="-207" w:firstLine="774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E7D6E" w:rsidRPr="00822796" w:rsidRDefault="002E7D6E" w:rsidP="00DD7011">
      <w:pPr>
        <w:tabs>
          <w:tab w:val="left" w:pos="36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i/>
          <w:sz w:val="24"/>
          <w:szCs w:val="24"/>
          <w:lang w:val="hy-AM"/>
        </w:rPr>
        <w:t xml:space="preserve">5. </w:t>
      </w:r>
      <w:r w:rsidRPr="00822796">
        <w:rPr>
          <w:rFonts w:ascii="GHEA Grapalat" w:eastAsia="Times New Roman" w:hAnsi="GHEA Grapalat"/>
          <w:b/>
          <w:i/>
          <w:sz w:val="24"/>
          <w:szCs w:val="24"/>
          <w:lang w:val="hy-AM"/>
        </w:rPr>
        <w:t>Ակնկալվող արդյունք</w:t>
      </w:r>
    </w:p>
    <w:p w:rsidR="002E7D6E" w:rsidRDefault="002E7D6E" w:rsidP="00DD7011">
      <w:pPr>
        <w:spacing w:after="0"/>
        <w:ind w:left="-207" w:firstLine="774"/>
        <w:jc w:val="both"/>
        <w:rPr>
          <w:rFonts w:ascii="GHEA Grapalat" w:hAnsi="GHEA Grapalat"/>
          <w:sz w:val="24"/>
          <w:szCs w:val="24"/>
          <w:lang w:val="hy-AM"/>
        </w:rPr>
      </w:pPr>
      <w:r w:rsidRPr="00066111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2002 թվականի հունիսի 29-ի «Հայաստանի Հանրապետությունում դեղերի արտադրության, դեղատնային գործունեության, կազմակերպությունների կամ անհատ ձեռնարկատերերի կողմից բժշկական օգնության և սպասարկման իրականացման, դեղերի մեծածախ իրացման</w:t>
      </w:r>
      <w:r w:rsidR="00C806BA" w:rsidRPr="008A33D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, բժշկական արտադրատեսակների արտադրության, բժշկական արտադրատեսակների սպասարկման</w:t>
      </w:r>
      <w:r w:rsidRPr="00066111">
        <w:rPr>
          <w:rFonts w:ascii="GHEA Grapalat" w:hAnsi="GHEA Grapalat"/>
          <w:sz w:val="24"/>
          <w:szCs w:val="24"/>
          <w:lang w:val="hy-AM"/>
        </w:rPr>
        <w:t xml:space="preserve"> լիցենզավորման կարգերը և նշված գործունեությունների իրականացման լիցենզիայի </w:t>
      </w:r>
      <w:proofErr w:type="spellStart"/>
      <w:r w:rsidRPr="00066111">
        <w:rPr>
          <w:rFonts w:ascii="GHEA Grapalat" w:hAnsi="GHEA Grapalat"/>
          <w:sz w:val="24"/>
          <w:szCs w:val="24"/>
          <w:lang w:val="hy-AM"/>
        </w:rPr>
        <w:t>ձևերը</w:t>
      </w:r>
      <w:proofErr w:type="spellEnd"/>
      <w:r w:rsidRPr="00066111">
        <w:rPr>
          <w:rFonts w:ascii="GHEA Grapalat" w:hAnsi="GHEA Grapalat"/>
          <w:sz w:val="24"/>
          <w:szCs w:val="24"/>
          <w:lang w:val="hy-AM"/>
        </w:rPr>
        <w:t xml:space="preserve"> հաստատելու մասին» N 867 որոշման մեջ լրացում կատարելու մասին» Հայաստանի Հանրապետության կառավարության որոշման նախագծի ընդունման արդյունքում կապահովվի դեղերի </w:t>
      </w:r>
      <w:r w:rsidRPr="00066111">
        <w:rPr>
          <w:rFonts w:ascii="GHEA Grapalat" w:hAnsi="GHEA Grapalat"/>
          <w:sz w:val="24"/>
          <w:szCs w:val="24"/>
          <w:lang w:val="hy-AM"/>
        </w:rPr>
        <w:lastRenderedPageBreak/>
        <w:t xml:space="preserve">մեծածախ իրացման լիցենզիա ունեցող իրավաբանական անձանց կամ անհատ ձեռնարկատերերի </w:t>
      </w:r>
      <w:r w:rsidR="00403ADF">
        <w:rPr>
          <w:rFonts w:ascii="GHEA Grapalat" w:hAnsi="GHEA Grapalat"/>
          <w:sz w:val="24"/>
          <w:szCs w:val="24"/>
          <w:lang w:val="hy-AM"/>
        </w:rPr>
        <w:t xml:space="preserve">և </w:t>
      </w:r>
      <w:r w:rsidR="00403ADF" w:rsidRPr="00403ADF">
        <w:rPr>
          <w:rFonts w:ascii="GHEA Grapalat" w:hAnsi="GHEA Grapalat"/>
          <w:sz w:val="24"/>
          <w:szCs w:val="24"/>
          <w:lang w:val="hy-AM"/>
        </w:rPr>
        <w:t xml:space="preserve">վտանգավոր թափոնների վնասազերծման ոլորտում համապատասխան լիցենզիա ունեցող </w:t>
      </w:r>
      <w:r w:rsidR="00403ADF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06611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66111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Pr="00066111">
        <w:rPr>
          <w:rFonts w:ascii="GHEA Grapalat" w:hAnsi="GHEA Grapalat"/>
          <w:sz w:val="24"/>
          <w:szCs w:val="24"/>
          <w:lang w:val="hy-AM"/>
        </w:rPr>
        <w:t xml:space="preserve"> պայմանագրի </w:t>
      </w:r>
      <w:r w:rsidR="00403ADF" w:rsidRPr="00066111">
        <w:rPr>
          <w:rFonts w:ascii="GHEA Grapalat" w:hAnsi="GHEA Grapalat"/>
          <w:sz w:val="24"/>
          <w:szCs w:val="24"/>
          <w:lang w:val="hy-AM"/>
        </w:rPr>
        <w:t xml:space="preserve">պարտադիր </w:t>
      </w:r>
      <w:r w:rsidRPr="00066111">
        <w:rPr>
          <w:rFonts w:ascii="GHEA Grapalat" w:hAnsi="GHEA Grapalat"/>
          <w:sz w:val="24"/>
          <w:szCs w:val="24"/>
          <w:lang w:val="hy-AM"/>
        </w:rPr>
        <w:t>առկայությունը</w:t>
      </w:r>
      <w:r w:rsidR="009115DA">
        <w:rPr>
          <w:rFonts w:ascii="GHEA Grapalat" w:hAnsi="GHEA Grapalat"/>
          <w:sz w:val="24"/>
          <w:szCs w:val="24"/>
          <w:lang w:val="hy-AM"/>
        </w:rPr>
        <w:t>,</w:t>
      </w:r>
      <w:r w:rsidR="00403ADF">
        <w:rPr>
          <w:rFonts w:ascii="GHEA Grapalat" w:hAnsi="GHEA Grapalat"/>
          <w:sz w:val="24"/>
          <w:szCs w:val="24"/>
          <w:lang w:val="hy-AM"/>
        </w:rPr>
        <w:t xml:space="preserve"> ինչը</w:t>
      </w:r>
      <w:r w:rsidR="009115DA">
        <w:rPr>
          <w:rFonts w:ascii="GHEA Grapalat" w:hAnsi="GHEA Grapalat"/>
          <w:sz w:val="24"/>
          <w:szCs w:val="24"/>
          <w:lang w:val="hy-AM"/>
        </w:rPr>
        <w:t xml:space="preserve"> մի կողմից </w:t>
      </w:r>
      <w:r w:rsidR="009115DA" w:rsidRPr="00066111">
        <w:rPr>
          <w:rFonts w:ascii="GHEA Grapalat" w:hAnsi="GHEA Grapalat"/>
          <w:sz w:val="24"/>
          <w:szCs w:val="24"/>
          <w:lang w:val="hy-AM"/>
        </w:rPr>
        <w:t xml:space="preserve">հնարավորություն կընձեռի </w:t>
      </w:r>
      <w:r w:rsidR="009115DA" w:rsidRPr="009115DA">
        <w:rPr>
          <w:rFonts w:ascii="GHEA Grapalat" w:hAnsi="GHEA Grapalat"/>
          <w:sz w:val="24"/>
          <w:szCs w:val="24"/>
          <w:lang w:val="hy-AM"/>
        </w:rPr>
        <w:t>նվազեց</w:t>
      </w:r>
      <w:r w:rsidR="009115DA">
        <w:rPr>
          <w:rFonts w:ascii="GHEA Grapalat" w:hAnsi="GHEA Grapalat"/>
          <w:sz w:val="24"/>
          <w:szCs w:val="24"/>
          <w:lang w:val="hy-AM"/>
        </w:rPr>
        <w:t>ն</w:t>
      </w:r>
      <w:r w:rsidR="009115DA" w:rsidRPr="009115DA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9115DA">
        <w:rPr>
          <w:rFonts w:ascii="GHEA Grapalat" w:hAnsi="GHEA Grapalat"/>
          <w:sz w:val="24"/>
          <w:szCs w:val="24"/>
          <w:lang w:val="hy-AM"/>
        </w:rPr>
        <w:t xml:space="preserve">նշած ոլորտում </w:t>
      </w:r>
      <w:r w:rsidR="009115DA" w:rsidRPr="009115DA">
        <w:rPr>
          <w:rFonts w:ascii="GHEA Grapalat" w:hAnsi="GHEA Grapalat"/>
          <w:sz w:val="24"/>
          <w:szCs w:val="24"/>
          <w:lang w:val="hy-AM"/>
        </w:rPr>
        <w:t>հնարավոր չարաշահումներ</w:t>
      </w:r>
      <w:r w:rsidR="009115DA">
        <w:rPr>
          <w:rFonts w:ascii="GHEA Grapalat" w:hAnsi="GHEA Grapalat"/>
          <w:sz w:val="24"/>
          <w:szCs w:val="24"/>
          <w:lang w:val="hy-AM"/>
        </w:rPr>
        <w:t>ն ու</w:t>
      </w:r>
      <w:r w:rsidR="009115DA" w:rsidRPr="009115DA">
        <w:rPr>
          <w:rFonts w:ascii="GHEA Grapalat" w:hAnsi="GHEA Grapalat"/>
          <w:sz w:val="24"/>
          <w:szCs w:val="24"/>
          <w:lang w:val="hy-AM"/>
        </w:rPr>
        <w:t xml:space="preserve"> խախտումներ</w:t>
      </w:r>
      <w:r w:rsidR="009115DA">
        <w:rPr>
          <w:rFonts w:ascii="GHEA Grapalat" w:hAnsi="GHEA Grapalat"/>
          <w:sz w:val="24"/>
          <w:szCs w:val="24"/>
          <w:lang w:val="hy-AM"/>
        </w:rPr>
        <w:t xml:space="preserve">ը, իսկ մյուս կողմից </w:t>
      </w:r>
      <w:r w:rsidRPr="00066111">
        <w:rPr>
          <w:rFonts w:ascii="GHEA Grapalat" w:hAnsi="GHEA Grapalat"/>
          <w:sz w:val="24"/>
          <w:szCs w:val="24"/>
          <w:lang w:val="hy-AM"/>
        </w:rPr>
        <w:t>կբարձրացնի վերահսկ</w:t>
      </w:r>
      <w:r w:rsidR="009115DA">
        <w:rPr>
          <w:rFonts w:ascii="GHEA Grapalat" w:hAnsi="GHEA Grapalat"/>
          <w:sz w:val="24"/>
          <w:szCs w:val="24"/>
          <w:lang w:val="hy-AM"/>
        </w:rPr>
        <w:t>ողության արդյունավետությունը</w:t>
      </w:r>
      <w:r w:rsidRPr="00066111">
        <w:rPr>
          <w:rFonts w:ascii="GHEA Grapalat" w:hAnsi="GHEA Grapalat"/>
          <w:sz w:val="24"/>
          <w:szCs w:val="24"/>
          <w:lang w:val="hy-AM"/>
        </w:rPr>
        <w:t>։</w:t>
      </w:r>
    </w:p>
    <w:p w:rsidR="00DD7011" w:rsidRPr="00066111" w:rsidRDefault="00DD7011" w:rsidP="00DD7011">
      <w:pPr>
        <w:spacing w:after="0"/>
        <w:ind w:left="-207" w:firstLine="774"/>
        <w:jc w:val="both"/>
        <w:rPr>
          <w:rFonts w:ascii="GHEA Grapalat" w:hAnsi="GHEA Grapalat"/>
          <w:sz w:val="24"/>
          <w:szCs w:val="24"/>
          <w:lang w:val="hy-AM"/>
        </w:rPr>
      </w:pPr>
    </w:p>
    <w:p w:rsidR="002E7D6E" w:rsidRPr="00523DEB" w:rsidRDefault="002E7D6E" w:rsidP="00DD7011">
      <w:pPr>
        <w:tabs>
          <w:tab w:val="left" w:pos="36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i/>
          <w:sz w:val="24"/>
          <w:szCs w:val="24"/>
          <w:lang w:val="hy-AM"/>
        </w:rPr>
        <w:t xml:space="preserve">6. </w:t>
      </w:r>
      <w:r w:rsidRPr="00523DEB">
        <w:rPr>
          <w:rFonts w:ascii="GHEA Grapalat" w:eastAsia="Times New Roman" w:hAnsi="GHEA Grapalat"/>
          <w:b/>
          <w:i/>
          <w:sz w:val="24"/>
          <w:szCs w:val="24"/>
          <w:lang w:val="hy-AM"/>
        </w:rPr>
        <w:t>Այլ իրավական ակտերում փոփոխությունների և/կամ լրացումների անհրաժեշտությունը.</w:t>
      </w:r>
    </w:p>
    <w:p w:rsidR="002E7D6E" w:rsidRDefault="002E7D6E" w:rsidP="00DD7011">
      <w:pPr>
        <w:spacing w:after="0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  <w:t xml:space="preserve">Նախագծի ընդունման դեպքում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այլ իրավական ակտերում փոփոխություններ և/կամ լրացումներ կատարելու անհրաժեշտությունը բացակայում է: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DD7011" w:rsidRDefault="00DD7011" w:rsidP="00DD7011">
      <w:pPr>
        <w:spacing w:after="0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E7D6E" w:rsidRPr="00523DEB" w:rsidRDefault="002E7D6E" w:rsidP="00DD7011">
      <w:pPr>
        <w:tabs>
          <w:tab w:val="left" w:pos="36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i/>
          <w:sz w:val="24"/>
          <w:szCs w:val="24"/>
          <w:lang w:val="hy-AM"/>
        </w:rPr>
        <w:t xml:space="preserve">7. </w:t>
      </w:r>
      <w:r w:rsidRPr="00523DEB">
        <w:rPr>
          <w:rFonts w:ascii="GHEA Grapalat" w:eastAsia="Times New Roman" w:hAnsi="GHEA Grapalat"/>
          <w:b/>
          <w:i/>
          <w:sz w:val="24"/>
          <w:szCs w:val="24"/>
          <w:lang w:val="hy-AM"/>
        </w:rPr>
        <w:t>Պետական կամ տեղական ինքնակառավարման մարմնի բյուջեում ծախսերի և եկամուտների էական ավելացման կամ նվազեցման մասին.</w:t>
      </w:r>
    </w:p>
    <w:p w:rsidR="002E7D6E" w:rsidRDefault="002E7D6E" w:rsidP="00DD7011">
      <w:pPr>
        <w:tabs>
          <w:tab w:val="left" w:pos="567"/>
        </w:tabs>
        <w:spacing w:after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:rsidR="00DD7011" w:rsidRDefault="00DD7011" w:rsidP="00DD7011">
      <w:pPr>
        <w:tabs>
          <w:tab w:val="left" w:pos="567"/>
        </w:tabs>
        <w:spacing w:after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E7D6E" w:rsidRPr="00523DEB" w:rsidRDefault="002E7D6E" w:rsidP="00DD7011">
      <w:pPr>
        <w:tabs>
          <w:tab w:val="left" w:pos="360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GHEA Grapalat" w:eastAsia="Times New Roman" w:hAnsi="GHEA Grapalat"/>
          <w:b/>
          <w:i/>
          <w:sz w:val="24"/>
          <w:szCs w:val="24"/>
          <w:lang w:val="hy-AM"/>
        </w:rPr>
      </w:pPr>
      <w:r w:rsidRPr="00897470">
        <w:rPr>
          <w:rFonts w:ascii="GHEA Grapalat" w:eastAsia="Times New Roman" w:hAnsi="GHEA Grapalat"/>
          <w:b/>
          <w:i/>
          <w:sz w:val="24"/>
          <w:szCs w:val="24"/>
          <w:lang w:val="hy-AM"/>
        </w:rPr>
        <w:t>8</w:t>
      </w:r>
      <w:r>
        <w:rPr>
          <w:rFonts w:ascii="GHEA Grapalat" w:eastAsia="Times New Roman" w:hAnsi="GHEA Grapalat"/>
          <w:b/>
          <w:i/>
          <w:sz w:val="24"/>
          <w:szCs w:val="24"/>
          <w:lang w:val="hy-AM"/>
        </w:rPr>
        <w:t xml:space="preserve">. </w:t>
      </w:r>
      <w:r w:rsidRPr="00523DEB">
        <w:rPr>
          <w:rFonts w:ascii="GHEA Grapalat" w:eastAsia="Times New Roman" w:hAnsi="GHEA Grapalat"/>
          <w:b/>
          <w:i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:rsidR="000C6C1C" w:rsidRPr="002E7D6E" w:rsidRDefault="002E7D6E" w:rsidP="00DD7011">
      <w:pPr>
        <w:rPr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 xml:space="preserve">Նախագիծը չի բխում «Հայաստանի վերափոխման ռազմավարություն 2050» ռազմավարական փաստաթղթից, Կառավարության 2021-2026թթ. ծրագրից, ոլորտային և/կամ այլ </w:t>
      </w:r>
      <w:proofErr w:type="spellStart"/>
      <w:r>
        <w:rPr>
          <w:rFonts w:ascii="GHEA Grapalat" w:hAnsi="GHEA Grapalat"/>
          <w:sz w:val="24"/>
          <w:lang w:val="hy-AM"/>
        </w:rPr>
        <w:t>ռազմավարություններից</w:t>
      </w:r>
      <w:proofErr w:type="spellEnd"/>
      <w:r>
        <w:rPr>
          <w:rFonts w:ascii="GHEA Grapalat" w:hAnsi="GHEA Grapalat"/>
          <w:sz w:val="24"/>
          <w:lang w:val="hy-AM"/>
        </w:rPr>
        <w:t>։</w:t>
      </w:r>
    </w:p>
    <w:sectPr w:rsidR="000C6C1C" w:rsidRPr="002E7D6E" w:rsidSect="00DD701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E20CF"/>
    <w:multiLevelType w:val="hybridMultilevel"/>
    <w:tmpl w:val="68BEB336"/>
    <w:lvl w:ilvl="0" w:tplc="BAE43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01"/>
    <w:rsid w:val="000C6C1C"/>
    <w:rsid w:val="00201301"/>
    <w:rsid w:val="002E7D6E"/>
    <w:rsid w:val="002F2194"/>
    <w:rsid w:val="00403ADF"/>
    <w:rsid w:val="00534C51"/>
    <w:rsid w:val="005B6050"/>
    <w:rsid w:val="005D4201"/>
    <w:rsid w:val="00604004"/>
    <w:rsid w:val="006B0393"/>
    <w:rsid w:val="006D7386"/>
    <w:rsid w:val="009115DA"/>
    <w:rsid w:val="00C806BA"/>
    <w:rsid w:val="00CA3533"/>
    <w:rsid w:val="00D53054"/>
    <w:rsid w:val="00DD7011"/>
    <w:rsid w:val="00E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4880B-354E-4FCA-B572-05D760A8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6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7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7D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6D7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Syuzanna Gevorgyan</dc:creator>
  <cp:keywords/>
  <dc:description/>
  <cp:lastModifiedBy>Syuzanna Gevorgyan</cp:lastModifiedBy>
  <cp:revision>3</cp:revision>
  <dcterms:created xsi:type="dcterms:W3CDTF">2023-03-20T10:32:00Z</dcterms:created>
  <dcterms:modified xsi:type="dcterms:W3CDTF">2023-04-11T07:42:00Z</dcterms:modified>
</cp:coreProperties>
</file>