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0A3E" w:rsidRPr="009B1A83" w:rsidRDefault="00D16B8D">
      <w:pPr>
        <w:pBdr>
          <w:top w:val="nil"/>
          <w:left w:val="nil"/>
          <w:bottom w:val="nil"/>
          <w:right w:val="nil"/>
          <w:between w:val="nil"/>
        </w:pBdr>
        <w:tabs>
          <w:tab w:val="center" w:pos="4680"/>
          <w:tab w:val="center" w:pos="7229"/>
          <w:tab w:val="center" w:pos="7285"/>
          <w:tab w:val="right" w:pos="9360"/>
          <w:tab w:val="left" w:pos="11057"/>
          <w:tab w:val="left" w:pos="11266"/>
        </w:tabs>
        <w:spacing w:line="276" w:lineRule="auto"/>
        <w:jc w:val="center"/>
        <w:rPr>
          <w:rFonts w:ascii="GHEA Grapalat" w:eastAsia="GHEA Grapalat" w:hAnsi="GHEA Grapalat" w:cs="GHEA Grapalat"/>
          <w:b/>
          <w:color w:val="000000"/>
        </w:rPr>
      </w:pPr>
      <w:r w:rsidRPr="009B1A83">
        <w:rPr>
          <w:rFonts w:ascii="GHEA Grapalat" w:eastAsia="GHEA Grapalat" w:hAnsi="GHEA Grapalat" w:cs="GHEA Grapalat"/>
          <w:b/>
        </w:rPr>
        <w:t>ԱՄՓՈՓԱԹԵՐԹ</w:t>
      </w:r>
    </w:p>
    <w:p w:rsidR="00FB0A3E" w:rsidRPr="009B1A83" w:rsidRDefault="00F11EF4" w:rsidP="003B3337">
      <w:pPr>
        <w:pBdr>
          <w:top w:val="nil"/>
          <w:left w:val="nil"/>
          <w:bottom w:val="nil"/>
          <w:right w:val="nil"/>
          <w:between w:val="nil"/>
        </w:pBdr>
        <w:shd w:val="clear" w:color="auto" w:fill="FFFFFF"/>
        <w:spacing w:after="240" w:line="360" w:lineRule="auto"/>
        <w:jc w:val="center"/>
        <w:rPr>
          <w:rFonts w:ascii="GHEA Grapalat" w:eastAsia="GHEA Grapalat" w:hAnsi="GHEA Grapalat" w:cs="GHEA Grapalat"/>
          <w:b/>
          <w:color w:val="000000"/>
        </w:rPr>
      </w:pPr>
      <w:r w:rsidRPr="00F11EF4">
        <w:rPr>
          <w:rFonts w:ascii="GHEA Grapalat" w:eastAsia="GHEA Grapalat" w:hAnsi="GHEA Grapalat" w:cs="GHEA Grapalat"/>
          <w:b/>
        </w:rPr>
        <w:t>«ՀԱՅԱՍՏԱՆԻ ՀԱՆՐԱՊԵՏՈՒԹՅԱՆ 2023 ԹՎԱԿԱՆԻ ՊԵՏԱԿԱՆ ԲՅՈՒՋԵԻ ՄԱՍԻՆ» ՕՐԵՆՔՈՒՄ ՓՈՓՈԽՈՒԹՅՈՒՆՆԵՐ, ՀԱՅԱՍՏԱՆԻ ՀԱՆՐԱՊԵՏՈՒԹՅԱՆ ԿԱՌԱՎԱՐՈՒԹՅԱՆ 2022 ԹՎԱԿԱՆԻ ԴԵԿՏԵՄԲԵՐԻ 29-Ի N 2111-Ն ՈՐՈՇՄԱՆ ՄԵՋ ՓՈՓՈԽՈՒԹՅՈՒՆՆԵՐ ԿԱՏԱՐԵԼՈՒ ՄԱՍԻՆ</w:t>
      </w:r>
    </w:p>
    <w:tbl>
      <w:tblPr>
        <w:tblStyle w:val="TableGrid"/>
        <w:tblW w:w="14992" w:type="dxa"/>
        <w:tblLayout w:type="fixed"/>
        <w:tblLook w:val="04A0" w:firstRow="1" w:lastRow="0" w:firstColumn="1" w:lastColumn="0" w:noHBand="0" w:noVBand="1"/>
      </w:tblPr>
      <w:tblGrid>
        <w:gridCol w:w="7398"/>
        <w:gridCol w:w="4860"/>
        <w:gridCol w:w="2734"/>
      </w:tblGrid>
      <w:tr w:rsidR="00F11EF4" w:rsidRPr="009B1A83" w:rsidTr="00001562">
        <w:tc>
          <w:tcPr>
            <w:tcW w:w="12258" w:type="dxa"/>
            <w:gridSpan w:val="2"/>
            <w:vMerge w:val="restart"/>
            <w:shd w:val="clear" w:color="auto" w:fill="BFBFBF" w:themeFill="background1" w:themeFillShade="BF"/>
            <w:vAlign w:val="center"/>
          </w:tcPr>
          <w:p w:rsidR="00F11EF4" w:rsidRPr="009B1A83" w:rsidRDefault="00F11EF4" w:rsidP="00F11EF4">
            <w:pPr>
              <w:spacing w:line="360" w:lineRule="auto"/>
              <w:jc w:val="center"/>
              <w:rPr>
                <w:rFonts w:ascii="GHEA Grapalat" w:eastAsia="GHEA Grapalat" w:hAnsi="GHEA Grapalat" w:cs="GHEA Grapalat"/>
                <w:b/>
                <w:color w:val="000000" w:themeColor="text1"/>
                <w:lang w:val="en-US"/>
              </w:rPr>
            </w:pPr>
            <w:r w:rsidRPr="009B1A83">
              <w:rPr>
                <w:rFonts w:ascii="GHEA Grapalat" w:eastAsia="GHEA Grapalat" w:hAnsi="GHEA Grapalat" w:cs="GHEA Grapalat"/>
                <w:b/>
                <w:color w:val="000000" w:themeColor="text1"/>
                <w:lang w:val="en-US"/>
              </w:rPr>
              <w:t xml:space="preserve">1. </w:t>
            </w:r>
            <w:r>
              <w:rPr>
                <w:rFonts w:ascii="GHEA Grapalat" w:eastAsia="GHEA Grapalat" w:hAnsi="GHEA Grapalat" w:cs="GHEA Grapalat"/>
                <w:b/>
                <w:color w:val="000000" w:themeColor="text1"/>
              </w:rPr>
              <w:t>Ֆինանսների</w:t>
            </w:r>
            <w:r w:rsidRPr="009B1A83">
              <w:rPr>
                <w:rFonts w:ascii="GHEA Grapalat" w:eastAsia="GHEA Grapalat" w:hAnsi="GHEA Grapalat" w:cs="GHEA Grapalat"/>
                <w:b/>
                <w:color w:val="000000" w:themeColor="text1"/>
                <w:lang w:val="en-US"/>
              </w:rPr>
              <w:t xml:space="preserve"> </w:t>
            </w:r>
            <w:proofErr w:type="spellStart"/>
            <w:r w:rsidRPr="009B1A83">
              <w:rPr>
                <w:rFonts w:ascii="GHEA Grapalat" w:eastAsia="GHEA Grapalat" w:hAnsi="GHEA Grapalat" w:cs="GHEA Grapalat"/>
                <w:b/>
                <w:color w:val="000000" w:themeColor="text1"/>
                <w:lang w:val="en-US"/>
              </w:rPr>
              <w:t>նախարարություն</w:t>
            </w:r>
            <w:proofErr w:type="spellEnd"/>
          </w:p>
        </w:tc>
        <w:tc>
          <w:tcPr>
            <w:tcW w:w="2734" w:type="dxa"/>
            <w:shd w:val="clear" w:color="auto" w:fill="BFBFBF" w:themeFill="background1" w:themeFillShade="BF"/>
          </w:tcPr>
          <w:p w:rsidR="00F11EF4" w:rsidRPr="00B82B1F" w:rsidRDefault="00F11EF4" w:rsidP="00F11EF4">
            <w:pPr>
              <w:spacing w:line="360" w:lineRule="auto"/>
              <w:jc w:val="center"/>
              <w:rPr>
                <w:rFonts w:ascii="Cambria Math" w:eastAsia="GHEA Grapalat" w:hAnsi="Cambria Math" w:cs="GHEA Grapalat"/>
                <w:b/>
                <w:color w:val="000000" w:themeColor="text1"/>
              </w:rPr>
            </w:pPr>
            <w:r>
              <w:rPr>
                <w:rFonts w:ascii="GHEA Grapalat" w:eastAsia="GHEA Grapalat" w:hAnsi="GHEA Grapalat" w:cs="GHEA Grapalat"/>
                <w:b/>
                <w:color w:val="000000" w:themeColor="text1"/>
                <w:lang w:val="en-US"/>
              </w:rPr>
              <w:t>17.02.2023</w:t>
            </w:r>
            <w:r>
              <w:rPr>
                <w:rFonts w:ascii="GHEA Grapalat" w:eastAsia="GHEA Grapalat" w:hAnsi="GHEA Grapalat" w:cs="GHEA Grapalat"/>
                <w:b/>
                <w:color w:val="000000" w:themeColor="text1"/>
              </w:rPr>
              <w:t>թ</w:t>
            </w:r>
            <w:r>
              <w:rPr>
                <w:rFonts w:ascii="Cambria Math" w:eastAsia="GHEA Grapalat" w:hAnsi="Cambria Math" w:cs="GHEA Grapalat"/>
                <w:b/>
                <w:color w:val="000000" w:themeColor="text1"/>
              </w:rPr>
              <w:t>․</w:t>
            </w:r>
          </w:p>
        </w:tc>
      </w:tr>
      <w:tr w:rsidR="00F11EF4" w:rsidRPr="009B1A83" w:rsidTr="00001562">
        <w:tc>
          <w:tcPr>
            <w:tcW w:w="12258" w:type="dxa"/>
            <w:gridSpan w:val="2"/>
            <w:vMerge/>
            <w:shd w:val="clear" w:color="auto" w:fill="BFBFBF" w:themeFill="background1" w:themeFillShade="BF"/>
          </w:tcPr>
          <w:p w:rsidR="00F11EF4" w:rsidRPr="009B1A83" w:rsidRDefault="00F11EF4" w:rsidP="00F11EF4">
            <w:pPr>
              <w:spacing w:line="360" w:lineRule="auto"/>
              <w:jc w:val="both"/>
              <w:rPr>
                <w:rFonts w:ascii="GHEA Grapalat" w:eastAsia="GHEA Grapalat" w:hAnsi="GHEA Grapalat" w:cs="GHEA Grapalat"/>
                <w:i/>
                <w:color w:val="000000" w:themeColor="text1"/>
              </w:rPr>
            </w:pPr>
          </w:p>
        </w:tc>
        <w:tc>
          <w:tcPr>
            <w:tcW w:w="2734" w:type="dxa"/>
            <w:shd w:val="clear" w:color="auto" w:fill="BFBFBF" w:themeFill="background1" w:themeFillShade="BF"/>
          </w:tcPr>
          <w:p w:rsidR="00F11EF4" w:rsidRPr="009B1A83" w:rsidRDefault="00F11EF4" w:rsidP="00F11EF4">
            <w:pPr>
              <w:spacing w:line="360" w:lineRule="auto"/>
              <w:jc w:val="center"/>
              <w:rPr>
                <w:rFonts w:ascii="GHEA Grapalat" w:eastAsia="GHEA Grapalat" w:hAnsi="GHEA Grapalat" w:cs="GHEA Grapalat"/>
                <w:b/>
                <w:color w:val="000000" w:themeColor="text1"/>
                <w:lang w:val="en-US"/>
              </w:rPr>
            </w:pPr>
            <w:r w:rsidRPr="00D42C21">
              <w:rPr>
                <w:rFonts w:ascii="GHEA Grapalat" w:eastAsia="GHEA Grapalat" w:hAnsi="GHEA Grapalat" w:cs="GHEA Grapalat"/>
                <w:b/>
                <w:color w:val="000000" w:themeColor="text1"/>
                <w:lang w:val="en-US"/>
              </w:rPr>
              <w:t>01/8-3/2871-2023</w:t>
            </w:r>
          </w:p>
        </w:tc>
      </w:tr>
      <w:tr w:rsidR="00DD40EB" w:rsidRPr="009B1A83" w:rsidTr="00001562">
        <w:tc>
          <w:tcPr>
            <w:tcW w:w="7398" w:type="dxa"/>
          </w:tcPr>
          <w:p w:rsidR="00001562" w:rsidRPr="00B35FD3" w:rsidRDefault="00001562" w:rsidP="00001562">
            <w:pPr>
              <w:spacing w:line="360" w:lineRule="auto"/>
              <w:contextualSpacing/>
              <w:jc w:val="both"/>
              <w:rPr>
                <w:rFonts w:ascii="GHEA Grapalat" w:hAnsi="GHEA Grapalat"/>
              </w:rPr>
            </w:pPr>
            <w:r>
              <w:rPr>
                <w:rFonts w:ascii="GHEA Grapalat" w:eastAsia="GHEA Grapalat" w:hAnsi="GHEA Grapalat" w:cs="GHEA Grapalat"/>
                <w:color w:val="000000" w:themeColor="text1"/>
              </w:rPr>
              <w:t>1.</w:t>
            </w:r>
            <w:r w:rsidRPr="00E11A86">
              <w:rPr>
                <w:rFonts w:ascii="GHEA Grapalat" w:hAnsi="GHEA Grapalat"/>
              </w:rPr>
              <w:t xml:space="preserve"> Նախագծով նախատեսվում է Հայաստանի Հանրապետությունում ստեղծվող արբիտրաժային նոր կենտրոնի շենքային պայմանների ապահովման նպատակով ՀՀ արդարադատության նախարարության կողմից իրականացվող 1057. «Արդարադատության ոլորտում քաղաքականության  մշակում, ծրագրերի համակարգում, խորհրդատվության և մոնիտորինգի իրականացում» ծրագրի 11010. «Աջակցություն օրենսդրության զարգացման և իրավական հետազոտությունների կենտրոնի գործունեությանը» միջոցառմանը լրացուցիչ հատկացնել </w:t>
            </w:r>
            <w:r w:rsidRPr="00B35FD3">
              <w:rPr>
                <w:rFonts w:ascii="GHEA Grapalat" w:hAnsi="GHEA Grapalat"/>
              </w:rPr>
              <w:t>35</w:t>
            </w:r>
            <w:r w:rsidRPr="00E11A86">
              <w:rPr>
                <w:rFonts w:ascii="GHEA Grapalat" w:hAnsi="GHEA Grapalat"/>
              </w:rPr>
              <w:t>.8 մլն դրամ</w:t>
            </w:r>
            <w:r w:rsidRPr="00B35FD3">
              <w:rPr>
                <w:rFonts w:ascii="GHEA Grapalat" w:hAnsi="GHEA Grapalat"/>
              </w:rPr>
              <w:t xml:space="preserve">՝ </w:t>
            </w:r>
            <w:r w:rsidRPr="00E11A86">
              <w:rPr>
                <w:rFonts w:ascii="GHEA Grapalat" w:hAnsi="GHEA Grapalat"/>
              </w:rPr>
              <w:t xml:space="preserve">Եվրոպական միությունից ստացված «Աջակցություն Հայաստանում դատական ոլորտի բարեփոխումների իրականացմանը» դրամաշնորհային ծրագրի 2023 թվականի հունվարի 1-ի դրությամբ չօգտագործված </w:t>
            </w:r>
            <w:r w:rsidRPr="00E11A86">
              <w:rPr>
                <w:rFonts w:ascii="GHEA Grapalat" w:hAnsi="GHEA Grapalat"/>
              </w:rPr>
              <w:lastRenderedPageBreak/>
              <w:t>մնացորդի միջոցների հաշվին:</w:t>
            </w:r>
            <w:r w:rsidRPr="00B35FD3">
              <w:rPr>
                <w:rFonts w:ascii="GHEA Grapalat" w:hAnsi="GHEA Grapalat"/>
              </w:rPr>
              <w:t xml:space="preserve"> Նշված գումարի մեջ ներառվում է՝ տարածքի վարձակալության գումարը 3 ամսվա համար՝ 21.8 մլն դրամ, տարածքի ընթացիկ վերանորոգման ծախսեր՝ 3.5 մլն դրամ, 4.5 մլն դրամ այլ ծախսեր, ինչպես նաև շուրջ 4.4 մլն դրամ ԱԱՀ գումար, քանի որ նախատեսվում է գումարը հատկացնել </w:t>
            </w:r>
            <w:r w:rsidRPr="00064FE9">
              <w:rPr>
                <w:rFonts w:ascii="GHEA Grapalat" w:hAnsi="GHEA Grapalat" w:cs="Sylfaen"/>
                <w:bCs/>
              </w:rPr>
              <w:t>Արդարադատության նախարարության «Օրենսդրության զարգացման կենտրոն» հիմնադրամ</w:t>
            </w:r>
            <w:r w:rsidRPr="00B35FD3">
              <w:rPr>
                <w:rFonts w:ascii="GHEA Grapalat" w:hAnsi="GHEA Grapalat" w:cs="Sylfaen"/>
                <w:bCs/>
              </w:rPr>
              <w:t xml:space="preserve">ին՝ բյուջետային ծախսերի տնտեսագիտական դասակարգման  </w:t>
            </w:r>
            <w:r w:rsidRPr="0044355D">
              <w:rPr>
                <w:rFonts w:ascii="GHEA Grapalat" w:hAnsi="GHEA Grapalat" w:cs="Times Armenian"/>
                <w:lang w:val="pt-BR"/>
              </w:rPr>
              <w:t>«</w:t>
            </w:r>
            <w:r w:rsidRPr="00B35FD3">
              <w:rPr>
                <w:rFonts w:ascii="GHEA Grapalat" w:hAnsi="GHEA Grapalat" w:cs="Sylfaen"/>
                <w:bCs/>
              </w:rPr>
              <w:t>Այլ ընթացիկ դրամաշնորհներ</w:t>
            </w:r>
            <w:r w:rsidRPr="0044355D">
              <w:rPr>
                <w:rFonts w:ascii="GHEA Grapalat" w:hAnsi="GHEA Grapalat"/>
              </w:rPr>
              <w:t>»</w:t>
            </w:r>
            <w:r w:rsidRPr="00B35FD3">
              <w:rPr>
                <w:rFonts w:ascii="GHEA Grapalat" w:hAnsi="GHEA Grapalat" w:cs="Sylfaen"/>
                <w:bCs/>
              </w:rPr>
              <w:t xml:space="preserve"> հոդվածով</w:t>
            </w:r>
            <w:r w:rsidRPr="00B35FD3">
              <w:rPr>
                <w:rFonts w:ascii="GHEA Grapalat" w:hAnsi="GHEA Grapalat"/>
              </w:rPr>
              <w:t>:</w:t>
            </w:r>
          </w:p>
          <w:p w:rsidR="00DD40EB" w:rsidRPr="00001562" w:rsidRDefault="00001562" w:rsidP="00001562">
            <w:pPr>
              <w:spacing w:line="360" w:lineRule="auto"/>
              <w:jc w:val="both"/>
              <w:rPr>
                <w:rFonts w:ascii="GHEA Grapalat" w:eastAsia="GHEA Grapalat" w:hAnsi="GHEA Grapalat" w:cs="GHEA Grapalat"/>
                <w:color w:val="000000" w:themeColor="text1"/>
              </w:rPr>
            </w:pPr>
            <w:r>
              <w:rPr>
                <w:rFonts w:ascii="GHEA Grapalat" w:hAnsi="GHEA Grapalat"/>
              </w:rPr>
              <w:t>Վերը նշված</w:t>
            </w:r>
            <w:r w:rsidRPr="00B35FD3">
              <w:rPr>
                <w:rFonts w:ascii="GHEA Grapalat" w:hAnsi="GHEA Grapalat"/>
              </w:rPr>
              <w:t xml:space="preserve"> վերաբաշխման վերաբերյալ առաջարկում ենք բացահայտել նշված գործողություն կապը</w:t>
            </w:r>
            <w:r>
              <w:rPr>
                <w:rFonts w:ascii="GHEA Grapalat" w:hAnsi="GHEA Grapalat"/>
              </w:rPr>
              <w:t xml:space="preserve"> </w:t>
            </w:r>
            <w:r w:rsidRPr="00F67C3A">
              <w:rPr>
                <w:rFonts w:ascii="GHEA Grapalat" w:hAnsi="GHEA Grapalat" w:cs="Tahoma"/>
                <w:lang w:eastAsia="ru-RU"/>
              </w:rPr>
              <w:t xml:space="preserve">Եվրոպական միությունից ստացված «Աջակցություն Հայաստանում դատական ոլորտի բարեփոխումների իրականացմանը» դրամաշնորհային ծրագրի </w:t>
            </w:r>
            <w:r w:rsidRPr="00B35FD3">
              <w:rPr>
                <w:rFonts w:ascii="GHEA Grapalat" w:hAnsi="GHEA Grapalat" w:cs="Tahoma"/>
                <w:lang w:eastAsia="ru-RU"/>
              </w:rPr>
              <w:t>նպատակների հետ</w:t>
            </w:r>
            <w:r>
              <w:rPr>
                <w:rFonts w:ascii="GHEA Grapalat" w:hAnsi="GHEA Grapalat" w:cs="Tahoma"/>
                <w:lang w:eastAsia="ru-RU"/>
              </w:rPr>
              <w:t xml:space="preserve"> և</w:t>
            </w:r>
            <w:r w:rsidRPr="00B35FD3">
              <w:rPr>
                <w:rFonts w:ascii="GHEA Grapalat" w:hAnsi="GHEA Grapalat" w:cs="Tahoma"/>
                <w:lang w:eastAsia="ru-RU"/>
              </w:rPr>
              <w:t xml:space="preserve"> </w:t>
            </w:r>
            <w:r>
              <w:rPr>
                <w:rFonts w:ascii="GHEA Grapalat" w:hAnsi="GHEA Grapalat" w:cs="Tahoma"/>
                <w:lang w:eastAsia="ru-RU"/>
              </w:rPr>
              <w:t>Եվրամիության համաձայնությունը դրա վերաբերյալ</w:t>
            </w:r>
            <w:r w:rsidRPr="00B35FD3">
              <w:rPr>
                <w:rFonts w:ascii="GHEA Grapalat" w:hAnsi="GHEA Grapalat" w:cs="Tahoma"/>
                <w:lang w:eastAsia="ru-RU"/>
              </w:rPr>
              <w:t>:</w:t>
            </w:r>
          </w:p>
        </w:tc>
        <w:tc>
          <w:tcPr>
            <w:tcW w:w="7594" w:type="dxa"/>
            <w:gridSpan w:val="2"/>
          </w:tcPr>
          <w:p w:rsidR="00F11EF4" w:rsidRPr="00F11EF4" w:rsidRDefault="00F11EF4" w:rsidP="00F11EF4">
            <w:pPr>
              <w:spacing w:line="360" w:lineRule="auto"/>
              <w:jc w:val="center"/>
              <w:rPr>
                <w:rFonts w:ascii="GHEA Grapalat" w:eastAsia="GHEA Grapalat" w:hAnsi="GHEA Grapalat" w:cs="GHEA Grapalat"/>
                <w:b/>
                <w:color w:val="000000" w:themeColor="text1"/>
              </w:rPr>
            </w:pPr>
            <w:r w:rsidRPr="00F11EF4">
              <w:rPr>
                <w:rFonts w:ascii="GHEA Grapalat" w:eastAsia="GHEA Grapalat" w:hAnsi="GHEA Grapalat" w:cs="GHEA Grapalat"/>
                <w:b/>
                <w:color w:val="000000" w:themeColor="text1"/>
              </w:rPr>
              <w:lastRenderedPageBreak/>
              <w:t>Ընդունվել է։</w:t>
            </w:r>
          </w:p>
          <w:p w:rsidR="00001562" w:rsidRDefault="00001562" w:rsidP="00001562">
            <w:pPr>
              <w:spacing w:line="360" w:lineRule="auto"/>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t xml:space="preserve">Հայաստանում նոր արբիտրաժային կենտրոնի ստեղծումը բխում է Եվրոպական Միության ինչպես գործող, այնպես էլ նախատեսվող «Աջակցություն </w:t>
            </w:r>
            <w:r w:rsidR="00C81FDA">
              <w:rPr>
                <w:rFonts w:ascii="GHEA Grapalat" w:eastAsia="GHEA Grapalat" w:hAnsi="GHEA Grapalat" w:cs="GHEA Grapalat"/>
                <w:color w:val="000000" w:themeColor="text1"/>
              </w:rPr>
              <w:t>Հայաստանում արդարադատության ոլորտի բարեփոխումներին</w:t>
            </w:r>
            <w:r>
              <w:rPr>
                <w:rFonts w:ascii="GHEA Grapalat" w:eastAsia="GHEA Grapalat" w:hAnsi="GHEA Grapalat" w:cs="GHEA Grapalat"/>
                <w:color w:val="000000" w:themeColor="text1"/>
              </w:rPr>
              <w:t>»</w:t>
            </w:r>
            <w:r w:rsidR="00C81FDA">
              <w:rPr>
                <w:rFonts w:ascii="GHEA Grapalat" w:eastAsia="GHEA Grapalat" w:hAnsi="GHEA Grapalat" w:cs="GHEA Grapalat"/>
                <w:color w:val="000000" w:themeColor="text1"/>
              </w:rPr>
              <w:t xml:space="preserve"> բյուջետային աջակցության ծրագրերից:</w:t>
            </w:r>
          </w:p>
          <w:p w:rsidR="00C81FDA" w:rsidRDefault="00C81FDA" w:rsidP="00001562">
            <w:pPr>
              <w:spacing w:line="360" w:lineRule="auto"/>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t xml:space="preserve">Այսպես, գործեղ </w:t>
            </w:r>
            <w:r w:rsidR="009A5419">
              <w:rPr>
                <w:rFonts w:ascii="GHEA Grapalat" w:eastAsia="GHEA Grapalat" w:hAnsi="GHEA Grapalat" w:cs="GHEA Grapalat"/>
                <w:color w:val="000000" w:themeColor="text1"/>
              </w:rPr>
              <w:t xml:space="preserve">Շրջափուլ 1-ի </w:t>
            </w:r>
            <w:r>
              <w:rPr>
                <w:rFonts w:ascii="GHEA Grapalat" w:eastAsia="GHEA Grapalat" w:hAnsi="GHEA Grapalat" w:cs="GHEA Grapalat"/>
                <w:color w:val="000000" w:themeColor="text1"/>
              </w:rPr>
              <w:t>համաձայնագրի</w:t>
            </w:r>
            <w:r w:rsidR="009A5419">
              <w:rPr>
                <w:rFonts w:ascii="GHEA Grapalat" w:eastAsia="GHEA Grapalat" w:hAnsi="GHEA Grapalat" w:cs="GHEA Grapalat"/>
                <w:color w:val="000000" w:themeColor="text1"/>
              </w:rPr>
              <w:t xml:space="preserve"> ամփոփ նկարագրում սահմանված է վեճերի այլընտրանքային լուծման մեխանիզմների բարելավման անհրաժեշտությունը, որպիսի ամենատարածված տեսակներից մեկը հենց արբիտրաժն է: Այնուհետև, համաձայնագրի 1-ին բաժնի 1.1 ենթաբաժնի «Հատուկ նպատակներ»-ի շարքում հատուկ նախատեսվել է վեճերի այլընտրանքային լուծման մեխանիզմների բարելավումը՝ որպես դատարանների ծանրաբեռնվածության թոթափման գործիք, իսկ </w:t>
            </w:r>
            <w:r w:rsidR="009A5419">
              <w:rPr>
                <w:rFonts w:ascii="GHEA Grapalat" w:eastAsia="GHEA Grapalat" w:hAnsi="GHEA Grapalat" w:cs="GHEA Grapalat"/>
                <w:color w:val="000000" w:themeColor="text1"/>
              </w:rPr>
              <w:lastRenderedPageBreak/>
              <w:t xml:space="preserve">«Միջամտության տրամաբանության աղյուսակ» բաժնում «Ստացված արդյունքները» տողի 1.2 կետով որպես արդյունքային շղթա ուղղակիորեն նախատեսվել է </w:t>
            </w:r>
            <w:r w:rsidR="00E81BA9" w:rsidRPr="00E81BA9">
              <w:rPr>
                <w:rFonts w:ascii="GHEA Grapalat" w:eastAsia="GHEA Grapalat" w:hAnsi="GHEA Grapalat" w:cs="GHEA Grapalat"/>
                <w:color w:val="000000" w:themeColor="text1"/>
              </w:rPr>
              <w:t>Վեճերի այլընտրանքային լուծման մեխանիզմների բարելավում, որի արդյունքում նվազում է կուտակված գործերի թիվը</w:t>
            </w:r>
            <w:r w:rsidR="00E81BA9">
              <w:rPr>
                <w:rFonts w:ascii="GHEA Grapalat" w:eastAsia="GHEA Grapalat" w:hAnsi="GHEA Grapalat" w:cs="GHEA Grapalat"/>
                <w:color w:val="000000" w:themeColor="text1"/>
              </w:rPr>
              <w:t>:</w:t>
            </w:r>
          </w:p>
          <w:p w:rsidR="00C81FDA" w:rsidRPr="00F0530B" w:rsidRDefault="00C81FDA" w:rsidP="00906263">
            <w:pPr>
              <w:spacing w:line="360" w:lineRule="auto"/>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t xml:space="preserve">Իր հերթին, նախատեսվող </w:t>
            </w:r>
            <w:r w:rsidR="005C14C3">
              <w:rPr>
                <w:rFonts w:ascii="GHEA Grapalat" w:eastAsia="GHEA Grapalat" w:hAnsi="GHEA Grapalat" w:cs="GHEA Grapalat"/>
                <w:color w:val="000000" w:themeColor="text1"/>
              </w:rPr>
              <w:t xml:space="preserve">Շրջափուլ 2-ի ֆինանսական </w:t>
            </w:r>
            <w:r>
              <w:rPr>
                <w:rFonts w:ascii="GHEA Grapalat" w:eastAsia="GHEA Grapalat" w:hAnsi="GHEA Grapalat" w:cs="GHEA Grapalat"/>
                <w:color w:val="000000" w:themeColor="text1"/>
              </w:rPr>
              <w:t>համաձայնագրում</w:t>
            </w:r>
            <w:r w:rsidR="0020127D">
              <w:rPr>
                <w:rFonts w:ascii="GHEA Grapalat" w:eastAsia="GHEA Grapalat" w:hAnsi="GHEA Grapalat" w:cs="GHEA Grapalat"/>
                <w:color w:val="000000" w:themeColor="text1"/>
              </w:rPr>
              <w:t xml:space="preserve">՝ 2-րդ բաժնի 2.1 ենթաբաժնի ներքո սահմանված «Ուղղակի արդյունքներ»-ի 6-րդ կետում սահմանված է նոր </w:t>
            </w:r>
            <w:r w:rsidR="00216773">
              <w:rPr>
                <w:rFonts w:ascii="GHEA Grapalat" w:eastAsia="GHEA Grapalat" w:hAnsi="GHEA Grapalat" w:cs="GHEA Grapalat"/>
                <w:color w:val="000000" w:themeColor="text1"/>
              </w:rPr>
              <w:t xml:space="preserve">արբիտրաժայի </w:t>
            </w:r>
            <w:r w:rsidR="0020127D">
              <w:rPr>
                <w:rFonts w:ascii="GHEA Grapalat" w:eastAsia="GHEA Grapalat" w:hAnsi="GHEA Grapalat" w:cs="GHEA Grapalat"/>
                <w:color w:val="000000" w:themeColor="text1"/>
              </w:rPr>
              <w:t>կենտրոնի հիմնադրումը</w:t>
            </w:r>
            <w:r w:rsidR="00906263">
              <w:rPr>
                <w:rFonts w:ascii="GHEA Grapalat" w:eastAsia="GHEA Grapalat" w:hAnsi="GHEA Grapalat" w:cs="GHEA Grapalat"/>
                <w:color w:val="000000" w:themeColor="text1"/>
              </w:rPr>
              <w:t>: Նշվածի հիման վրա նաև 2.5 ենթաբաժնում սահմանվել են արդյունքային ցուցանիշներ, մասնավորապես՝ «Բխեցվող արդյունքներ» տողի 1.5-րդ կետով, «Ուղղակի արդյունքներ» տողի 6-րդ կետով</w:t>
            </w:r>
            <w:r w:rsidR="00661CB9">
              <w:rPr>
                <w:rFonts w:ascii="GHEA Grapalat" w:eastAsia="GHEA Grapalat" w:hAnsi="GHEA Grapalat" w:cs="GHEA Grapalat"/>
                <w:color w:val="000000" w:themeColor="text1"/>
              </w:rPr>
              <w:t>:</w:t>
            </w:r>
            <w:r w:rsidR="00F0530B" w:rsidRPr="00F0530B">
              <w:rPr>
                <w:rFonts w:ascii="GHEA Grapalat" w:eastAsia="GHEA Grapalat" w:hAnsi="GHEA Grapalat" w:cs="GHEA Grapalat"/>
                <w:color w:val="000000" w:themeColor="text1"/>
              </w:rPr>
              <w:t xml:space="preserve"> </w:t>
            </w:r>
            <w:r w:rsidR="00F0530B">
              <w:rPr>
                <w:rFonts w:ascii="GHEA Grapalat" w:eastAsia="GHEA Grapalat" w:hAnsi="GHEA Grapalat" w:cs="GHEA Grapalat"/>
                <w:color w:val="000000" w:themeColor="text1"/>
              </w:rPr>
              <w:t>Այլ կերպ, նախատեսվող աջակցության նախագծով հատուկ շեշտվել է հենց արբիտրաժային կենտրոնի ստեղծումը որպես բյուջետային աջակցության 5 ուղղություն-նախապայմաններից մեկը, որպիսի գործողության կատարումից է կախված բյոջետային աջակցությամբ հատկացվող գումարի 1/5-րդի կամ 20</w:t>
            </w:r>
            <w:r w:rsidR="00F0530B" w:rsidRPr="00F0530B">
              <w:rPr>
                <w:rFonts w:ascii="GHEA Grapalat" w:eastAsia="GHEA Grapalat" w:hAnsi="GHEA Grapalat" w:cs="GHEA Grapalat"/>
                <w:color w:val="000000" w:themeColor="text1"/>
              </w:rPr>
              <w:t>%</w:t>
            </w:r>
            <w:r w:rsidR="00F0530B">
              <w:rPr>
                <w:rFonts w:ascii="GHEA Grapalat" w:eastAsia="GHEA Grapalat" w:hAnsi="GHEA Grapalat" w:cs="GHEA Grapalat"/>
                <w:color w:val="000000" w:themeColor="text1"/>
              </w:rPr>
              <w:t>-ի տրամադրումը:</w:t>
            </w:r>
          </w:p>
          <w:p w:rsidR="007F3AF9" w:rsidRDefault="00E81BA9" w:rsidP="006672FB">
            <w:pPr>
              <w:spacing w:line="360" w:lineRule="auto"/>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t xml:space="preserve">Նշված իրավական հիմքերից բացի, արբիտրաժային կենտրոնի հիմնադրումը գրեթե միշտ քննարկվում է Եվրոպական Միության </w:t>
            </w:r>
            <w:r>
              <w:rPr>
                <w:rFonts w:ascii="GHEA Grapalat" w:eastAsia="GHEA Grapalat" w:hAnsi="GHEA Grapalat" w:cs="GHEA Grapalat"/>
                <w:color w:val="000000" w:themeColor="text1"/>
              </w:rPr>
              <w:lastRenderedPageBreak/>
              <w:t xml:space="preserve">գործընկերների հետ աշխատանքային քննարկումների շրջանակում, որոնցից ամենաակնառուներից մեկը կենտրոնի հիմնադրման աշխատանքների մեկնարկին նվիրված միջոցառումն էր, որին մասնակցում էր նաև Եվրոպական Միության պատվիրակության ղեկավար </w:t>
            </w:r>
            <w:r w:rsidRPr="00E81BA9">
              <w:rPr>
                <w:rFonts w:ascii="GHEA Grapalat" w:eastAsia="GHEA Grapalat" w:hAnsi="GHEA Grapalat" w:cs="GHEA Grapalat"/>
                <w:color w:val="000000" w:themeColor="text1"/>
              </w:rPr>
              <w:t>Ն.Գ. տկն. Անդրեա Վիկտորին</w:t>
            </w:r>
            <w:r>
              <w:rPr>
                <w:rFonts w:ascii="GHEA Grapalat" w:eastAsia="GHEA Grapalat" w:hAnsi="GHEA Grapalat" w:cs="GHEA Grapalat"/>
                <w:color w:val="000000" w:themeColor="text1"/>
              </w:rPr>
              <w:t xml:space="preserve">ը, և ով այդ քննարկման ժամանակ </w:t>
            </w:r>
            <w:r w:rsidR="006672FB">
              <w:rPr>
                <w:rFonts w:ascii="GHEA Grapalat" w:eastAsia="GHEA Grapalat" w:hAnsi="GHEA Grapalat" w:cs="GHEA Grapalat"/>
                <w:color w:val="000000" w:themeColor="text1"/>
              </w:rPr>
              <w:t>հատկապես ընդգծել է ԵՄ աջակցության կարևորությունը և պատրաստակամությունը (</w:t>
            </w:r>
            <w:hyperlink r:id="rId9" w:history="1">
              <w:r w:rsidR="006672FB" w:rsidRPr="009C56AF">
                <w:rPr>
                  <w:rStyle w:val="Hyperlink"/>
                  <w:rFonts w:ascii="GHEA Grapalat" w:eastAsia="GHEA Grapalat" w:hAnsi="GHEA Grapalat" w:cs="GHEA Grapalat"/>
                </w:rPr>
                <w:t>https://moj.am/article/3308</w:t>
              </w:r>
            </w:hyperlink>
            <w:r w:rsidR="006672FB">
              <w:rPr>
                <w:rFonts w:ascii="GHEA Grapalat" w:eastAsia="GHEA Grapalat" w:hAnsi="GHEA Grapalat" w:cs="GHEA Grapalat"/>
                <w:color w:val="000000" w:themeColor="text1"/>
              </w:rPr>
              <w:t>):</w:t>
            </w:r>
          </w:p>
          <w:p w:rsidR="007F3AF9" w:rsidRPr="005C14C3" w:rsidRDefault="007F3AF9" w:rsidP="00C56197">
            <w:pPr>
              <w:spacing w:line="360" w:lineRule="auto"/>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t>Այսպիսով</w:t>
            </w:r>
            <w:r w:rsidR="00130B64">
              <w:rPr>
                <w:rFonts w:ascii="GHEA Grapalat" w:eastAsia="GHEA Grapalat" w:hAnsi="GHEA Grapalat" w:cs="GHEA Grapalat"/>
                <w:color w:val="000000" w:themeColor="text1"/>
              </w:rPr>
              <w:t>,</w:t>
            </w:r>
            <w:r>
              <w:rPr>
                <w:rFonts w:ascii="GHEA Grapalat" w:eastAsia="GHEA Grapalat" w:hAnsi="GHEA Grapalat" w:cs="GHEA Grapalat"/>
                <w:color w:val="000000" w:themeColor="text1"/>
              </w:rPr>
              <w:t xml:space="preserve"> կարող ենք նկատել, որ արբիտրաժային կենտրոնի հիմնադրումը արդեն տևական ժամանակ է, ինչ գտնվում է ոչ միայն Հայաստանի Հանրապետության կառավարության, այլև Եվրոպական Միության ուշադրության կենտրոնում և այն կարևորագույն նախապայմաններից մեկն է, </w:t>
            </w:r>
            <w:r w:rsidR="00130B64">
              <w:rPr>
                <w:rFonts w:ascii="GHEA Grapalat" w:eastAsia="GHEA Grapalat" w:hAnsi="GHEA Grapalat" w:cs="GHEA Grapalat"/>
                <w:color w:val="000000" w:themeColor="text1"/>
              </w:rPr>
              <w:t>որի համար Եվրոպական Միությունը հետաքրքրված է շարունակելու «Աջակցություն Հայաստանում արդարադատության ոլորտի բարեփոխումներին» բյուջետային աջակցության ծրագիրը: Ավելին, նոր շրջափուլի շրջանակներում կենտրոնի հիմնադրման կապակցո</w:t>
            </w:r>
            <w:r w:rsidR="00C56197">
              <w:rPr>
                <w:rFonts w:ascii="GHEA Grapalat" w:eastAsia="GHEA Grapalat" w:hAnsi="GHEA Grapalat" w:cs="GHEA Grapalat"/>
                <w:color w:val="000000" w:themeColor="text1"/>
              </w:rPr>
              <w:t>ւ</w:t>
            </w:r>
            <w:r w:rsidR="00130B64">
              <w:rPr>
                <w:rFonts w:ascii="GHEA Grapalat" w:eastAsia="GHEA Grapalat" w:hAnsi="GHEA Grapalat" w:cs="GHEA Grapalat"/>
                <w:color w:val="000000" w:themeColor="text1"/>
              </w:rPr>
              <w:t xml:space="preserve">թյամբ գործողությունների չկատարումը ուղղակիորեն կանդրադառնա համաձայնագրով Հայաստանի ստանձնած </w:t>
            </w:r>
            <w:r w:rsidR="00130B64">
              <w:rPr>
                <w:rFonts w:ascii="GHEA Grapalat" w:eastAsia="GHEA Grapalat" w:hAnsi="GHEA Grapalat" w:cs="GHEA Grapalat"/>
                <w:color w:val="000000" w:themeColor="text1"/>
              </w:rPr>
              <w:lastRenderedPageBreak/>
              <w:t>պարտավորությունների իրականացման վրա՝ խոչընդոտելով դրական գնահատվելու և հաջորդիվ շրջափուլերի համար ևս բյուջետային աջակցություն ստանալուն:</w:t>
            </w:r>
          </w:p>
        </w:tc>
      </w:tr>
      <w:tr w:rsidR="00AC78AE" w:rsidRPr="009B1A83" w:rsidTr="00001562">
        <w:tc>
          <w:tcPr>
            <w:tcW w:w="7398" w:type="dxa"/>
          </w:tcPr>
          <w:p w:rsidR="00AC78AE" w:rsidRPr="00BF67D0" w:rsidRDefault="00AC78AE" w:rsidP="00001562">
            <w:pPr>
              <w:spacing w:line="360" w:lineRule="auto"/>
              <w:contextualSpacing/>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lastRenderedPageBreak/>
              <w:t xml:space="preserve">2. </w:t>
            </w:r>
            <w:r w:rsidR="00BF67D0" w:rsidRPr="00B35FD3">
              <w:rPr>
                <w:rFonts w:ascii="GHEA Grapalat" w:hAnsi="GHEA Grapalat" w:cs="Tahoma"/>
                <w:lang w:eastAsia="ru-RU"/>
              </w:rPr>
              <w:t xml:space="preserve">Նախագծին կից հիմնավորման մեջ նշված է, </w:t>
            </w:r>
            <w:r w:rsidR="00BF67D0" w:rsidRPr="00DF5684">
              <w:rPr>
                <w:rFonts w:ascii="GHEA Grapalat" w:hAnsi="GHEA Grapalat" w:cs="Tahoma"/>
                <w:lang w:eastAsia="ru-RU"/>
              </w:rPr>
              <w:t>որ</w:t>
            </w:r>
            <w:r w:rsidR="00BF67D0" w:rsidRPr="00B35FD3">
              <w:rPr>
                <w:rFonts w:ascii="GHEA Grapalat" w:hAnsi="GHEA Grapalat" w:cs="Tahoma"/>
                <w:lang w:eastAsia="ru-RU"/>
              </w:rPr>
              <w:t xml:space="preserve"> </w:t>
            </w:r>
            <w:r w:rsidR="00BF67D0" w:rsidRPr="00DF5684">
              <w:rPr>
                <w:rFonts w:ascii="GHEA Grapalat" w:hAnsi="GHEA Grapalat" w:cs="Tahoma"/>
                <w:lang w:eastAsia="ru-RU"/>
              </w:rPr>
              <w:t>կենտրոնի գրավչության և գործունեության արդյունավետության ապահովման համար նպատակա</w:t>
            </w:r>
            <w:r w:rsidR="00BF67D0">
              <w:rPr>
                <w:rFonts w:ascii="GHEA Grapalat" w:hAnsi="GHEA Grapalat" w:cs="Tahoma"/>
                <w:lang w:eastAsia="ru-RU"/>
              </w:rPr>
              <w:softHyphen/>
            </w:r>
            <w:r w:rsidR="00BF67D0" w:rsidRPr="00DF5684">
              <w:rPr>
                <w:rFonts w:ascii="GHEA Grapalat" w:hAnsi="GHEA Grapalat" w:cs="Tahoma"/>
                <w:lang w:eastAsia="ru-RU"/>
              </w:rPr>
              <w:t xml:space="preserve">հարմար է, որ </w:t>
            </w:r>
            <w:r w:rsidR="00BF67D0" w:rsidRPr="00B35FD3">
              <w:rPr>
                <w:rFonts w:ascii="GHEA Grapalat" w:hAnsi="GHEA Grapalat" w:cs="Tahoma"/>
                <w:lang w:eastAsia="ru-RU"/>
              </w:rPr>
              <w:t>այն</w:t>
            </w:r>
            <w:r w:rsidR="00BF67D0" w:rsidRPr="00DF5684">
              <w:rPr>
                <w:rFonts w:ascii="GHEA Grapalat" w:hAnsi="GHEA Grapalat" w:cs="Tahoma"/>
                <w:lang w:eastAsia="ru-RU"/>
              </w:rPr>
              <w:t xml:space="preserve"> տեղակայված լինի Երևան քաղաքի Կենտրոն վարչական շրջանում, մասնավորապես` Փոքր Կենտրոնում</w:t>
            </w:r>
            <w:r w:rsidR="00BF67D0" w:rsidRPr="00B35FD3">
              <w:rPr>
                <w:rFonts w:ascii="GHEA Grapalat" w:hAnsi="GHEA Grapalat" w:cs="Tahoma"/>
                <w:lang w:eastAsia="ru-RU"/>
              </w:rPr>
              <w:t>: Այս կապակցությամբ առաջարկում ենք լրացուցիչ հիմնավորել, թե կառույցի գործունեության արդյունավետությունը որքանով  կարող է պայմանավորված լինել Երևան քաղաքի որևէ հատվածում դրա գտնվելու վայրով: Օրինակ, Երևանի տարբեր վարչական տարածքներում տեղակայված են առաջին ատյանի ընդհանուր իրավասության  դատարաններ, որոնց գործունեության արդյունավետությունը չի պայմանավորվում դրանց գտնվելու վայրով:</w:t>
            </w:r>
          </w:p>
        </w:tc>
        <w:tc>
          <w:tcPr>
            <w:tcW w:w="7594" w:type="dxa"/>
            <w:gridSpan w:val="2"/>
          </w:tcPr>
          <w:p w:rsidR="00F11EF4" w:rsidRPr="00F11EF4" w:rsidRDefault="00F11EF4" w:rsidP="00F11EF4">
            <w:pPr>
              <w:spacing w:line="360" w:lineRule="auto"/>
              <w:jc w:val="center"/>
              <w:rPr>
                <w:rFonts w:ascii="GHEA Grapalat" w:eastAsia="GHEA Grapalat" w:hAnsi="GHEA Grapalat" w:cs="GHEA Grapalat"/>
                <w:b/>
                <w:color w:val="000000" w:themeColor="text1"/>
              </w:rPr>
            </w:pPr>
            <w:r w:rsidRPr="00F11EF4">
              <w:rPr>
                <w:rFonts w:ascii="GHEA Grapalat" w:eastAsia="GHEA Grapalat" w:hAnsi="GHEA Grapalat" w:cs="GHEA Grapalat"/>
                <w:b/>
                <w:color w:val="000000" w:themeColor="text1"/>
              </w:rPr>
              <w:t>Չի ընդունվել է։</w:t>
            </w:r>
          </w:p>
          <w:p w:rsidR="00BF67D0" w:rsidRPr="00A2249C" w:rsidRDefault="00BF67D0" w:rsidP="00BF67D0">
            <w:pPr>
              <w:spacing w:line="360" w:lineRule="auto"/>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t>Դիտարկման կապակցությամբ հարկ է նկատի ունենալ, որ</w:t>
            </w:r>
            <w:r w:rsidR="00951646">
              <w:rPr>
                <w:rFonts w:ascii="GHEA Grapalat" w:eastAsia="GHEA Grapalat" w:hAnsi="GHEA Grapalat" w:cs="GHEA Grapalat"/>
                <w:color w:val="000000" w:themeColor="text1"/>
              </w:rPr>
              <w:t>, չնայած, թե՛ դատարանը, թե՛ արբիտրաժը համարվում են վեճերի լուծման մեխանիզմներ, միաժամանակ, դրանք ունեն մի շարք տարբերություններ և առանձնահատկություններ, որոնք ունեն թե՛ իրավական, թե՛ գործնական բնույթ:</w:t>
            </w:r>
          </w:p>
          <w:p w:rsidR="00F93B05" w:rsidRDefault="00F93B05" w:rsidP="00F93B05">
            <w:pPr>
              <w:spacing w:line="360" w:lineRule="auto"/>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t xml:space="preserve">Մասնավորապես, դատարանը՝ որպես պետական ինստիտուտ, օրենքի համաձայն, պետք է բավարարի որոշ պահանջ-սկզբունքների, ինչպես օրինակ, </w:t>
            </w:r>
            <w:r w:rsidR="00F04739">
              <w:rPr>
                <w:rFonts w:ascii="GHEA Grapalat" w:eastAsia="GHEA Grapalat" w:hAnsi="GHEA Grapalat" w:cs="GHEA Grapalat"/>
                <w:color w:val="000000" w:themeColor="text1"/>
              </w:rPr>
              <w:t xml:space="preserve">արդարադատության </w:t>
            </w:r>
            <w:r>
              <w:rPr>
                <w:rFonts w:ascii="GHEA Grapalat" w:eastAsia="GHEA Grapalat" w:hAnsi="GHEA Grapalat" w:cs="GHEA Grapalat"/>
                <w:color w:val="000000" w:themeColor="text1"/>
              </w:rPr>
              <w:t>մատչելիության սկզբունքն է, ինչը ենթադրում է դատարանների մոտ և մատչելի լինելը բնակչությանը</w:t>
            </w:r>
            <w:r w:rsidR="00F04739">
              <w:rPr>
                <w:rFonts w:ascii="GHEA Grapalat" w:eastAsia="GHEA Grapalat" w:hAnsi="GHEA Grapalat" w:cs="GHEA Grapalat"/>
                <w:color w:val="000000" w:themeColor="text1"/>
              </w:rPr>
              <w:t xml:space="preserve">: Միևնույն ժամանակ, պետական դատարանները գործում են հիմնականում տարածքային ընդդատության կանոնների հիման վրա, ինչը ենթադրում է, որ </w:t>
            </w:r>
            <w:r w:rsidR="00F04739" w:rsidRPr="00F04739">
              <w:rPr>
                <w:rFonts w:ascii="GHEA Grapalat" w:eastAsia="GHEA Grapalat" w:hAnsi="GHEA Grapalat" w:cs="GHEA Grapalat"/>
                <w:color w:val="000000" w:themeColor="text1"/>
              </w:rPr>
              <w:t xml:space="preserve">Հայցը ներկայացվում է պատասխանողի հաշվառման (գտնվելու) վայրի, իսկ քաղաքացու՝ հաշվառման վայր չունենալու դեպքում` բնակության վերջին հայտնի վայրի առաջին </w:t>
            </w:r>
            <w:r w:rsidR="00F04739" w:rsidRPr="00F04739">
              <w:rPr>
                <w:rFonts w:ascii="GHEA Grapalat" w:eastAsia="GHEA Grapalat" w:hAnsi="GHEA Grapalat" w:cs="GHEA Grapalat"/>
                <w:color w:val="000000" w:themeColor="text1"/>
              </w:rPr>
              <w:lastRenderedPageBreak/>
              <w:t>ատյանի դատարան</w:t>
            </w:r>
            <w:r w:rsidR="00F04739">
              <w:rPr>
                <w:rFonts w:ascii="GHEA Grapalat" w:eastAsia="GHEA Grapalat" w:hAnsi="GHEA Grapalat" w:cs="GHEA Grapalat"/>
                <w:color w:val="000000" w:themeColor="text1"/>
              </w:rPr>
              <w:t>: Սակայն ի տարբերություն վերոնշյալի՝ արբիտրաժը պետական ինստիտուտ չէ և, հետևաբար, նշված կանոնները դրա նկատմամբ կիրառելի չեն:</w:t>
            </w:r>
          </w:p>
          <w:p w:rsidR="009F6D4F" w:rsidRDefault="009F6D4F" w:rsidP="00DB2729">
            <w:pPr>
              <w:spacing w:line="360" w:lineRule="auto"/>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t xml:space="preserve">Ինչ վերաբերում է հարցի գործնական կողմին, պետք է նկատել, որ արբիտրաժը ենթադրում է մասնավոր, որոշ առումներով նաև ձեռնարկատիրական գործունեության իրականացում, քանի որ պետք է կարողանա բավարար եկամուտներ ձևավորել՝ ապահովելու համար իր պատշաճ գործունեությունը, ինչով պայմանավորված հատկապես կարևոր է նման կենտրոնների ձեռնարկատիրական միջավայրին հնարավորինս մոտ գտնվելը: Միևնույն ժամանակ, նման կենտրոններ հաճախ դիմում են </w:t>
            </w:r>
            <w:r w:rsidR="003676DD">
              <w:rPr>
                <w:rFonts w:ascii="GHEA Grapalat" w:eastAsia="GHEA Grapalat" w:hAnsi="GHEA Grapalat" w:cs="GHEA Grapalat"/>
                <w:color w:val="000000" w:themeColor="text1"/>
              </w:rPr>
              <w:t xml:space="preserve">օտարերկրյա կողմեր կամ ներդրողներ, որոնք իրենց վեճի լուծումը բերելով Հայաստան, բնականաբար, պետք է այցել են Հայաստան գործի քննության վարույթներին մասնակցելու, իսկ նման պայմաններում կենտրոնը պետք է նրանց պահանջները բավարարելու համար գրավիչ լինի, ինչը ենթադրում է հիմնական ենթակառուցվածքների (հյուրանոց, տրանսպորտ, ժամանց և այլն) մոտ լինելու անհրաժեշտությունը: Այս կապակցությամբ զարմանալի չէ, որ աշխարհում հայտնի և հաջողած արբիտրաժային </w:t>
            </w:r>
            <w:r w:rsidR="003676DD">
              <w:rPr>
                <w:rFonts w:ascii="GHEA Grapalat" w:eastAsia="GHEA Grapalat" w:hAnsi="GHEA Grapalat" w:cs="GHEA Grapalat"/>
                <w:color w:val="000000" w:themeColor="text1"/>
              </w:rPr>
              <w:lastRenderedPageBreak/>
              <w:t>կենտրոնները գործում են հենց իրենց համապատասխան երկրների ձեռնարկատիրական միջավայրերի կենտրոններում. օրինակ տե՛ս՝ Լոնդոնի միջազգային արբիտրաժային դատարանը (</w:t>
            </w:r>
            <w:r w:rsidR="003676DD" w:rsidRPr="003676DD">
              <w:rPr>
                <w:rFonts w:ascii="GHEA Grapalat" w:eastAsia="GHEA Grapalat" w:hAnsi="GHEA Grapalat" w:cs="GHEA Grapalat"/>
                <w:color w:val="000000" w:themeColor="text1"/>
              </w:rPr>
              <w:t>1 Paternoster Ln, Paternoster Sq., London EC4M 7DX, UK</w:t>
            </w:r>
            <w:r w:rsidR="003676DD">
              <w:rPr>
                <w:rFonts w:ascii="GHEA Grapalat" w:eastAsia="GHEA Grapalat" w:hAnsi="GHEA Grapalat" w:cs="GHEA Grapalat"/>
                <w:color w:val="000000" w:themeColor="text1"/>
              </w:rPr>
              <w:t xml:space="preserve">), </w:t>
            </w:r>
            <w:r w:rsidR="00DB2729">
              <w:rPr>
                <w:rFonts w:ascii="GHEA Grapalat" w:eastAsia="GHEA Grapalat" w:hAnsi="GHEA Grapalat" w:cs="GHEA Grapalat"/>
                <w:color w:val="000000" w:themeColor="text1"/>
              </w:rPr>
              <w:t xml:space="preserve">Առևտրի միջազգային պալատի միջազգային արբիտրաժային դատարանը </w:t>
            </w:r>
            <w:r w:rsidR="00DB2729" w:rsidRPr="00DB2729">
              <w:rPr>
                <w:rFonts w:ascii="GHEA Grapalat" w:eastAsia="GHEA Grapalat" w:hAnsi="GHEA Grapalat" w:cs="GHEA Grapalat"/>
                <w:color w:val="000000" w:themeColor="text1"/>
              </w:rPr>
              <w:t xml:space="preserve">(112 Av. Kléber, 75116 Paris, France), </w:t>
            </w:r>
            <w:r w:rsidR="00DB2729">
              <w:rPr>
                <w:rFonts w:ascii="GHEA Grapalat" w:eastAsia="GHEA Grapalat" w:hAnsi="GHEA Grapalat" w:cs="GHEA Grapalat"/>
                <w:color w:val="000000" w:themeColor="text1"/>
              </w:rPr>
              <w:t>Ստոկհոլմի առևտրի պալատի արբիտրաժային ինստիտուտը (</w:t>
            </w:r>
            <w:r w:rsidR="00DB2729" w:rsidRPr="00DB2729">
              <w:rPr>
                <w:rFonts w:ascii="GHEA Grapalat" w:eastAsia="GHEA Grapalat" w:hAnsi="GHEA Grapalat" w:cs="GHEA Grapalat"/>
                <w:color w:val="000000" w:themeColor="text1"/>
              </w:rPr>
              <w:t>Regeringsgatan 29 SE-111 53 Stockholm</w:t>
            </w:r>
            <w:r w:rsidR="00DB2729">
              <w:rPr>
                <w:rFonts w:ascii="GHEA Grapalat" w:eastAsia="GHEA Grapalat" w:hAnsi="GHEA Grapalat" w:cs="GHEA Grapalat"/>
                <w:color w:val="000000" w:themeColor="text1"/>
              </w:rPr>
              <w:t>)</w:t>
            </w:r>
            <w:r w:rsidR="00DB2729" w:rsidRPr="00DB2729">
              <w:rPr>
                <w:rFonts w:ascii="GHEA Grapalat" w:eastAsia="GHEA Grapalat" w:hAnsi="GHEA Grapalat" w:cs="GHEA Grapalat"/>
                <w:color w:val="000000" w:themeColor="text1"/>
              </w:rPr>
              <w:t xml:space="preserve">, </w:t>
            </w:r>
            <w:r w:rsidR="00DB2729">
              <w:rPr>
                <w:rFonts w:ascii="GHEA Grapalat" w:eastAsia="GHEA Grapalat" w:hAnsi="GHEA Grapalat" w:cs="GHEA Grapalat"/>
                <w:color w:val="000000" w:themeColor="text1"/>
              </w:rPr>
              <w:t>Սինգապուրի միջազգային արբիտրաժային կենտրոնը (</w:t>
            </w:r>
            <w:r w:rsidR="00DB2729" w:rsidRPr="00DB2729">
              <w:rPr>
                <w:rFonts w:ascii="GHEA Grapalat" w:eastAsia="GHEA Grapalat" w:hAnsi="GHEA Grapalat" w:cs="GHEA Grapalat"/>
                <w:color w:val="000000" w:themeColor="text1"/>
              </w:rPr>
              <w:t>28 Maxwell Road #03-01 Maxwell Chambers Suites Singapore 069120</w:t>
            </w:r>
            <w:r w:rsidR="00DB2729">
              <w:rPr>
                <w:rFonts w:ascii="GHEA Grapalat" w:eastAsia="GHEA Grapalat" w:hAnsi="GHEA Grapalat" w:cs="GHEA Grapalat"/>
                <w:color w:val="000000" w:themeColor="text1"/>
              </w:rPr>
              <w:t>)</w:t>
            </w:r>
            <w:r w:rsidR="00DB2729" w:rsidRPr="00DB2729">
              <w:rPr>
                <w:rFonts w:ascii="GHEA Grapalat" w:eastAsia="GHEA Grapalat" w:hAnsi="GHEA Grapalat" w:cs="GHEA Grapalat"/>
                <w:color w:val="000000" w:themeColor="text1"/>
              </w:rPr>
              <w:t xml:space="preserve"> </w:t>
            </w:r>
            <w:r w:rsidR="00DB2729">
              <w:rPr>
                <w:rFonts w:ascii="GHEA Grapalat" w:eastAsia="GHEA Grapalat" w:hAnsi="GHEA Grapalat" w:cs="GHEA Grapalat"/>
                <w:color w:val="000000" w:themeColor="text1"/>
              </w:rPr>
              <w:t>և այլն:</w:t>
            </w:r>
          </w:p>
          <w:p w:rsidR="00F0530B" w:rsidRPr="0079207E" w:rsidRDefault="00F0530B" w:rsidP="00DB2729">
            <w:pPr>
              <w:spacing w:line="360" w:lineRule="auto"/>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t>Բոլոր դեպքերում նկատենք, որ Արդարադատության նախարարության գրությամբ ներկայացված Հանրապետության 9 հասցեում գտնվող շենքի վարձակալության մոտեցումն այլևս արդիական չէ, ստորև ներկայացված 3-րդ կետի համատեքստում:</w:t>
            </w:r>
          </w:p>
        </w:tc>
      </w:tr>
      <w:tr w:rsidR="00DB2729" w:rsidRPr="009B1A83" w:rsidTr="00001562">
        <w:tc>
          <w:tcPr>
            <w:tcW w:w="7398" w:type="dxa"/>
          </w:tcPr>
          <w:p w:rsidR="00A2249C" w:rsidRPr="00A2249C" w:rsidRDefault="00DB2729" w:rsidP="00A2249C">
            <w:pPr>
              <w:spacing w:line="360" w:lineRule="auto"/>
              <w:contextualSpacing/>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lastRenderedPageBreak/>
              <w:t xml:space="preserve">3. </w:t>
            </w:r>
            <w:r w:rsidR="00A2249C" w:rsidRPr="00A2249C">
              <w:rPr>
                <w:rFonts w:ascii="GHEA Grapalat" w:eastAsia="GHEA Grapalat" w:hAnsi="GHEA Grapalat" w:cs="GHEA Grapalat"/>
                <w:color w:val="000000" w:themeColor="text1"/>
              </w:rPr>
              <w:t>Նախատեսվում է արբիտրաժային կենտրոնի համար վարձակալել 520 քմ տարածք ք. Երևան, Հանրապետության 9 հասցեում գտնվող շենքի 1-ին և 2-րդ հարկերում (1-ին հարկում՝ 40 քմ, 2-րդ հարկում՝ 483.33 քմ): Այս կապակցությամբ առաջարկում ենք պարզաբանել, թե՝</w:t>
            </w:r>
          </w:p>
          <w:p w:rsidR="00A2249C" w:rsidRPr="00A2249C" w:rsidRDefault="00A2249C" w:rsidP="00A2249C">
            <w:pPr>
              <w:spacing w:line="360" w:lineRule="auto"/>
              <w:contextualSpacing/>
              <w:jc w:val="both"/>
              <w:rPr>
                <w:rFonts w:ascii="GHEA Grapalat" w:eastAsia="GHEA Grapalat" w:hAnsi="GHEA Grapalat" w:cs="GHEA Grapalat"/>
                <w:color w:val="000000" w:themeColor="text1"/>
              </w:rPr>
            </w:pPr>
            <w:r w:rsidRPr="00A2249C">
              <w:rPr>
                <w:rFonts w:ascii="GHEA Grapalat" w:eastAsia="GHEA Grapalat" w:hAnsi="GHEA Grapalat" w:cs="GHEA Grapalat"/>
                <w:color w:val="000000" w:themeColor="text1"/>
              </w:rPr>
              <w:lastRenderedPageBreak/>
              <w:t xml:space="preserve">- ինչ սկզբունքով է հաշվարկվել անհրաժեշտ տարածքի չափը և արբիտրաժային կենտրոնի ինչպիսի կառուցվածքի համար, </w:t>
            </w:r>
          </w:p>
          <w:p w:rsidR="00DB2729" w:rsidRDefault="00A2249C" w:rsidP="00A2249C">
            <w:pPr>
              <w:spacing w:line="360" w:lineRule="auto"/>
              <w:contextualSpacing/>
              <w:jc w:val="both"/>
              <w:rPr>
                <w:rFonts w:ascii="GHEA Grapalat" w:eastAsia="GHEA Grapalat" w:hAnsi="GHEA Grapalat" w:cs="GHEA Grapalat"/>
                <w:color w:val="000000" w:themeColor="text1"/>
              </w:rPr>
            </w:pPr>
            <w:r w:rsidRPr="00A2249C">
              <w:rPr>
                <w:rFonts w:ascii="GHEA Grapalat" w:eastAsia="GHEA Grapalat" w:hAnsi="GHEA Grapalat" w:cs="GHEA Grapalat"/>
                <w:color w:val="000000" w:themeColor="text1"/>
              </w:rPr>
              <w:t>- ինչ սկզբունքով է ընտրվել նշված հասցեի տարածքը և արդյոք դիտարկվել են այլ տարբերակներ, այդ թվում՝ պետական սեփականություն հանդիսացող որևէ շենքում տարածք հատկացնելու հարցը, քանի որ նույնիսկ մասնավոր սեփականություն հանդիսացող տարածքի վարձակալության դեպքում առաջարկվում է հատկացնել ընթացիկ նորոգման ծախսեր:</w:t>
            </w:r>
          </w:p>
        </w:tc>
        <w:tc>
          <w:tcPr>
            <w:tcW w:w="7594" w:type="dxa"/>
            <w:gridSpan w:val="2"/>
          </w:tcPr>
          <w:p w:rsidR="00F11EF4" w:rsidRPr="00F11EF4" w:rsidRDefault="00F11EF4" w:rsidP="00F11EF4">
            <w:pPr>
              <w:spacing w:line="360" w:lineRule="auto"/>
              <w:jc w:val="center"/>
              <w:rPr>
                <w:rFonts w:ascii="GHEA Grapalat" w:eastAsia="GHEA Grapalat" w:hAnsi="GHEA Grapalat" w:cs="GHEA Grapalat"/>
                <w:b/>
                <w:color w:val="000000" w:themeColor="text1"/>
              </w:rPr>
            </w:pPr>
            <w:r w:rsidRPr="00F11EF4">
              <w:rPr>
                <w:rFonts w:ascii="GHEA Grapalat" w:eastAsia="GHEA Grapalat" w:hAnsi="GHEA Grapalat" w:cs="GHEA Grapalat"/>
                <w:b/>
                <w:color w:val="000000" w:themeColor="text1"/>
              </w:rPr>
              <w:lastRenderedPageBreak/>
              <w:t>Ընդունվել է մասնակի։</w:t>
            </w:r>
          </w:p>
          <w:p w:rsidR="00A2249C" w:rsidRDefault="00A2249C" w:rsidP="00BB2F12">
            <w:pPr>
              <w:spacing w:line="360" w:lineRule="auto"/>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t>- Կենտրոնի տարածքին ներկայացվող պահանջների մասով նկատենք, որ դրանք սահմանվել են հաշվի առնելով ինչպես օբյեկտիվորեն առկա անհրաժեշտությունները, այնպես էլ այս կապակցությամբ առկա միջազգային փորձը:</w:t>
            </w:r>
            <w:r w:rsidR="00123212">
              <w:rPr>
                <w:rFonts w:ascii="GHEA Grapalat" w:eastAsia="GHEA Grapalat" w:hAnsi="GHEA Grapalat" w:cs="GHEA Grapalat"/>
                <w:color w:val="000000" w:themeColor="text1"/>
              </w:rPr>
              <w:t xml:space="preserve"> Այսպես, </w:t>
            </w:r>
            <w:r w:rsidR="00123212">
              <w:rPr>
                <w:rFonts w:ascii="GHEA Grapalat" w:eastAsia="GHEA Grapalat" w:hAnsi="GHEA Grapalat" w:cs="GHEA Grapalat"/>
                <w:color w:val="000000" w:themeColor="text1"/>
              </w:rPr>
              <w:lastRenderedPageBreak/>
              <w:t xml:space="preserve">նախատեսվում է, որ կենտրոնի պատշաճ գործունեությունն ապահովելու համար անհրաժեշտ է </w:t>
            </w:r>
            <w:r w:rsidR="00421EE7">
              <w:rPr>
                <w:rFonts w:ascii="GHEA Grapalat" w:eastAsia="GHEA Grapalat" w:hAnsi="GHEA Grapalat" w:cs="GHEA Grapalat"/>
                <w:color w:val="000000" w:themeColor="text1"/>
              </w:rPr>
              <w:t xml:space="preserve">լինելու ունենալ շուրջ </w:t>
            </w:r>
            <w:r w:rsidR="00BB2F12">
              <w:rPr>
                <w:rFonts w:ascii="GHEA Grapalat" w:eastAsia="GHEA Grapalat" w:hAnsi="GHEA Grapalat" w:cs="GHEA Grapalat"/>
                <w:color w:val="000000" w:themeColor="text1"/>
              </w:rPr>
              <w:t>20 անձից բաղկացած անձնակազմ, որոնց բոլորին անհրաժեշտ է ապահովել աշխատանքային տարածքներով, միևնույն ժամանակ կենտրոնը պետք է ունենա վարույթների իրականացման համար նախատեսված երկու սենյակներ, որոնք պետք է ունենան մոտ 50 քմ մակերես, միևնույն ժամանակ, գործերի քննությունը ապահովելու համար անհրաժեշտ են լինելու առանձին սենյակներ, որտեղ կողմերը կկարողանան առանձին խորհրդակցություններ իրականացնել, վկաները սպասեն մինչև իրենց հարցաքննության հրավիրելը, փոքր խոհանոցային տարածք, ընդունարան, որտեղ հնարավոր կլինի դիմավորել կենտրոնի հյուրերին և կողմերին և այլն:</w:t>
            </w:r>
          </w:p>
          <w:p w:rsidR="00BB2F12" w:rsidRDefault="00BB2F12" w:rsidP="001D6758">
            <w:pPr>
              <w:spacing w:line="360" w:lineRule="auto"/>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t>Հատկապես</w:t>
            </w:r>
            <w:r w:rsidR="001D6758">
              <w:rPr>
                <w:rFonts w:ascii="GHEA Grapalat" w:eastAsia="GHEA Grapalat" w:hAnsi="GHEA Grapalat" w:cs="GHEA Grapalat"/>
                <w:color w:val="000000" w:themeColor="text1"/>
              </w:rPr>
              <w:t>, վարույթի իրականացման պայմանների տեսանկյունից կարելի է ուսումնասիրել Ստոկհոլմի միջազգային լսումների կենտրոնի (</w:t>
            </w:r>
            <w:hyperlink r:id="rId10" w:history="1">
              <w:r w:rsidR="001D6758" w:rsidRPr="009C56AF">
                <w:rPr>
                  <w:rStyle w:val="Hyperlink"/>
                  <w:rFonts w:ascii="GHEA Grapalat" w:eastAsia="GHEA Grapalat" w:hAnsi="GHEA Grapalat" w:cs="GHEA Grapalat"/>
                </w:rPr>
                <w:t>https://www.sihc.se/physical-hearing/</w:t>
              </w:r>
            </w:hyperlink>
            <w:r w:rsidR="001D6758">
              <w:rPr>
                <w:rFonts w:ascii="GHEA Grapalat" w:eastAsia="GHEA Grapalat" w:hAnsi="GHEA Grapalat" w:cs="GHEA Grapalat"/>
                <w:color w:val="000000" w:themeColor="text1"/>
              </w:rPr>
              <w:t>), Լոնդոնի Վեճերի լուծման միջազգային կենտրոնի (</w:t>
            </w:r>
            <w:hyperlink r:id="rId11" w:history="1">
              <w:r w:rsidR="001D6758" w:rsidRPr="009C56AF">
                <w:rPr>
                  <w:rStyle w:val="Hyperlink"/>
                  <w:rFonts w:ascii="GHEA Grapalat" w:eastAsia="GHEA Grapalat" w:hAnsi="GHEA Grapalat" w:cs="GHEA Grapalat"/>
                </w:rPr>
                <w:t>https://www.idrc.co.uk/arbitration-rooms-layouts/</w:t>
              </w:r>
            </w:hyperlink>
            <w:r w:rsidR="001D6758">
              <w:rPr>
                <w:rFonts w:ascii="GHEA Grapalat" w:eastAsia="GHEA Grapalat" w:hAnsi="GHEA Grapalat" w:cs="GHEA Grapalat"/>
                <w:color w:val="000000" w:themeColor="text1"/>
              </w:rPr>
              <w:t>) փորձը և այլն:</w:t>
            </w:r>
          </w:p>
          <w:p w:rsidR="001F5634" w:rsidRPr="00F0530B" w:rsidRDefault="00C20E45" w:rsidP="005B6221">
            <w:pPr>
              <w:spacing w:line="360" w:lineRule="auto"/>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lastRenderedPageBreak/>
              <w:t xml:space="preserve">- Ինչ վերաբերում է առաջարկվող տարածքի ընտրությանը, ապա նկատենք, որ </w:t>
            </w:r>
            <w:r w:rsidR="00D751E6">
              <w:rPr>
                <w:rFonts w:ascii="GHEA Grapalat" w:eastAsia="GHEA Grapalat" w:hAnsi="GHEA Grapalat" w:cs="GHEA Grapalat"/>
                <w:color w:val="000000" w:themeColor="text1"/>
              </w:rPr>
              <w:t xml:space="preserve">նախագիծը Ֆինանսների նախարարություն </w:t>
            </w:r>
            <w:r w:rsidR="001F5634">
              <w:rPr>
                <w:rFonts w:ascii="GHEA Grapalat" w:eastAsia="GHEA Grapalat" w:hAnsi="GHEA Grapalat" w:cs="GHEA Grapalat"/>
                <w:color w:val="000000" w:themeColor="text1"/>
              </w:rPr>
              <w:t>հետո Տարածքային կառավարման և ենթակառուցվածքների նախարարության Պետական գույքի կառավարման կոմիտեի կողմից</w:t>
            </w:r>
            <w:r w:rsidR="00D751E6">
              <w:rPr>
                <w:rFonts w:ascii="GHEA Grapalat" w:eastAsia="GHEA Grapalat" w:hAnsi="GHEA Grapalat" w:cs="GHEA Grapalat"/>
                <w:color w:val="000000" w:themeColor="text1"/>
              </w:rPr>
              <w:t xml:space="preserve"> 16.02.2023թ.-ին</w:t>
            </w:r>
            <w:r w:rsidR="001F5634">
              <w:rPr>
                <w:rFonts w:ascii="GHEA Grapalat" w:eastAsia="GHEA Grapalat" w:hAnsi="GHEA Grapalat" w:cs="GHEA Grapalat"/>
                <w:color w:val="000000" w:themeColor="text1"/>
              </w:rPr>
              <w:t xml:space="preserve"> ստացվել է նոր գրություն՝ ներկայացնելով կենտրոնի համար նպատակահարմար նոր տարածքներ: Այս կապակցությամբ, ինչպես նաև հաշվի առնելով գրությամբ ներկայացված </w:t>
            </w:r>
            <w:r w:rsidR="000A569B">
              <w:rPr>
                <w:rFonts w:ascii="GHEA Grapalat" w:eastAsia="GHEA Grapalat" w:hAnsi="GHEA Grapalat" w:cs="GHEA Grapalat"/>
                <w:color w:val="000000" w:themeColor="text1"/>
              </w:rPr>
              <w:t>Ֆինանսների նախարարության</w:t>
            </w:r>
            <w:r w:rsidR="001F5634">
              <w:rPr>
                <w:rFonts w:ascii="GHEA Grapalat" w:eastAsia="GHEA Grapalat" w:hAnsi="GHEA Grapalat" w:cs="GHEA Grapalat"/>
                <w:color w:val="000000" w:themeColor="text1"/>
              </w:rPr>
              <w:t xml:space="preserve"> առաջարկները</w:t>
            </w:r>
            <w:r w:rsidR="007C2CC7">
              <w:rPr>
                <w:rFonts w:ascii="GHEA Grapalat" w:eastAsia="GHEA Grapalat" w:hAnsi="GHEA Grapalat" w:cs="GHEA Grapalat"/>
                <w:color w:val="000000" w:themeColor="text1"/>
              </w:rPr>
              <w:t xml:space="preserve">, ընտրվել է պետական սեփականություն հանդիսացող շինություն, որը </w:t>
            </w:r>
            <w:r w:rsidR="00610756">
              <w:rPr>
                <w:rFonts w:ascii="GHEA Grapalat" w:eastAsia="GHEA Grapalat" w:hAnsi="GHEA Grapalat" w:cs="GHEA Grapalat"/>
                <w:color w:val="000000" w:themeColor="text1"/>
              </w:rPr>
              <w:t>ներկայումս հատկացված է Գիտությունների ազգային ակադեմիային:</w:t>
            </w:r>
            <w:r w:rsidR="00406F59" w:rsidRPr="00406F59">
              <w:rPr>
                <w:rFonts w:ascii="GHEA Grapalat" w:eastAsia="GHEA Grapalat" w:hAnsi="GHEA Grapalat" w:cs="GHEA Grapalat"/>
                <w:color w:val="000000" w:themeColor="text1"/>
              </w:rPr>
              <w:t xml:space="preserve"> </w:t>
            </w:r>
            <w:r w:rsidR="00406F59">
              <w:rPr>
                <w:rFonts w:ascii="GHEA Grapalat" w:eastAsia="GHEA Grapalat" w:hAnsi="GHEA Grapalat" w:cs="GHEA Grapalat"/>
                <w:color w:val="000000" w:themeColor="text1"/>
              </w:rPr>
              <w:t>Նշվածը, սակայն, ենթադրում է, որ որոշակի ժամանակ է անհրաժեշտ նախքան շենքը Արդարադատության նախարարության հաշվեկշռին հանձնելը, ներկայումս այդտեղ տեղակայված անձնակազմին այլ տարածք տեղափոխելը և տարածքը վերանորոգելը:</w:t>
            </w:r>
          </w:p>
          <w:p w:rsidR="00C20E45" w:rsidRPr="001D6758" w:rsidRDefault="00262460" w:rsidP="000A569B">
            <w:pPr>
              <w:spacing w:line="360" w:lineRule="auto"/>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t xml:space="preserve">Վերոգրյալով պայմանավորված Արդարադատության նախարարության կողմից </w:t>
            </w:r>
            <w:r w:rsidR="00C20E45">
              <w:rPr>
                <w:rFonts w:ascii="GHEA Grapalat" w:eastAsia="GHEA Grapalat" w:hAnsi="GHEA Grapalat" w:cs="GHEA Grapalat"/>
                <w:color w:val="000000" w:themeColor="text1"/>
              </w:rPr>
              <w:t xml:space="preserve">ուսումնասիրվել են </w:t>
            </w:r>
            <w:r>
              <w:rPr>
                <w:rFonts w:ascii="GHEA Grapalat" w:eastAsia="GHEA Grapalat" w:hAnsi="GHEA Grapalat" w:cs="GHEA Grapalat"/>
                <w:color w:val="000000" w:themeColor="text1"/>
              </w:rPr>
              <w:t>տարբեր</w:t>
            </w:r>
            <w:r w:rsidR="00C20E45">
              <w:rPr>
                <w:rFonts w:ascii="GHEA Grapalat" w:eastAsia="GHEA Grapalat" w:hAnsi="GHEA Grapalat" w:cs="GHEA Grapalat"/>
                <w:color w:val="000000" w:themeColor="text1"/>
              </w:rPr>
              <w:t xml:space="preserve"> տարածքներ</w:t>
            </w:r>
            <w:r w:rsidR="000A5918">
              <w:rPr>
                <w:rFonts w:ascii="GHEA Grapalat" w:eastAsia="GHEA Grapalat" w:hAnsi="GHEA Grapalat" w:cs="GHEA Grapalat"/>
                <w:color w:val="000000" w:themeColor="text1"/>
              </w:rPr>
              <w:t xml:space="preserve">՝ ապահովելու համար կենտրոնի գործունեությունը մինչև նշված գործընթացների ավարտը (նախնական </w:t>
            </w:r>
            <w:r w:rsidR="000A5918">
              <w:rPr>
                <w:rFonts w:ascii="GHEA Grapalat" w:eastAsia="GHEA Grapalat" w:hAnsi="GHEA Grapalat" w:cs="GHEA Grapalat"/>
                <w:color w:val="000000" w:themeColor="text1"/>
              </w:rPr>
              <w:lastRenderedPageBreak/>
              <w:t>հաշվարկներով մինչև սույն տարվա ավարտը)</w:t>
            </w:r>
            <w:r w:rsidR="005B6221">
              <w:rPr>
                <w:rFonts w:ascii="GHEA Grapalat" w:eastAsia="GHEA Grapalat" w:hAnsi="GHEA Grapalat" w:cs="GHEA Grapalat"/>
                <w:color w:val="000000" w:themeColor="text1"/>
              </w:rPr>
              <w:t xml:space="preserve">: Ընդ որում, </w:t>
            </w:r>
            <w:r w:rsidR="000A5918">
              <w:rPr>
                <w:rFonts w:ascii="GHEA Grapalat" w:eastAsia="GHEA Grapalat" w:hAnsi="GHEA Grapalat" w:cs="GHEA Grapalat"/>
                <w:color w:val="000000" w:themeColor="text1"/>
              </w:rPr>
              <w:t xml:space="preserve">արդեն </w:t>
            </w:r>
            <w:r w:rsidR="005B6221">
              <w:rPr>
                <w:rFonts w:ascii="GHEA Grapalat" w:eastAsia="GHEA Grapalat" w:hAnsi="GHEA Grapalat" w:cs="GHEA Grapalat"/>
                <w:color w:val="000000" w:themeColor="text1"/>
              </w:rPr>
              <w:t>այս</w:t>
            </w:r>
            <w:r w:rsidR="000A5918">
              <w:rPr>
                <w:rFonts w:ascii="GHEA Grapalat" w:eastAsia="GHEA Grapalat" w:hAnsi="GHEA Grapalat" w:cs="GHEA Grapalat"/>
                <w:color w:val="000000" w:themeColor="text1"/>
              </w:rPr>
              <w:t xml:space="preserve"> պարագայում առաջարկվում է այնպիսի տարածք</w:t>
            </w:r>
            <w:r w:rsidR="003B3EEA">
              <w:rPr>
                <w:rFonts w:ascii="GHEA Grapalat" w:eastAsia="GHEA Grapalat" w:hAnsi="GHEA Grapalat" w:cs="GHEA Grapalat"/>
                <w:color w:val="000000" w:themeColor="text1"/>
              </w:rPr>
              <w:t xml:space="preserve">, որի վարձատրության </w:t>
            </w:r>
            <w:r w:rsidR="000A569B">
              <w:rPr>
                <w:rFonts w:ascii="GHEA Grapalat" w:eastAsia="GHEA Grapalat" w:hAnsi="GHEA Grapalat" w:cs="GHEA Grapalat"/>
                <w:color w:val="000000" w:themeColor="text1"/>
              </w:rPr>
              <w:t>գինն</w:t>
            </w:r>
            <w:r w:rsidR="003B3EEA">
              <w:rPr>
                <w:rFonts w:ascii="GHEA Grapalat" w:eastAsia="GHEA Grapalat" w:hAnsi="GHEA Grapalat" w:cs="GHEA Grapalat"/>
                <w:color w:val="000000" w:themeColor="text1"/>
              </w:rPr>
              <w:t xml:space="preserve"> ավելի մատչելի է քան Արդարադատության նախարարության կողմից ներկայացված նախագծով նշված արժեքն է, ինչը թույլ կտա նույն գումարի դիմաց առավել երկար ժամանակահատվածով ապահովել կենտրոնի գործունեության համար անհրաժեշտ տարածքի առկայությունը:</w:t>
            </w:r>
            <w:r w:rsidR="005B6221">
              <w:rPr>
                <w:rFonts w:ascii="GHEA Grapalat" w:eastAsia="GHEA Grapalat" w:hAnsi="GHEA Grapalat" w:cs="GHEA Grapalat"/>
                <w:color w:val="000000" w:themeColor="text1"/>
              </w:rPr>
              <w:t xml:space="preserve"> </w:t>
            </w:r>
            <w:r w:rsidR="000A569B">
              <w:rPr>
                <w:rFonts w:ascii="GHEA Grapalat" w:eastAsia="GHEA Grapalat" w:hAnsi="GHEA Grapalat" w:cs="GHEA Grapalat"/>
                <w:color w:val="000000" w:themeColor="text1"/>
              </w:rPr>
              <w:t xml:space="preserve">Ավելին, կարճաժամկետ վարձակալության համար դիտարկվող նոր տարածքում առկա  է նաև որոշակի գույք, ինչը ավելի </w:t>
            </w:r>
            <w:r w:rsidR="008F4BC7">
              <w:rPr>
                <w:rFonts w:ascii="GHEA Grapalat" w:eastAsia="GHEA Grapalat" w:hAnsi="GHEA Grapalat" w:cs="GHEA Grapalat"/>
                <w:color w:val="000000" w:themeColor="text1"/>
              </w:rPr>
              <w:t>առավել նպատակահարմար է դարձնում այն զբաղեցնելը կարճաժամկետ հեռանկարում՝ ծախսելով առավել քիչ գումար առավել երկար՝ 8 ամսով վարձակալության համար:</w:t>
            </w:r>
          </w:p>
        </w:tc>
      </w:tr>
      <w:tr w:rsidR="00C20E45" w:rsidRPr="009B1A83" w:rsidTr="00001562">
        <w:tc>
          <w:tcPr>
            <w:tcW w:w="7398" w:type="dxa"/>
          </w:tcPr>
          <w:p w:rsidR="008750FA" w:rsidRPr="008750FA" w:rsidRDefault="008750FA" w:rsidP="008750FA">
            <w:pPr>
              <w:spacing w:line="360" w:lineRule="auto"/>
              <w:contextualSpacing/>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lastRenderedPageBreak/>
              <w:t xml:space="preserve">4. </w:t>
            </w:r>
            <w:r w:rsidRPr="008750FA">
              <w:rPr>
                <w:rFonts w:ascii="GHEA Grapalat" w:eastAsia="GHEA Grapalat" w:hAnsi="GHEA Grapalat" w:cs="GHEA Grapalat"/>
                <w:color w:val="000000" w:themeColor="text1"/>
              </w:rPr>
              <w:t>Առաջարկում ենք քննարկել նաև արբիտրաժային կենտրոնի ստեղծման հետ կապված միջոցառումների ծախսային արդյունավետությունը հետևյալ նկատառումներով պայմանավորված՝</w:t>
            </w:r>
          </w:p>
          <w:p w:rsidR="008750FA" w:rsidRPr="008750FA" w:rsidRDefault="008750FA" w:rsidP="008750FA">
            <w:pPr>
              <w:spacing w:line="360" w:lineRule="auto"/>
              <w:contextualSpacing/>
              <w:jc w:val="both"/>
              <w:rPr>
                <w:rFonts w:ascii="GHEA Grapalat" w:eastAsia="GHEA Grapalat" w:hAnsi="GHEA Grapalat" w:cs="GHEA Grapalat"/>
                <w:color w:val="000000" w:themeColor="text1"/>
              </w:rPr>
            </w:pPr>
            <w:r w:rsidRPr="008750FA">
              <w:rPr>
                <w:rFonts w:ascii="GHEA Grapalat" w:eastAsia="GHEA Grapalat" w:hAnsi="GHEA Grapalat" w:cs="GHEA Grapalat"/>
                <w:color w:val="000000" w:themeColor="text1"/>
              </w:rPr>
              <w:t xml:space="preserve">- նախատեսվում է տարածքը վարձակալել 3 ամիս առաջ՝ նախքան կենտրոնի գործարկումը (կանոնադրության հաստատումը և պետական գրանցման ընթացակարգերի </w:t>
            </w:r>
            <w:r w:rsidRPr="008750FA">
              <w:rPr>
                <w:rFonts w:ascii="GHEA Grapalat" w:eastAsia="GHEA Grapalat" w:hAnsi="GHEA Grapalat" w:cs="GHEA Grapalat"/>
                <w:color w:val="000000" w:themeColor="text1"/>
              </w:rPr>
              <w:lastRenderedPageBreak/>
              <w:t xml:space="preserve">ավարտը), ինչպես նաև նշված տարածքում իրականացնել ընթացիկ նորոգման և դիզայներական աշխատանքներ, այն դեպքում, երբ միաժամանակ նախաձեռնվելու է կենտրոնի համար առանձին շենքի կառուցում, որի համար ևս որոշակի գումար է հատկացվելու, </w:t>
            </w:r>
          </w:p>
          <w:p w:rsidR="008750FA" w:rsidRPr="008750FA" w:rsidRDefault="008750FA" w:rsidP="008750FA">
            <w:pPr>
              <w:spacing w:line="360" w:lineRule="auto"/>
              <w:contextualSpacing/>
              <w:jc w:val="both"/>
              <w:rPr>
                <w:rFonts w:ascii="GHEA Grapalat" w:eastAsia="GHEA Grapalat" w:hAnsi="GHEA Grapalat" w:cs="GHEA Grapalat"/>
                <w:color w:val="000000" w:themeColor="text1"/>
              </w:rPr>
            </w:pPr>
            <w:r w:rsidRPr="008750FA">
              <w:rPr>
                <w:rFonts w:ascii="GHEA Grapalat" w:eastAsia="GHEA Grapalat" w:hAnsi="GHEA Grapalat" w:cs="GHEA Grapalat"/>
                <w:color w:val="000000" w:themeColor="text1"/>
              </w:rPr>
              <w:t xml:space="preserve">- առաջարկում ենք պարզաբանել մինչև կենտրոնի գործարկումը 3 ամիս առաջ տարածք վարձակալելու անհրաժեշտությունը, այն դեպքում, երբ դեռ հաստատված չէ կանոնադրությունը, կենտրոնը դեռ պետական գրանցում չի ստացել և, վերջին հաշվով, կառուցածքը և կազմը հստակեցված կամ հաստատված չեն, </w:t>
            </w:r>
          </w:p>
          <w:p w:rsidR="008750FA" w:rsidRPr="008750FA" w:rsidRDefault="008750FA" w:rsidP="008750FA">
            <w:pPr>
              <w:spacing w:line="360" w:lineRule="auto"/>
              <w:contextualSpacing/>
              <w:jc w:val="both"/>
              <w:rPr>
                <w:rFonts w:ascii="GHEA Grapalat" w:eastAsia="GHEA Grapalat" w:hAnsi="GHEA Grapalat" w:cs="GHEA Grapalat"/>
                <w:color w:val="000000" w:themeColor="text1"/>
              </w:rPr>
            </w:pPr>
            <w:r w:rsidRPr="008750FA">
              <w:rPr>
                <w:rFonts w:ascii="GHEA Grapalat" w:eastAsia="GHEA Grapalat" w:hAnsi="GHEA Grapalat" w:cs="GHEA Grapalat"/>
                <w:color w:val="000000" w:themeColor="text1"/>
              </w:rPr>
              <w:t xml:space="preserve">- նախատեսվում է գումար հատկացնել վարձակալված մասնավոր սեփականություն հանդիսացող տարածքում ընթացիկ նորոգման և դիզայներական աշխատանքների իրականացման համար, որը օգտագործվելու է որոշակի ժամանակահատվածով, ուստի առաջարկում ենք քննարկել սեփականատիրոջ միջոցների հաշվին նորոգման աշխատանքներ իրականացնելու հարցը, </w:t>
            </w:r>
          </w:p>
          <w:p w:rsidR="00C20E45" w:rsidRDefault="008750FA" w:rsidP="008750FA">
            <w:pPr>
              <w:spacing w:line="360" w:lineRule="auto"/>
              <w:contextualSpacing/>
              <w:jc w:val="both"/>
              <w:rPr>
                <w:rFonts w:ascii="GHEA Grapalat" w:eastAsia="GHEA Grapalat" w:hAnsi="GHEA Grapalat" w:cs="GHEA Grapalat"/>
                <w:color w:val="000000" w:themeColor="text1"/>
              </w:rPr>
            </w:pPr>
            <w:r w:rsidRPr="008750FA">
              <w:rPr>
                <w:rFonts w:ascii="GHEA Grapalat" w:eastAsia="GHEA Grapalat" w:hAnsi="GHEA Grapalat" w:cs="GHEA Grapalat"/>
                <w:color w:val="000000" w:themeColor="text1"/>
              </w:rPr>
              <w:t xml:space="preserve">- ամսական վարձակալության գինը կազմում է շուրջ 7.3 մլն դրամ (35 ԱՄՆ դոլարին համարժեք դրամ մեկ քառակուսի մետրի համար), 3 ամսվա վարձակալության համար նախատեսվում է </w:t>
            </w:r>
            <w:r w:rsidRPr="008750FA">
              <w:rPr>
                <w:rFonts w:ascii="GHEA Grapalat" w:eastAsia="GHEA Grapalat" w:hAnsi="GHEA Grapalat" w:cs="GHEA Grapalat"/>
                <w:color w:val="000000" w:themeColor="text1"/>
              </w:rPr>
              <w:lastRenderedPageBreak/>
              <w:t>Հիմնադրամին հատկացնել 21.8 մլն դրամ, իսկ հետագայում՝ արբիտրաժային կենտրոնի գործարկումից հետո տարածքի վարձակալությունը շարունակվելու է, գումարը հատկացվելու է հենց կենտրոնին (տարեկան այդ նպատակի համար կպահանջվի 87.4 մլն դրամ):</w:t>
            </w:r>
          </w:p>
        </w:tc>
        <w:tc>
          <w:tcPr>
            <w:tcW w:w="7594" w:type="dxa"/>
            <w:gridSpan w:val="2"/>
          </w:tcPr>
          <w:p w:rsidR="00F11EF4" w:rsidRPr="00F11EF4" w:rsidRDefault="00F11EF4" w:rsidP="00F11EF4">
            <w:pPr>
              <w:spacing w:line="360" w:lineRule="auto"/>
              <w:jc w:val="center"/>
              <w:rPr>
                <w:rFonts w:ascii="GHEA Grapalat" w:eastAsia="GHEA Grapalat" w:hAnsi="GHEA Grapalat" w:cs="GHEA Grapalat"/>
                <w:b/>
                <w:color w:val="000000" w:themeColor="text1"/>
              </w:rPr>
            </w:pPr>
            <w:bookmarkStart w:id="0" w:name="_GoBack"/>
            <w:r w:rsidRPr="00F11EF4">
              <w:rPr>
                <w:rFonts w:ascii="GHEA Grapalat" w:eastAsia="GHEA Grapalat" w:hAnsi="GHEA Grapalat" w:cs="GHEA Grapalat"/>
                <w:b/>
                <w:color w:val="000000" w:themeColor="text1"/>
              </w:rPr>
              <w:lastRenderedPageBreak/>
              <w:t>Ընդունվել է մասնակի։</w:t>
            </w:r>
          </w:p>
          <w:bookmarkEnd w:id="0"/>
          <w:p w:rsidR="0030210B" w:rsidRDefault="00702F1B" w:rsidP="00741058">
            <w:pPr>
              <w:spacing w:line="360" w:lineRule="auto"/>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t>Ինչպես նշել ենք, Պետական գույքի կառավարման կոմիտեի հետ համատեղ աշխատանքների արդյունքում հնարավոր է եղել հայտնաբերել պատրաստի շինություն, որի՝ Արդարադատության նախարարության հաշվեկշռին հանձնելը և գործարկման համար անհրաժեշտ տեսքի բերելը կարող են տևական ժամանակ պահանջել</w:t>
            </w:r>
            <w:r w:rsidR="0030210B">
              <w:rPr>
                <w:rFonts w:ascii="GHEA Grapalat" w:eastAsia="GHEA Grapalat" w:hAnsi="GHEA Grapalat" w:cs="GHEA Grapalat"/>
                <w:color w:val="000000" w:themeColor="text1"/>
              </w:rPr>
              <w:t xml:space="preserve">՝ չնայած կենտրոնի գործունեությունը հնարավորինս </w:t>
            </w:r>
            <w:r w:rsidR="0030210B">
              <w:rPr>
                <w:rFonts w:ascii="GHEA Grapalat" w:eastAsia="GHEA Grapalat" w:hAnsi="GHEA Grapalat" w:cs="GHEA Grapalat"/>
                <w:color w:val="000000" w:themeColor="text1"/>
              </w:rPr>
              <w:lastRenderedPageBreak/>
              <w:t>շուտ մեկնարկելու վերաբերյալ առկա հանձնարարականներին և համաձայնություններին:</w:t>
            </w:r>
          </w:p>
          <w:p w:rsidR="004D503E" w:rsidRPr="00EB6213" w:rsidRDefault="00A0702F" w:rsidP="00682194">
            <w:pPr>
              <w:spacing w:line="360" w:lineRule="auto"/>
              <w:jc w:val="both"/>
              <w:rPr>
                <w:rFonts w:ascii="GHEA Grapalat" w:eastAsia="GHEA Grapalat" w:hAnsi="GHEA Grapalat" w:cs="GHEA Grapalat"/>
                <w:color w:val="000000" w:themeColor="text1"/>
              </w:rPr>
            </w:pPr>
            <w:r>
              <w:rPr>
                <w:rFonts w:ascii="GHEA Grapalat" w:eastAsia="GHEA Grapalat" w:hAnsi="GHEA Grapalat" w:cs="GHEA Grapalat"/>
                <w:color w:val="000000" w:themeColor="text1"/>
              </w:rPr>
              <w:t xml:space="preserve">Ընդ որում, նկատենք, որ </w:t>
            </w:r>
            <w:r w:rsidR="00EB6213">
              <w:rPr>
                <w:rFonts w:ascii="GHEA Grapalat" w:eastAsia="GHEA Grapalat" w:hAnsi="GHEA Grapalat" w:cs="GHEA Grapalat"/>
                <w:color w:val="000000" w:themeColor="text1"/>
              </w:rPr>
              <w:t xml:space="preserve">կենտրոնի կանոնադրությունը, կառուցվածքը և այլ անհրաժեշտ </w:t>
            </w:r>
            <w:r w:rsidR="00B105B6">
              <w:rPr>
                <w:rFonts w:ascii="GHEA Grapalat" w:eastAsia="GHEA Grapalat" w:hAnsi="GHEA Grapalat" w:cs="GHEA Grapalat"/>
                <w:color w:val="000000" w:themeColor="text1"/>
              </w:rPr>
              <w:t xml:space="preserve">գործընթացները արդեն իսկ համաձայնեցված են կենտրոնի համահիմնադիրների հետ, </w:t>
            </w:r>
            <w:r w:rsidR="008F4BC7">
              <w:rPr>
                <w:rFonts w:ascii="GHEA Grapalat" w:eastAsia="GHEA Grapalat" w:hAnsi="GHEA Grapalat" w:cs="GHEA Grapalat"/>
                <w:color w:val="000000" w:themeColor="text1"/>
              </w:rPr>
              <w:t xml:space="preserve">ուստի առավել քան անհրաժեշտ է ունենալ համապատասխան տարածք, որը կարող է օգտագործվել կենտրոնի գործարկման համար, այդ թվում պետական գրանցման ժամանակ դրա գտնվելու վայրը ևս գրանցելու համար, այնինչ, գումարը ստանալուց հետո նման գործընթացների ձեռնարկումը ևս շուրջ մեկ ամսով կերկարաձգի </w:t>
            </w:r>
            <w:r w:rsidR="002B4ED3">
              <w:rPr>
                <w:rFonts w:ascii="GHEA Grapalat" w:eastAsia="GHEA Grapalat" w:hAnsi="GHEA Grapalat" w:cs="GHEA Grapalat"/>
                <w:color w:val="000000" w:themeColor="text1"/>
              </w:rPr>
              <w:t>գրանցման ավարտին հասցնելը</w:t>
            </w:r>
            <w:r w:rsidR="00B105B6">
              <w:rPr>
                <w:rFonts w:ascii="GHEA Grapalat" w:eastAsia="GHEA Grapalat" w:hAnsi="GHEA Grapalat" w:cs="GHEA Grapalat"/>
                <w:color w:val="000000" w:themeColor="text1"/>
              </w:rPr>
              <w:t xml:space="preserve">: </w:t>
            </w:r>
            <w:r w:rsidR="002B4ED3">
              <w:rPr>
                <w:rFonts w:ascii="GHEA Grapalat" w:eastAsia="GHEA Grapalat" w:hAnsi="GHEA Grapalat" w:cs="GHEA Grapalat"/>
                <w:color w:val="000000" w:themeColor="text1"/>
              </w:rPr>
              <w:t>Ուստի</w:t>
            </w:r>
            <w:r w:rsidR="00B105B6">
              <w:rPr>
                <w:rFonts w:ascii="GHEA Grapalat" w:eastAsia="GHEA Grapalat" w:hAnsi="GHEA Grapalat" w:cs="GHEA Grapalat"/>
                <w:color w:val="000000" w:themeColor="text1"/>
              </w:rPr>
              <w:t>, կենտրոնի աշխատանքները ժամանակին ավարտելու տեսանկյունից անհրաժեշտ է թվում դրանց ժամանակին մեկնարկումը</w:t>
            </w:r>
            <w:r w:rsidR="002B4ED3">
              <w:rPr>
                <w:rFonts w:ascii="GHEA Grapalat" w:eastAsia="GHEA Grapalat" w:hAnsi="GHEA Grapalat" w:cs="GHEA Grapalat"/>
                <w:color w:val="000000" w:themeColor="text1"/>
              </w:rPr>
              <w:t>, որպեսզի հնարավոր լինի նախատեսված ժամկետներում մեկնարկել դրա աշխատանքները</w:t>
            </w:r>
            <w:r>
              <w:rPr>
                <w:rFonts w:ascii="GHEA Grapalat" w:eastAsia="GHEA Grapalat" w:hAnsi="GHEA Grapalat" w:cs="GHEA Grapalat"/>
                <w:color w:val="000000" w:themeColor="text1"/>
              </w:rPr>
              <w:t>:</w:t>
            </w:r>
            <w:r w:rsidR="002B4ED3">
              <w:rPr>
                <w:rFonts w:ascii="GHEA Grapalat" w:eastAsia="GHEA Grapalat" w:hAnsi="GHEA Grapalat" w:cs="GHEA Grapalat"/>
                <w:color w:val="000000" w:themeColor="text1"/>
              </w:rPr>
              <w:t xml:space="preserve"> Հատկանշական է</w:t>
            </w:r>
            <w:r w:rsidR="005B2C44">
              <w:rPr>
                <w:rFonts w:ascii="GHEA Grapalat" w:eastAsia="GHEA Grapalat" w:hAnsi="GHEA Grapalat" w:cs="GHEA Grapalat"/>
                <w:color w:val="000000" w:themeColor="text1"/>
              </w:rPr>
              <w:t xml:space="preserve"> նաև</w:t>
            </w:r>
            <w:r w:rsidR="002B4ED3">
              <w:rPr>
                <w:rFonts w:ascii="GHEA Grapalat" w:eastAsia="GHEA Grapalat" w:hAnsi="GHEA Grapalat" w:cs="GHEA Grapalat"/>
                <w:color w:val="000000" w:themeColor="text1"/>
              </w:rPr>
              <w:t>, որ ԵՄ գործող դեսպանի հետ ձեռք բերված պայմանավորվածության համաձայն</w:t>
            </w:r>
            <w:r w:rsidR="005B2C44">
              <w:rPr>
                <w:rFonts w:ascii="GHEA Grapalat" w:eastAsia="GHEA Grapalat" w:hAnsi="GHEA Grapalat" w:cs="GHEA Grapalat"/>
                <w:color w:val="000000" w:themeColor="text1"/>
              </w:rPr>
              <w:t>, նախատեսվում է կենտրոնի բացումը իրականացնել իր պաշտոնավարման ժամանակահատվածում՝ մինչև սույն թվականի օգոստոսը:</w:t>
            </w:r>
            <w:r w:rsidR="00682194">
              <w:rPr>
                <w:rFonts w:ascii="GHEA Grapalat" w:eastAsia="GHEA Grapalat" w:hAnsi="GHEA Grapalat" w:cs="GHEA Grapalat"/>
                <w:color w:val="000000" w:themeColor="text1"/>
              </w:rPr>
              <w:t xml:space="preserve"> Այս կապակցությամբ հարկ է նկատել, որ ԵՄ </w:t>
            </w:r>
            <w:r w:rsidR="00682194">
              <w:rPr>
                <w:rFonts w:ascii="GHEA Grapalat" w:eastAsia="GHEA Grapalat" w:hAnsi="GHEA Grapalat" w:cs="GHEA Grapalat"/>
                <w:color w:val="000000" w:themeColor="text1"/>
              </w:rPr>
              <w:lastRenderedPageBreak/>
              <w:t>բյուջետային աջակցության նախագծի շուրջ տարվող քննարկումների համատեքստում դիտարկվում է որպես կատարողական ցուցանիշնբեր սահմանել արբիտրաժային կենտրոնի կողմից 2023թ.-ի ընթացքում շուրջ 8 իրազեկվածության բարձրացման և կարողությունների զարգացման միջոցառումների, ինչպես նաև 1 կոնֆերանսի կազմակերպումը, իսկ առկա նախագծում էլ արդեն իսկ նշված է տարեվերջին կենտրոնին 5 վեճ վերապահված լինելու հանգամանքը, որոնք ուղղակիորեն վկայում է կենտրոնի հիմնադրման հրատապությունը:</w:t>
            </w:r>
          </w:p>
        </w:tc>
      </w:tr>
    </w:tbl>
    <w:p w:rsidR="00F5031B" w:rsidRPr="009B1A83" w:rsidRDefault="00F5031B" w:rsidP="002B64A7">
      <w:pPr>
        <w:pBdr>
          <w:top w:val="nil"/>
          <w:left w:val="nil"/>
          <w:bottom w:val="nil"/>
          <w:right w:val="nil"/>
          <w:between w:val="nil"/>
        </w:pBdr>
        <w:spacing w:line="276" w:lineRule="auto"/>
        <w:jc w:val="both"/>
        <w:rPr>
          <w:rFonts w:ascii="GHEA Grapalat" w:eastAsia="GHEA Grapalat" w:hAnsi="GHEA Grapalat" w:cs="GHEA Grapalat"/>
          <w:i/>
          <w:color w:val="000000"/>
        </w:rPr>
      </w:pPr>
    </w:p>
    <w:sectPr w:rsidR="00F5031B" w:rsidRPr="009B1A83" w:rsidSect="00FB0A3E">
      <w:footerReference w:type="default" r:id="rId12"/>
      <w:pgSz w:w="16838" w:h="11906" w:orient="landscape"/>
      <w:pgMar w:top="851" w:right="1245" w:bottom="28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658A0" w:rsidRDefault="00C658A0" w:rsidP="00FB0A3E">
      <w:r>
        <w:separator/>
      </w:r>
    </w:p>
  </w:endnote>
  <w:endnote w:type="continuationSeparator" w:id="0">
    <w:p w:rsidR="00C658A0" w:rsidRDefault="00C658A0" w:rsidP="00FB0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A00002EF" w:usb1="4000004B" w:usb2="00000000" w:usb3="00000000" w:csb0="0000019F" w:csb1="00000000"/>
  </w:font>
  <w:font w:name="Sylfaen">
    <w:panose1 w:val="010A0502050306030303"/>
    <w:charset w:val="00"/>
    <w:family w:val="roman"/>
    <w:pitch w:val="variable"/>
    <w:sig w:usb0="040006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Liberation Mono">
    <w:altName w:val="Courier New"/>
    <w:charset w:val="CC"/>
    <w:family w:val="roman"/>
    <w:pitch w:val="variable"/>
  </w:font>
  <w:font w:name="Calibri">
    <w:panose1 w:val="020F0502020204030204"/>
    <w:charset w:val="00"/>
    <w:family w:val="swiss"/>
    <w:pitch w:val="variable"/>
    <w:sig w:usb0="E0002AFF" w:usb1="4000ACFF" w:usb2="00000001" w:usb3="00000000" w:csb0="000001FF" w:csb1="00000000"/>
  </w:font>
  <w:font w:name="Special#Default Metrics Font">
    <w:altName w:val="Cambria"/>
    <w:charset w:val="00"/>
    <w:family w:val="roman"/>
    <w:pitch w:val="default"/>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318" w:rsidRDefault="004C05AF">
    <w:pPr>
      <w:pBdr>
        <w:top w:val="nil"/>
        <w:left w:val="nil"/>
        <w:bottom w:val="nil"/>
        <w:right w:val="nil"/>
        <w:between w:val="nil"/>
      </w:pBdr>
      <w:tabs>
        <w:tab w:val="center" w:pos="4680"/>
        <w:tab w:val="right" w:pos="9360"/>
      </w:tabs>
      <w:jc w:val="right"/>
      <w:rPr>
        <w:color w:val="000000"/>
      </w:rPr>
    </w:pPr>
    <w:r>
      <w:rPr>
        <w:color w:val="000000"/>
      </w:rPr>
      <w:fldChar w:fldCharType="begin"/>
    </w:r>
    <w:r w:rsidR="00695318">
      <w:rPr>
        <w:color w:val="000000"/>
      </w:rPr>
      <w:instrText>PAGE</w:instrText>
    </w:r>
    <w:r>
      <w:rPr>
        <w:color w:val="000000"/>
      </w:rPr>
      <w:fldChar w:fldCharType="separate"/>
    </w:r>
    <w:r w:rsidR="00F11EF4">
      <w:rPr>
        <w:noProof/>
        <w:color w:val="000000"/>
      </w:rPr>
      <w:t>10</w:t>
    </w:r>
    <w:r>
      <w:rPr>
        <w:color w:val="000000"/>
      </w:rPr>
      <w:fldChar w:fldCharType="end"/>
    </w:r>
  </w:p>
  <w:p w:rsidR="00695318" w:rsidRDefault="00695318">
    <w:pPr>
      <w:pBdr>
        <w:top w:val="nil"/>
        <w:left w:val="nil"/>
        <w:bottom w:val="nil"/>
        <w:right w:val="nil"/>
        <w:between w:val="nil"/>
      </w:pBdr>
      <w:tabs>
        <w:tab w:val="center" w:pos="4680"/>
        <w:tab w:val="right" w:pos="9360"/>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658A0" w:rsidRDefault="00C658A0" w:rsidP="00FB0A3E">
      <w:r>
        <w:separator/>
      </w:r>
    </w:p>
  </w:footnote>
  <w:footnote w:type="continuationSeparator" w:id="0">
    <w:p w:rsidR="00C658A0" w:rsidRDefault="00C658A0" w:rsidP="00FB0A3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791D43"/>
    <w:multiLevelType w:val="hybridMultilevel"/>
    <w:tmpl w:val="043E294A"/>
    <w:lvl w:ilvl="0" w:tplc="042B000F">
      <w:start w:val="1"/>
      <w:numFmt w:val="decimal"/>
      <w:lvlText w:val="%1."/>
      <w:lvlJc w:val="left"/>
      <w:pPr>
        <w:ind w:left="900" w:hanging="360"/>
      </w:pPr>
    </w:lvl>
    <w:lvl w:ilvl="1" w:tplc="042B0019" w:tentative="1">
      <w:start w:val="1"/>
      <w:numFmt w:val="lowerLetter"/>
      <w:lvlText w:val="%2."/>
      <w:lvlJc w:val="left"/>
      <w:pPr>
        <w:ind w:left="1620" w:hanging="360"/>
      </w:pPr>
    </w:lvl>
    <w:lvl w:ilvl="2" w:tplc="042B001B" w:tentative="1">
      <w:start w:val="1"/>
      <w:numFmt w:val="lowerRoman"/>
      <w:lvlText w:val="%3."/>
      <w:lvlJc w:val="right"/>
      <w:pPr>
        <w:ind w:left="2340" w:hanging="180"/>
      </w:pPr>
    </w:lvl>
    <w:lvl w:ilvl="3" w:tplc="042B000F" w:tentative="1">
      <w:start w:val="1"/>
      <w:numFmt w:val="decimal"/>
      <w:lvlText w:val="%4."/>
      <w:lvlJc w:val="left"/>
      <w:pPr>
        <w:ind w:left="3060" w:hanging="360"/>
      </w:pPr>
    </w:lvl>
    <w:lvl w:ilvl="4" w:tplc="042B0019" w:tentative="1">
      <w:start w:val="1"/>
      <w:numFmt w:val="lowerLetter"/>
      <w:lvlText w:val="%5."/>
      <w:lvlJc w:val="left"/>
      <w:pPr>
        <w:ind w:left="3780" w:hanging="360"/>
      </w:pPr>
    </w:lvl>
    <w:lvl w:ilvl="5" w:tplc="042B001B" w:tentative="1">
      <w:start w:val="1"/>
      <w:numFmt w:val="lowerRoman"/>
      <w:lvlText w:val="%6."/>
      <w:lvlJc w:val="right"/>
      <w:pPr>
        <w:ind w:left="4500" w:hanging="180"/>
      </w:pPr>
    </w:lvl>
    <w:lvl w:ilvl="6" w:tplc="042B000F" w:tentative="1">
      <w:start w:val="1"/>
      <w:numFmt w:val="decimal"/>
      <w:lvlText w:val="%7."/>
      <w:lvlJc w:val="left"/>
      <w:pPr>
        <w:ind w:left="5220" w:hanging="360"/>
      </w:pPr>
    </w:lvl>
    <w:lvl w:ilvl="7" w:tplc="042B0019" w:tentative="1">
      <w:start w:val="1"/>
      <w:numFmt w:val="lowerLetter"/>
      <w:lvlText w:val="%8."/>
      <w:lvlJc w:val="left"/>
      <w:pPr>
        <w:ind w:left="5940" w:hanging="360"/>
      </w:pPr>
    </w:lvl>
    <w:lvl w:ilvl="8" w:tplc="042B001B" w:tentative="1">
      <w:start w:val="1"/>
      <w:numFmt w:val="lowerRoman"/>
      <w:lvlText w:val="%9."/>
      <w:lvlJc w:val="right"/>
      <w:pPr>
        <w:ind w:left="6660" w:hanging="180"/>
      </w:pPr>
    </w:lvl>
  </w:abstractNum>
  <w:abstractNum w:abstractNumId="1" w15:restartNumberingAfterBreak="0">
    <w:nsid w:val="12075258"/>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1451182D"/>
    <w:multiLevelType w:val="hybridMultilevel"/>
    <w:tmpl w:val="7E284382"/>
    <w:lvl w:ilvl="0" w:tplc="9056CC26">
      <w:start w:val="7"/>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8D72EB5"/>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1DF4628B"/>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1F9C6237"/>
    <w:multiLevelType w:val="hybridMultilevel"/>
    <w:tmpl w:val="2F7C2048"/>
    <w:lvl w:ilvl="0" w:tplc="BF1E9424">
      <w:start w:val="1"/>
      <w:numFmt w:val="decimal"/>
      <w:lvlText w:val="%1)"/>
      <w:lvlJc w:val="left"/>
      <w:pPr>
        <w:ind w:left="720" w:hanging="360"/>
      </w:pPr>
      <w:rPr>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292003C"/>
    <w:multiLevelType w:val="hybridMultilevel"/>
    <w:tmpl w:val="7EEE038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7" w15:restartNumberingAfterBreak="0">
    <w:nsid w:val="22F1325A"/>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6353F0"/>
    <w:multiLevelType w:val="hybridMultilevel"/>
    <w:tmpl w:val="A60A45D4"/>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246271E9"/>
    <w:multiLevelType w:val="hybridMultilevel"/>
    <w:tmpl w:val="857EB81C"/>
    <w:lvl w:ilvl="0" w:tplc="25B020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5556D71"/>
    <w:multiLevelType w:val="hybridMultilevel"/>
    <w:tmpl w:val="97D418F8"/>
    <w:lvl w:ilvl="0" w:tplc="3DAEB97A">
      <w:start w:val="12"/>
      <w:numFmt w:val="decimal"/>
      <w:lvlText w:val="%1."/>
      <w:lvlJc w:val="left"/>
      <w:pPr>
        <w:ind w:left="1440" w:hanging="360"/>
      </w:pPr>
      <w:rPr>
        <w:rFonts w:hint="default"/>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61101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265E20E7"/>
    <w:multiLevelType w:val="hybridMultilevel"/>
    <w:tmpl w:val="10EC9A92"/>
    <w:lvl w:ilvl="0" w:tplc="04090005">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EC3E5C"/>
    <w:multiLevelType w:val="hybridMultilevel"/>
    <w:tmpl w:val="F77A93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C27362"/>
    <w:multiLevelType w:val="hybridMultilevel"/>
    <w:tmpl w:val="73889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2DE24AB"/>
    <w:multiLevelType w:val="hybridMultilevel"/>
    <w:tmpl w:val="701AEDA2"/>
    <w:lvl w:ilvl="0" w:tplc="164CCE08">
      <w:start w:val="1"/>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93723B3"/>
    <w:multiLevelType w:val="hybridMultilevel"/>
    <w:tmpl w:val="AADC43C0"/>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471BE6"/>
    <w:multiLevelType w:val="hybridMultilevel"/>
    <w:tmpl w:val="CE728B6A"/>
    <w:lvl w:ilvl="0" w:tplc="0419000F">
      <w:start w:val="1"/>
      <w:numFmt w:val="decimal"/>
      <w:lvlText w:val="%1."/>
      <w:lvlJc w:val="left"/>
      <w:pPr>
        <w:ind w:left="720" w:hanging="360"/>
      </w:pPr>
    </w:lvl>
    <w:lvl w:ilvl="1" w:tplc="DE00487C">
      <w:start w:val="1"/>
      <w:numFmt w:val="decimal"/>
      <w:lvlText w:val="%2)"/>
      <w:lvlJc w:val="left"/>
      <w:pPr>
        <w:ind w:left="1470" w:hanging="390"/>
      </w:pPr>
      <w:rPr>
        <w:rFonts w:eastAsia="Times New Roman" w:cs="Aria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67C4A02"/>
    <w:multiLevelType w:val="hybridMultilevel"/>
    <w:tmpl w:val="1B862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0B32B84"/>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15:restartNumberingAfterBreak="0">
    <w:nsid w:val="553811D6"/>
    <w:multiLevelType w:val="hybridMultilevel"/>
    <w:tmpl w:val="05A260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7105BA7"/>
    <w:multiLevelType w:val="hybridMultilevel"/>
    <w:tmpl w:val="3AB0FF20"/>
    <w:lvl w:ilvl="0" w:tplc="39DE8CCE">
      <w:start w:val="1"/>
      <w:numFmt w:val="decimal"/>
      <w:lvlText w:val="%1."/>
      <w:lvlJc w:val="left"/>
      <w:pPr>
        <w:ind w:left="1713" w:hanging="360"/>
      </w:pPr>
      <w:rPr>
        <w:b/>
      </w:rPr>
    </w:lvl>
    <w:lvl w:ilvl="1" w:tplc="04190019">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22" w15:restartNumberingAfterBreak="0">
    <w:nsid w:val="599567EA"/>
    <w:multiLevelType w:val="multilevel"/>
    <w:tmpl w:val="B1A8ED86"/>
    <w:lvl w:ilvl="0">
      <w:start w:val="1"/>
      <w:numFmt w:val="decimal"/>
      <w:lvlText w:val="%1."/>
      <w:lvlJc w:val="left"/>
      <w:pPr>
        <w:ind w:left="1440" w:hanging="360"/>
      </w:pPr>
      <w:rPr>
        <w:i w:val="0"/>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23" w15:restartNumberingAfterBreak="0">
    <w:nsid w:val="66D678E1"/>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4" w15:restartNumberingAfterBreak="0">
    <w:nsid w:val="69025055"/>
    <w:multiLevelType w:val="hybridMultilevel"/>
    <w:tmpl w:val="21EC9CA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5" w15:restartNumberingAfterBreak="0">
    <w:nsid w:val="706225C4"/>
    <w:multiLevelType w:val="hybridMultilevel"/>
    <w:tmpl w:val="95FE9F64"/>
    <w:lvl w:ilvl="0" w:tplc="49A48E82">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763A5659"/>
    <w:multiLevelType w:val="hybridMultilevel"/>
    <w:tmpl w:val="48D0E15E"/>
    <w:lvl w:ilvl="0" w:tplc="8E306E9C">
      <w:start w:val="1"/>
      <w:numFmt w:val="decimal"/>
      <w:lvlText w:val="%1."/>
      <w:lvlJc w:val="left"/>
      <w:pPr>
        <w:ind w:left="1353"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D383377"/>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7D9E700F"/>
    <w:multiLevelType w:val="hybridMultilevel"/>
    <w:tmpl w:val="53AA0CEA"/>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9" w15:restartNumberingAfterBreak="0">
    <w:nsid w:val="7DEA3DF5"/>
    <w:multiLevelType w:val="hybridMultilevel"/>
    <w:tmpl w:val="F348972C"/>
    <w:lvl w:ilvl="0" w:tplc="377A9992">
      <w:start w:val="1"/>
      <w:numFmt w:val="bullet"/>
      <w:lvlText w:val="-"/>
      <w:lvlJc w:val="left"/>
      <w:pPr>
        <w:ind w:left="720" w:hanging="360"/>
      </w:pPr>
      <w:rPr>
        <w:rFonts w:ascii="GHEA Grapalat" w:eastAsiaTheme="minorHAnsi" w:hAnsi="GHEA Grapalat" w:cs="Sylfae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
  </w:num>
  <w:num w:numId="3">
    <w:abstractNumId w:val="7"/>
  </w:num>
  <w:num w:numId="4">
    <w:abstractNumId w:val="13"/>
  </w:num>
  <w:num w:numId="5">
    <w:abstractNumId w:val="5"/>
    <w:lvlOverride w:ilvl="0">
      <w:startOverride w:val="1"/>
    </w:lvlOverride>
    <w:lvlOverride w:ilvl="1"/>
    <w:lvlOverride w:ilvl="2"/>
    <w:lvlOverride w:ilvl="3"/>
    <w:lvlOverride w:ilvl="4"/>
    <w:lvlOverride w:ilvl="5"/>
    <w:lvlOverride w:ilvl="6"/>
    <w:lvlOverride w:ilvl="7"/>
    <w:lvlOverride w:ilvl="8"/>
  </w:num>
  <w:num w:numId="6">
    <w:abstractNumId w:val="18"/>
  </w:num>
  <w:num w:numId="7">
    <w:abstractNumId w:val="9"/>
  </w:num>
  <w:num w:numId="8">
    <w:abstractNumId w:val="26"/>
  </w:num>
  <w:num w:numId="9">
    <w:abstractNumId w:val="2"/>
  </w:num>
  <w:num w:numId="10">
    <w:abstractNumId w:val="15"/>
  </w:num>
  <w:num w:numId="11">
    <w:abstractNumId w:val="6"/>
  </w:num>
  <w:num w:numId="12">
    <w:abstractNumId w:val="5"/>
  </w:num>
  <w:num w:numId="13">
    <w:abstractNumId w:val="16"/>
  </w:num>
  <w:num w:numId="14">
    <w:abstractNumId w:val="22"/>
  </w:num>
  <w:num w:numId="15">
    <w:abstractNumId w:val="8"/>
  </w:num>
  <w:num w:numId="16">
    <w:abstractNumId w:val="10"/>
  </w:num>
  <w:num w:numId="17">
    <w:abstractNumId w:val="24"/>
  </w:num>
  <w:num w:numId="18">
    <w:abstractNumId w:val="17"/>
  </w:num>
  <w:num w:numId="19">
    <w:abstractNumId w:val="11"/>
  </w:num>
  <w:num w:numId="20">
    <w:abstractNumId w:val="19"/>
  </w:num>
  <w:num w:numId="21">
    <w:abstractNumId w:val="25"/>
  </w:num>
  <w:num w:numId="22">
    <w:abstractNumId w:val="4"/>
  </w:num>
  <w:num w:numId="23">
    <w:abstractNumId w:val="28"/>
  </w:num>
  <w:num w:numId="24">
    <w:abstractNumId w:val="1"/>
  </w:num>
  <w:num w:numId="25">
    <w:abstractNumId w:val="27"/>
  </w:num>
  <w:num w:numId="26">
    <w:abstractNumId w:val="21"/>
  </w:num>
  <w:num w:numId="27">
    <w:abstractNumId w:val="23"/>
  </w:num>
  <w:num w:numId="28">
    <w:abstractNumId w:val="20"/>
  </w:num>
  <w:num w:numId="29">
    <w:abstractNumId w:val="14"/>
  </w:num>
  <w:num w:numId="30">
    <w:abstractNumId w:val="12"/>
  </w:num>
  <w:num w:numId="31">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0A3E"/>
    <w:rsid w:val="00001562"/>
    <w:rsid w:val="000017CE"/>
    <w:rsid w:val="00004C02"/>
    <w:rsid w:val="0000517A"/>
    <w:rsid w:val="0000579E"/>
    <w:rsid w:val="00006086"/>
    <w:rsid w:val="00010B50"/>
    <w:rsid w:val="00011533"/>
    <w:rsid w:val="0001377A"/>
    <w:rsid w:val="00013914"/>
    <w:rsid w:val="00013CE9"/>
    <w:rsid w:val="00014060"/>
    <w:rsid w:val="00014F95"/>
    <w:rsid w:val="00015330"/>
    <w:rsid w:val="00017B3E"/>
    <w:rsid w:val="00017BAA"/>
    <w:rsid w:val="0002129E"/>
    <w:rsid w:val="000233AC"/>
    <w:rsid w:val="0002348E"/>
    <w:rsid w:val="00025D0D"/>
    <w:rsid w:val="000276A6"/>
    <w:rsid w:val="000311A2"/>
    <w:rsid w:val="000311C2"/>
    <w:rsid w:val="0003285B"/>
    <w:rsid w:val="00032C72"/>
    <w:rsid w:val="00035305"/>
    <w:rsid w:val="000376E5"/>
    <w:rsid w:val="00040DE6"/>
    <w:rsid w:val="000424B8"/>
    <w:rsid w:val="00044720"/>
    <w:rsid w:val="0004523B"/>
    <w:rsid w:val="00050FAE"/>
    <w:rsid w:val="00051B7A"/>
    <w:rsid w:val="00051DC1"/>
    <w:rsid w:val="00053B96"/>
    <w:rsid w:val="00053DC1"/>
    <w:rsid w:val="00054A98"/>
    <w:rsid w:val="000553A2"/>
    <w:rsid w:val="00055914"/>
    <w:rsid w:val="00055DED"/>
    <w:rsid w:val="0005740D"/>
    <w:rsid w:val="00057995"/>
    <w:rsid w:val="00061F2A"/>
    <w:rsid w:val="00062F38"/>
    <w:rsid w:val="000654BE"/>
    <w:rsid w:val="00066C8F"/>
    <w:rsid w:val="00066D1E"/>
    <w:rsid w:val="0006790B"/>
    <w:rsid w:val="00067F5D"/>
    <w:rsid w:val="0007160D"/>
    <w:rsid w:val="000739E1"/>
    <w:rsid w:val="00074096"/>
    <w:rsid w:val="00074D66"/>
    <w:rsid w:val="00075CA5"/>
    <w:rsid w:val="00080B50"/>
    <w:rsid w:val="00080F4C"/>
    <w:rsid w:val="00082805"/>
    <w:rsid w:val="00082B68"/>
    <w:rsid w:val="00082D43"/>
    <w:rsid w:val="00082F7E"/>
    <w:rsid w:val="00083252"/>
    <w:rsid w:val="00086923"/>
    <w:rsid w:val="000877A3"/>
    <w:rsid w:val="00090A14"/>
    <w:rsid w:val="00093B11"/>
    <w:rsid w:val="0009469F"/>
    <w:rsid w:val="00096597"/>
    <w:rsid w:val="0009673E"/>
    <w:rsid w:val="000968EA"/>
    <w:rsid w:val="00096E9D"/>
    <w:rsid w:val="000A28EB"/>
    <w:rsid w:val="000A2AD2"/>
    <w:rsid w:val="000A2BC8"/>
    <w:rsid w:val="000A2DF3"/>
    <w:rsid w:val="000A4EF6"/>
    <w:rsid w:val="000A4F57"/>
    <w:rsid w:val="000A562C"/>
    <w:rsid w:val="000A569B"/>
    <w:rsid w:val="000A5918"/>
    <w:rsid w:val="000A62EF"/>
    <w:rsid w:val="000A6DB7"/>
    <w:rsid w:val="000B00CE"/>
    <w:rsid w:val="000B1377"/>
    <w:rsid w:val="000B1B4D"/>
    <w:rsid w:val="000B34E6"/>
    <w:rsid w:val="000B4187"/>
    <w:rsid w:val="000B72EB"/>
    <w:rsid w:val="000B7512"/>
    <w:rsid w:val="000C2F87"/>
    <w:rsid w:val="000C5879"/>
    <w:rsid w:val="000C5BF7"/>
    <w:rsid w:val="000C6706"/>
    <w:rsid w:val="000D02CB"/>
    <w:rsid w:val="000D16E0"/>
    <w:rsid w:val="000D1C67"/>
    <w:rsid w:val="000D2047"/>
    <w:rsid w:val="000D2A8C"/>
    <w:rsid w:val="000D2D87"/>
    <w:rsid w:val="000D342E"/>
    <w:rsid w:val="000D5176"/>
    <w:rsid w:val="000D64EA"/>
    <w:rsid w:val="000D7276"/>
    <w:rsid w:val="000E2D2A"/>
    <w:rsid w:val="000E335D"/>
    <w:rsid w:val="000E346C"/>
    <w:rsid w:val="000E3FBC"/>
    <w:rsid w:val="000E5FC8"/>
    <w:rsid w:val="000E7780"/>
    <w:rsid w:val="000E7FC0"/>
    <w:rsid w:val="000F1271"/>
    <w:rsid w:val="000F1B51"/>
    <w:rsid w:val="000F24DB"/>
    <w:rsid w:val="000F2AE3"/>
    <w:rsid w:val="000F4BA7"/>
    <w:rsid w:val="000F5251"/>
    <w:rsid w:val="000F6BF5"/>
    <w:rsid w:val="000F7AD3"/>
    <w:rsid w:val="000F7EE9"/>
    <w:rsid w:val="0010245F"/>
    <w:rsid w:val="00102F7B"/>
    <w:rsid w:val="00103138"/>
    <w:rsid w:val="001031A4"/>
    <w:rsid w:val="00105733"/>
    <w:rsid w:val="00105FCD"/>
    <w:rsid w:val="0011126E"/>
    <w:rsid w:val="00111C71"/>
    <w:rsid w:val="001125FC"/>
    <w:rsid w:val="001140D9"/>
    <w:rsid w:val="001141CA"/>
    <w:rsid w:val="00115A0C"/>
    <w:rsid w:val="00120C15"/>
    <w:rsid w:val="001211B6"/>
    <w:rsid w:val="00122AA2"/>
    <w:rsid w:val="00122D61"/>
    <w:rsid w:val="00123212"/>
    <w:rsid w:val="001238B0"/>
    <w:rsid w:val="00124A2A"/>
    <w:rsid w:val="00124A73"/>
    <w:rsid w:val="0012568F"/>
    <w:rsid w:val="00126418"/>
    <w:rsid w:val="001278DF"/>
    <w:rsid w:val="00130B2B"/>
    <w:rsid w:val="00130B64"/>
    <w:rsid w:val="00133D1E"/>
    <w:rsid w:val="001342E7"/>
    <w:rsid w:val="00134526"/>
    <w:rsid w:val="00134C41"/>
    <w:rsid w:val="00135FA3"/>
    <w:rsid w:val="0013723F"/>
    <w:rsid w:val="0013728D"/>
    <w:rsid w:val="001377C7"/>
    <w:rsid w:val="001400EE"/>
    <w:rsid w:val="0014126B"/>
    <w:rsid w:val="00142687"/>
    <w:rsid w:val="00142CEF"/>
    <w:rsid w:val="0014370D"/>
    <w:rsid w:val="00143A2D"/>
    <w:rsid w:val="001452BE"/>
    <w:rsid w:val="00145BBA"/>
    <w:rsid w:val="0015056A"/>
    <w:rsid w:val="00150978"/>
    <w:rsid w:val="001550CB"/>
    <w:rsid w:val="001557BA"/>
    <w:rsid w:val="0015705C"/>
    <w:rsid w:val="0015732A"/>
    <w:rsid w:val="00157C2D"/>
    <w:rsid w:val="00160AEB"/>
    <w:rsid w:val="001611B6"/>
    <w:rsid w:val="00161A6E"/>
    <w:rsid w:val="00162441"/>
    <w:rsid w:val="00163BE5"/>
    <w:rsid w:val="00164867"/>
    <w:rsid w:val="00166602"/>
    <w:rsid w:val="0016695F"/>
    <w:rsid w:val="0016762B"/>
    <w:rsid w:val="0017158C"/>
    <w:rsid w:val="0017325F"/>
    <w:rsid w:val="001737F3"/>
    <w:rsid w:val="001745E6"/>
    <w:rsid w:val="00181183"/>
    <w:rsid w:val="0018279A"/>
    <w:rsid w:val="0018286D"/>
    <w:rsid w:val="001829C4"/>
    <w:rsid w:val="00182A38"/>
    <w:rsid w:val="00185D71"/>
    <w:rsid w:val="00187D2D"/>
    <w:rsid w:val="0019024A"/>
    <w:rsid w:val="0019172B"/>
    <w:rsid w:val="00194427"/>
    <w:rsid w:val="0019590A"/>
    <w:rsid w:val="0019758F"/>
    <w:rsid w:val="0019793F"/>
    <w:rsid w:val="001A0ED6"/>
    <w:rsid w:val="001A16DA"/>
    <w:rsid w:val="001A2498"/>
    <w:rsid w:val="001A2F66"/>
    <w:rsid w:val="001A4C3E"/>
    <w:rsid w:val="001B04CF"/>
    <w:rsid w:val="001B3250"/>
    <w:rsid w:val="001B358A"/>
    <w:rsid w:val="001B35D0"/>
    <w:rsid w:val="001B4C98"/>
    <w:rsid w:val="001B56F2"/>
    <w:rsid w:val="001B6830"/>
    <w:rsid w:val="001B68F2"/>
    <w:rsid w:val="001B7044"/>
    <w:rsid w:val="001B7EA7"/>
    <w:rsid w:val="001C29DB"/>
    <w:rsid w:val="001C4206"/>
    <w:rsid w:val="001C7165"/>
    <w:rsid w:val="001C736F"/>
    <w:rsid w:val="001D0BFD"/>
    <w:rsid w:val="001D1965"/>
    <w:rsid w:val="001D6758"/>
    <w:rsid w:val="001D689B"/>
    <w:rsid w:val="001D6F23"/>
    <w:rsid w:val="001D78F7"/>
    <w:rsid w:val="001D795E"/>
    <w:rsid w:val="001E2DFB"/>
    <w:rsid w:val="001E42EF"/>
    <w:rsid w:val="001E4FC3"/>
    <w:rsid w:val="001F2F13"/>
    <w:rsid w:val="001F35FA"/>
    <w:rsid w:val="001F388B"/>
    <w:rsid w:val="001F3F55"/>
    <w:rsid w:val="001F4E68"/>
    <w:rsid w:val="001F5634"/>
    <w:rsid w:val="001F7CC6"/>
    <w:rsid w:val="0020127D"/>
    <w:rsid w:val="002036A7"/>
    <w:rsid w:val="00204106"/>
    <w:rsid w:val="00204D41"/>
    <w:rsid w:val="002061C2"/>
    <w:rsid w:val="0020677F"/>
    <w:rsid w:val="00214EA3"/>
    <w:rsid w:val="002165FE"/>
    <w:rsid w:val="00216773"/>
    <w:rsid w:val="00216856"/>
    <w:rsid w:val="00217637"/>
    <w:rsid w:val="002179DF"/>
    <w:rsid w:val="0022055E"/>
    <w:rsid w:val="00220D8F"/>
    <w:rsid w:val="00220E03"/>
    <w:rsid w:val="00221E63"/>
    <w:rsid w:val="002232A1"/>
    <w:rsid w:val="00223886"/>
    <w:rsid w:val="002241BE"/>
    <w:rsid w:val="00225CCB"/>
    <w:rsid w:val="00226012"/>
    <w:rsid w:val="002262BD"/>
    <w:rsid w:val="00226C40"/>
    <w:rsid w:val="00230DDF"/>
    <w:rsid w:val="00231BEB"/>
    <w:rsid w:val="00232CAC"/>
    <w:rsid w:val="00232CCF"/>
    <w:rsid w:val="00232D00"/>
    <w:rsid w:val="0023593B"/>
    <w:rsid w:val="002363DB"/>
    <w:rsid w:val="0023650E"/>
    <w:rsid w:val="00237417"/>
    <w:rsid w:val="00237C33"/>
    <w:rsid w:val="00240505"/>
    <w:rsid w:val="00241E32"/>
    <w:rsid w:val="00243FD9"/>
    <w:rsid w:val="002452C2"/>
    <w:rsid w:val="00246C6B"/>
    <w:rsid w:val="00250A0C"/>
    <w:rsid w:val="002514B4"/>
    <w:rsid w:val="00253E80"/>
    <w:rsid w:val="00254D94"/>
    <w:rsid w:val="0025758C"/>
    <w:rsid w:val="00260EAB"/>
    <w:rsid w:val="002613E8"/>
    <w:rsid w:val="002613E9"/>
    <w:rsid w:val="002615E9"/>
    <w:rsid w:val="00262460"/>
    <w:rsid w:val="002653A4"/>
    <w:rsid w:val="00265AB5"/>
    <w:rsid w:val="002666B4"/>
    <w:rsid w:val="00270B8D"/>
    <w:rsid w:val="00272081"/>
    <w:rsid w:val="002721FA"/>
    <w:rsid w:val="00275096"/>
    <w:rsid w:val="002758A9"/>
    <w:rsid w:val="002776FE"/>
    <w:rsid w:val="0027790A"/>
    <w:rsid w:val="00277A93"/>
    <w:rsid w:val="00284CE8"/>
    <w:rsid w:val="00287520"/>
    <w:rsid w:val="00287F1F"/>
    <w:rsid w:val="00290C53"/>
    <w:rsid w:val="00290DA4"/>
    <w:rsid w:val="002918F3"/>
    <w:rsid w:val="0029453D"/>
    <w:rsid w:val="00294700"/>
    <w:rsid w:val="00294DAA"/>
    <w:rsid w:val="00294E05"/>
    <w:rsid w:val="002A1EFC"/>
    <w:rsid w:val="002A55BF"/>
    <w:rsid w:val="002A657E"/>
    <w:rsid w:val="002A6843"/>
    <w:rsid w:val="002A7E9C"/>
    <w:rsid w:val="002B069E"/>
    <w:rsid w:val="002B16F1"/>
    <w:rsid w:val="002B46BF"/>
    <w:rsid w:val="002B4ED3"/>
    <w:rsid w:val="002B50D4"/>
    <w:rsid w:val="002B64A7"/>
    <w:rsid w:val="002B72F6"/>
    <w:rsid w:val="002C1329"/>
    <w:rsid w:val="002C2024"/>
    <w:rsid w:val="002C6084"/>
    <w:rsid w:val="002C6952"/>
    <w:rsid w:val="002C7AAD"/>
    <w:rsid w:val="002D0FE4"/>
    <w:rsid w:val="002D1C7B"/>
    <w:rsid w:val="002D1F8A"/>
    <w:rsid w:val="002D23E5"/>
    <w:rsid w:val="002D2548"/>
    <w:rsid w:val="002D41A1"/>
    <w:rsid w:val="002D4297"/>
    <w:rsid w:val="002D67CE"/>
    <w:rsid w:val="002D6D99"/>
    <w:rsid w:val="002D6E29"/>
    <w:rsid w:val="002E0A81"/>
    <w:rsid w:val="002E26F2"/>
    <w:rsid w:val="002E3AD3"/>
    <w:rsid w:val="002E4534"/>
    <w:rsid w:val="002E6721"/>
    <w:rsid w:val="002F0309"/>
    <w:rsid w:val="002F087C"/>
    <w:rsid w:val="002F0F4E"/>
    <w:rsid w:val="002F1BA3"/>
    <w:rsid w:val="002F25B9"/>
    <w:rsid w:val="002F33AA"/>
    <w:rsid w:val="002F41F7"/>
    <w:rsid w:val="002F7051"/>
    <w:rsid w:val="00300333"/>
    <w:rsid w:val="00300F88"/>
    <w:rsid w:val="0030210B"/>
    <w:rsid w:val="00303125"/>
    <w:rsid w:val="00304688"/>
    <w:rsid w:val="0030499E"/>
    <w:rsid w:val="0030583C"/>
    <w:rsid w:val="00306463"/>
    <w:rsid w:val="00306A8C"/>
    <w:rsid w:val="00307229"/>
    <w:rsid w:val="00307665"/>
    <w:rsid w:val="00311495"/>
    <w:rsid w:val="00311FC1"/>
    <w:rsid w:val="00312837"/>
    <w:rsid w:val="00313E3F"/>
    <w:rsid w:val="003147BF"/>
    <w:rsid w:val="0031481C"/>
    <w:rsid w:val="003148ED"/>
    <w:rsid w:val="003157E5"/>
    <w:rsid w:val="00320CC0"/>
    <w:rsid w:val="00322715"/>
    <w:rsid w:val="00322BB4"/>
    <w:rsid w:val="00322DDF"/>
    <w:rsid w:val="00322E30"/>
    <w:rsid w:val="0032451E"/>
    <w:rsid w:val="00324917"/>
    <w:rsid w:val="00324FD9"/>
    <w:rsid w:val="00325273"/>
    <w:rsid w:val="003259DB"/>
    <w:rsid w:val="00325EB7"/>
    <w:rsid w:val="00330CA3"/>
    <w:rsid w:val="00332F9E"/>
    <w:rsid w:val="00333D3D"/>
    <w:rsid w:val="00334038"/>
    <w:rsid w:val="003341E1"/>
    <w:rsid w:val="00334756"/>
    <w:rsid w:val="003357D2"/>
    <w:rsid w:val="0033654F"/>
    <w:rsid w:val="003365BD"/>
    <w:rsid w:val="00340085"/>
    <w:rsid w:val="00344407"/>
    <w:rsid w:val="00347BC9"/>
    <w:rsid w:val="003536E2"/>
    <w:rsid w:val="0035621E"/>
    <w:rsid w:val="00356382"/>
    <w:rsid w:val="003618BF"/>
    <w:rsid w:val="00362129"/>
    <w:rsid w:val="003639DC"/>
    <w:rsid w:val="00363E6B"/>
    <w:rsid w:val="00365AF4"/>
    <w:rsid w:val="0036756A"/>
    <w:rsid w:val="003676DD"/>
    <w:rsid w:val="0037044C"/>
    <w:rsid w:val="0037146E"/>
    <w:rsid w:val="003733CC"/>
    <w:rsid w:val="00373BDA"/>
    <w:rsid w:val="00375B69"/>
    <w:rsid w:val="00377E15"/>
    <w:rsid w:val="00381136"/>
    <w:rsid w:val="00382055"/>
    <w:rsid w:val="003847E6"/>
    <w:rsid w:val="003861D9"/>
    <w:rsid w:val="00386B3F"/>
    <w:rsid w:val="00390E8D"/>
    <w:rsid w:val="00391969"/>
    <w:rsid w:val="003954B8"/>
    <w:rsid w:val="0039596C"/>
    <w:rsid w:val="003962E2"/>
    <w:rsid w:val="00396CF5"/>
    <w:rsid w:val="00397621"/>
    <w:rsid w:val="00397AC1"/>
    <w:rsid w:val="003A3624"/>
    <w:rsid w:val="003A3715"/>
    <w:rsid w:val="003A6A7B"/>
    <w:rsid w:val="003A6D8C"/>
    <w:rsid w:val="003A7670"/>
    <w:rsid w:val="003B03F8"/>
    <w:rsid w:val="003B3337"/>
    <w:rsid w:val="003B3D20"/>
    <w:rsid w:val="003B3EEA"/>
    <w:rsid w:val="003B3F33"/>
    <w:rsid w:val="003B6995"/>
    <w:rsid w:val="003B7547"/>
    <w:rsid w:val="003B7580"/>
    <w:rsid w:val="003C0C50"/>
    <w:rsid w:val="003C3D34"/>
    <w:rsid w:val="003C403A"/>
    <w:rsid w:val="003C41E5"/>
    <w:rsid w:val="003C648E"/>
    <w:rsid w:val="003C6CAE"/>
    <w:rsid w:val="003C7542"/>
    <w:rsid w:val="003D02F9"/>
    <w:rsid w:val="003D03DD"/>
    <w:rsid w:val="003D587C"/>
    <w:rsid w:val="003D6A08"/>
    <w:rsid w:val="003D7E09"/>
    <w:rsid w:val="003E033C"/>
    <w:rsid w:val="003E0D3D"/>
    <w:rsid w:val="003E12F4"/>
    <w:rsid w:val="003E38E5"/>
    <w:rsid w:val="003E4DA9"/>
    <w:rsid w:val="003E5C3D"/>
    <w:rsid w:val="003F447C"/>
    <w:rsid w:val="003F6113"/>
    <w:rsid w:val="003F6D94"/>
    <w:rsid w:val="004021CE"/>
    <w:rsid w:val="00402A04"/>
    <w:rsid w:val="00404E57"/>
    <w:rsid w:val="00405F6C"/>
    <w:rsid w:val="004068B2"/>
    <w:rsid w:val="00406C9D"/>
    <w:rsid w:val="00406F59"/>
    <w:rsid w:val="0041133C"/>
    <w:rsid w:val="00413B96"/>
    <w:rsid w:val="00413E20"/>
    <w:rsid w:val="00413FC6"/>
    <w:rsid w:val="004154CC"/>
    <w:rsid w:val="0041647D"/>
    <w:rsid w:val="00416DC7"/>
    <w:rsid w:val="00421EC9"/>
    <w:rsid w:val="00421EE7"/>
    <w:rsid w:val="004229A7"/>
    <w:rsid w:val="004249DF"/>
    <w:rsid w:val="00425A30"/>
    <w:rsid w:val="00425B90"/>
    <w:rsid w:val="00426EEF"/>
    <w:rsid w:val="00427615"/>
    <w:rsid w:val="00430056"/>
    <w:rsid w:val="00430756"/>
    <w:rsid w:val="00430951"/>
    <w:rsid w:val="0043498C"/>
    <w:rsid w:val="00434B34"/>
    <w:rsid w:val="00434B9C"/>
    <w:rsid w:val="00434BF9"/>
    <w:rsid w:val="004367B5"/>
    <w:rsid w:val="00437A66"/>
    <w:rsid w:val="00437D41"/>
    <w:rsid w:val="004405E7"/>
    <w:rsid w:val="00442161"/>
    <w:rsid w:val="00442CA9"/>
    <w:rsid w:val="004433A3"/>
    <w:rsid w:val="00443CBB"/>
    <w:rsid w:val="004448DB"/>
    <w:rsid w:val="00444970"/>
    <w:rsid w:val="00447520"/>
    <w:rsid w:val="00447883"/>
    <w:rsid w:val="00447C9B"/>
    <w:rsid w:val="004511BD"/>
    <w:rsid w:val="004538F9"/>
    <w:rsid w:val="0045394A"/>
    <w:rsid w:val="00455E6D"/>
    <w:rsid w:val="00460BD9"/>
    <w:rsid w:val="004613B4"/>
    <w:rsid w:val="004624D8"/>
    <w:rsid w:val="00462536"/>
    <w:rsid w:val="004654FB"/>
    <w:rsid w:val="00465EAC"/>
    <w:rsid w:val="0046600B"/>
    <w:rsid w:val="00466CB8"/>
    <w:rsid w:val="0047105B"/>
    <w:rsid w:val="00472151"/>
    <w:rsid w:val="00473286"/>
    <w:rsid w:val="004776CA"/>
    <w:rsid w:val="004801B7"/>
    <w:rsid w:val="00484133"/>
    <w:rsid w:val="00485D1B"/>
    <w:rsid w:val="00486A9A"/>
    <w:rsid w:val="00487B7D"/>
    <w:rsid w:val="00487FC8"/>
    <w:rsid w:val="00490F32"/>
    <w:rsid w:val="00492154"/>
    <w:rsid w:val="00492799"/>
    <w:rsid w:val="00492A45"/>
    <w:rsid w:val="00492FE0"/>
    <w:rsid w:val="004943FB"/>
    <w:rsid w:val="00494488"/>
    <w:rsid w:val="00494FCF"/>
    <w:rsid w:val="00497120"/>
    <w:rsid w:val="00497E02"/>
    <w:rsid w:val="004A2976"/>
    <w:rsid w:val="004A4F95"/>
    <w:rsid w:val="004A5522"/>
    <w:rsid w:val="004A64CD"/>
    <w:rsid w:val="004B097F"/>
    <w:rsid w:val="004B2113"/>
    <w:rsid w:val="004B25A9"/>
    <w:rsid w:val="004B4D9D"/>
    <w:rsid w:val="004B5EB4"/>
    <w:rsid w:val="004B6CD1"/>
    <w:rsid w:val="004C0554"/>
    <w:rsid w:val="004C05AF"/>
    <w:rsid w:val="004C1BDE"/>
    <w:rsid w:val="004C263D"/>
    <w:rsid w:val="004C69E5"/>
    <w:rsid w:val="004C7E21"/>
    <w:rsid w:val="004D035E"/>
    <w:rsid w:val="004D0E31"/>
    <w:rsid w:val="004D1E1E"/>
    <w:rsid w:val="004D2252"/>
    <w:rsid w:val="004D3287"/>
    <w:rsid w:val="004D37D3"/>
    <w:rsid w:val="004D503E"/>
    <w:rsid w:val="004D73AF"/>
    <w:rsid w:val="004E251F"/>
    <w:rsid w:val="004E7008"/>
    <w:rsid w:val="004F108A"/>
    <w:rsid w:val="004F20C1"/>
    <w:rsid w:val="004F4063"/>
    <w:rsid w:val="004F43B6"/>
    <w:rsid w:val="004F44AE"/>
    <w:rsid w:val="004F45C2"/>
    <w:rsid w:val="004F614A"/>
    <w:rsid w:val="004F75DB"/>
    <w:rsid w:val="005115F6"/>
    <w:rsid w:val="0051161C"/>
    <w:rsid w:val="0051696C"/>
    <w:rsid w:val="00516E1E"/>
    <w:rsid w:val="005203AC"/>
    <w:rsid w:val="00523C97"/>
    <w:rsid w:val="005255BB"/>
    <w:rsid w:val="00527D0B"/>
    <w:rsid w:val="00530201"/>
    <w:rsid w:val="005310E3"/>
    <w:rsid w:val="00532D67"/>
    <w:rsid w:val="005355A9"/>
    <w:rsid w:val="00535BD2"/>
    <w:rsid w:val="00536C5F"/>
    <w:rsid w:val="005410FC"/>
    <w:rsid w:val="00541D68"/>
    <w:rsid w:val="005426F1"/>
    <w:rsid w:val="00543153"/>
    <w:rsid w:val="00544565"/>
    <w:rsid w:val="00544870"/>
    <w:rsid w:val="00544923"/>
    <w:rsid w:val="00544C85"/>
    <w:rsid w:val="0054562D"/>
    <w:rsid w:val="005461C3"/>
    <w:rsid w:val="005472B1"/>
    <w:rsid w:val="00550A75"/>
    <w:rsid w:val="005522B3"/>
    <w:rsid w:val="00553D1D"/>
    <w:rsid w:val="00557227"/>
    <w:rsid w:val="005605A3"/>
    <w:rsid w:val="0056233D"/>
    <w:rsid w:val="00565D15"/>
    <w:rsid w:val="00566F98"/>
    <w:rsid w:val="005671B7"/>
    <w:rsid w:val="00571C26"/>
    <w:rsid w:val="0057299E"/>
    <w:rsid w:val="00572DDA"/>
    <w:rsid w:val="0057307A"/>
    <w:rsid w:val="00573F65"/>
    <w:rsid w:val="00574AF8"/>
    <w:rsid w:val="00577CCC"/>
    <w:rsid w:val="00577E58"/>
    <w:rsid w:val="0058018C"/>
    <w:rsid w:val="005819E4"/>
    <w:rsid w:val="005847E9"/>
    <w:rsid w:val="00584969"/>
    <w:rsid w:val="005851A1"/>
    <w:rsid w:val="00586864"/>
    <w:rsid w:val="00592012"/>
    <w:rsid w:val="00596741"/>
    <w:rsid w:val="0059735D"/>
    <w:rsid w:val="005A3976"/>
    <w:rsid w:val="005A3A03"/>
    <w:rsid w:val="005A4740"/>
    <w:rsid w:val="005A5003"/>
    <w:rsid w:val="005A7B04"/>
    <w:rsid w:val="005B2951"/>
    <w:rsid w:val="005B2A6C"/>
    <w:rsid w:val="005B2C44"/>
    <w:rsid w:val="005B3C1C"/>
    <w:rsid w:val="005B562A"/>
    <w:rsid w:val="005B6221"/>
    <w:rsid w:val="005C0609"/>
    <w:rsid w:val="005C0655"/>
    <w:rsid w:val="005C0DB2"/>
    <w:rsid w:val="005C14C3"/>
    <w:rsid w:val="005C15C2"/>
    <w:rsid w:val="005C3102"/>
    <w:rsid w:val="005C4BC2"/>
    <w:rsid w:val="005C53D5"/>
    <w:rsid w:val="005C6684"/>
    <w:rsid w:val="005C6E02"/>
    <w:rsid w:val="005C7AB1"/>
    <w:rsid w:val="005C7EBC"/>
    <w:rsid w:val="005D0172"/>
    <w:rsid w:val="005D18DD"/>
    <w:rsid w:val="005D1B1C"/>
    <w:rsid w:val="005D4B3D"/>
    <w:rsid w:val="005D7A57"/>
    <w:rsid w:val="005E1122"/>
    <w:rsid w:val="005E16E8"/>
    <w:rsid w:val="005E31AD"/>
    <w:rsid w:val="005E5111"/>
    <w:rsid w:val="005E5CB9"/>
    <w:rsid w:val="005E6304"/>
    <w:rsid w:val="005E7393"/>
    <w:rsid w:val="005F0495"/>
    <w:rsid w:val="005F0FE4"/>
    <w:rsid w:val="005F331F"/>
    <w:rsid w:val="005F5871"/>
    <w:rsid w:val="005F5FD4"/>
    <w:rsid w:val="005F638C"/>
    <w:rsid w:val="005F6C1F"/>
    <w:rsid w:val="005F7460"/>
    <w:rsid w:val="00600EAD"/>
    <w:rsid w:val="00601400"/>
    <w:rsid w:val="00602DC3"/>
    <w:rsid w:val="006047F6"/>
    <w:rsid w:val="00606BB4"/>
    <w:rsid w:val="00610756"/>
    <w:rsid w:val="00612E69"/>
    <w:rsid w:val="00614854"/>
    <w:rsid w:val="00615760"/>
    <w:rsid w:val="00616296"/>
    <w:rsid w:val="006163D2"/>
    <w:rsid w:val="00616830"/>
    <w:rsid w:val="00617F08"/>
    <w:rsid w:val="00620C97"/>
    <w:rsid w:val="00621042"/>
    <w:rsid w:val="00622E5B"/>
    <w:rsid w:val="00624849"/>
    <w:rsid w:val="00632A05"/>
    <w:rsid w:val="0063336F"/>
    <w:rsid w:val="0063371D"/>
    <w:rsid w:val="006337D8"/>
    <w:rsid w:val="00634BC5"/>
    <w:rsid w:val="0064029C"/>
    <w:rsid w:val="00640422"/>
    <w:rsid w:val="00640544"/>
    <w:rsid w:val="00643184"/>
    <w:rsid w:val="0064338E"/>
    <w:rsid w:val="006443AA"/>
    <w:rsid w:val="00644D8B"/>
    <w:rsid w:val="00644E20"/>
    <w:rsid w:val="00646C12"/>
    <w:rsid w:val="00647F00"/>
    <w:rsid w:val="00651ECD"/>
    <w:rsid w:val="0065266D"/>
    <w:rsid w:val="0065369E"/>
    <w:rsid w:val="006544FD"/>
    <w:rsid w:val="00654695"/>
    <w:rsid w:val="00654A02"/>
    <w:rsid w:val="006602A2"/>
    <w:rsid w:val="00660A99"/>
    <w:rsid w:val="00661CB9"/>
    <w:rsid w:val="0066383A"/>
    <w:rsid w:val="006645B0"/>
    <w:rsid w:val="00664DCA"/>
    <w:rsid w:val="0066711F"/>
    <w:rsid w:val="00667284"/>
    <w:rsid w:val="006672FB"/>
    <w:rsid w:val="00670390"/>
    <w:rsid w:val="0067241F"/>
    <w:rsid w:val="00672642"/>
    <w:rsid w:val="00673F3C"/>
    <w:rsid w:val="00673F4C"/>
    <w:rsid w:val="00674175"/>
    <w:rsid w:val="0067428C"/>
    <w:rsid w:val="00676B22"/>
    <w:rsid w:val="00682194"/>
    <w:rsid w:val="006830B0"/>
    <w:rsid w:val="006869E7"/>
    <w:rsid w:val="00691136"/>
    <w:rsid w:val="00692986"/>
    <w:rsid w:val="00693D4D"/>
    <w:rsid w:val="00693E75"/>
    <w:rsid w:val="0069440C"/>
    <w:rsid w:val="00695318"/>
    <w:rsid w:val="006958EB"/>
    <w:rsid w:val="00696505"/>
    <w:rsid w:val="0069687E"/>
    <w:rsid w:val="006975AA"/>
    <w:rsid w:val="006976A9"/>
    <w:rsid w:val="00697E67"/>
    <w:rsid w:val="006A0D00"/>
    <w:rsid w:val="006A2345"/>
    <w:rsid w:val="006A25EE"/>
    <w:rsid w:val="006A2CC6"/>
    <w:rsid w:val="006A2FF4"/>
    <w:rsid w:val="006A35F6"/>
    <w:rsid w:val="006B16FD"/>
    <w:rsid w:val="006B32AF"/>
    <w:rsid w:val="006B3900"/>
    <w:rsid w:val="006B48EF"/>
    <w:rsid w:val="006B61B2"/>
    <w:rsid w:val="006B7251"/>
    <w:rsid w:val="006B72B5"/>
    <w:rsid w:val="006B7741"/>
    <w:rsid w:val="006C0408"/>
    <w:rsid w:val="006C3142"/>
    <w:rsid w:val="006C3A5F"/>
    <w:rsid w:val="006C4F26"/>
    <w:rsid w:val="006C6B30"/>
    <w:rsid w:val="006D18BE"/>
    <w:rsid w:val="006D2E8C"/>
    <w:rsid w:val="006D4535"/>
    <w:rsid w:val="006D4D3F"/>
    <w:rsid w:val="006D5456"/>
    <w:rsid w:val="006D5BA6"/>
    <w:rsid w:val="006D6258"/>
    <w:rsid w:val="006D6F25"/>
    <w:rsid w:val="006D75C6"/>
    <w:rsid w:val="006D7FB5"/>
    <w:rsid w:val="006E16AE"/>
    <w:rsid w:val="006E1B78"/>
    <w:rsid w:val="006E2516"/>
    <w:rsid w:val="006E3112"/>
    <w:rsid w:val="006E528E"/>
    <w:rsid w:val="006E77D0"/>
    <w:rsid w:val="006F0AEC"/>
    <w:rsid w:val="006F2B47"/>
    <w:rsid w:val="006F2B90"/>
    <w:rsid w:val="006F6037"/>
    <w:rsid w:val="006F7F76"/>
    <w:rsid w:val="00701868"/>
    <w:rsid w:val="007020DE"/>
    <w:rsid w:val="00702F1B"/>
    <w:rsid w:val="007034B8"/>
    <w:rsid w:val="00706029"/>
    <w:rsid w:val="007066E8"/>
    <w:rsid w:val="00706871"/>
    <w:rsid w:val="00707717"/>
    <w:rsid w:val="00714DA1"/>
    <w:rsid w:val="0071608A"/>
    <w:rsid w:val="00720288"/>
    <w:rsid w:val="00721DF9"/>
    <w:rsid w:val="00723185"/>
    <w:rsid w:val="0072326C"/>
    <w:rsid w:val="00724388"/>
    <w:rsid w:val="00724415"/>
    <w:rsid w:val="00725BB2"/>
    <w:rsid w:val="00727822"/>
    <w:rsid w:val="00727DB3"/>
    <w:rsid w:val="00732397"/>
    <w:rsid w:val="007323A7"/>
    <w:rsid w:val="00732AEE"/>
    <w:rsid w:val="00733268"/>
    <w:rsid w:val="00733558"/>
    <w:rsid w:val="00733AFD"/>
    <w:rsid w:val="0073519D"/>
    <w:rsid w:val="00736484"/>
    <w:rsid w:val="00737752"/>
    <w:rsid w:val="00741058"/>
    <w:rsid w:val="00742BB8"/>
    <w:rsid w:val="0074472A"/>
    <w:rsid w:val="007460B6"/>
    <w:rsid w:val="007464E1"/>
    <w:rsid w:val="007467EA"/>
    <w:rsid w:val="007504DA"/>
    <w:rsid w:val="00750F3C"/>
    <w:rsid w:val="0075164D"/>
    <w:rsid w:val="00751F92"/>
    <w:rsid w:val="0075300E"/>
    <w:rsid w:val="007544BF"/>
    <w:rsid w:val="00754C2D"/>
    <w:rsid w:val="0076157B"/>
    <w:rsid w:val="0076260B"/>
    <w:rsid w:val="0076465C"/>
    <w:rsid w:val="007675A6"/>
    <w:rsid w:val="00771D64"/>
    <w:rsid w:val="007722A5"/>
    <w:rsid w:val="00774036"/>
    <w:rsid w:val="00774695"/>
    <w:rsid w:val="00774BF7"/>
    <w:rsid w:val="00774EA3"/>
    <w:rsid w:val="0077645B"/>
    <w:rsid w:val="0078131C"/>
    <w:rsid w:val="007815B3"/>
    <w:rsid w:val="00781671"/>
    <w:rsid w:val="00781C3B"/>
    <w:rsid w:val="0078284F"/>
    <w:rsid w:val="00784B95"/>
    <w:rsid w:val="00784FEF"/>
    <w:rsid w:val="00785E8F"/>
    <w:rsid w:val="007871D1"/>
    <w:rsid w:val="0079019A"/>
    <w:rsid w:val="0079207E"/>
    <w:rsid w:val="00792901"/>
    <w:rsid w:val="00792D3F"/>
    <w:rsid w:val="00793DC7"/>
    <w:rsid w:val="007942E4"/>
    <w:rsid w:val="007947F5"/>
    <w:rsid w:val="00796021"/>
    <w:rsid w:val="0079628A"/>
    <w:rsid w:val="00797105"/>
    <w:rsid w:val="00797CE2"/>
    <w:rsid w:val="007A1D30"/>
    <w:rsid w:val="007A5023"/>
    <w:rsid w:val="007A54C3"/>
    <w:rsid w:val="007A6A79"/>
    <w:rsid w:val="007B0698"/>
    <w:rsid w:val="007B091D"/>
    <w:rsid w:val="007B1728"/>
    <w:rsid w:val="007B5C82"/>
    <w:rsid w:val="007B659B"/>
    <w:rsid w:val="007B67B7"/>
    <w:rsid w:val="007C070E"/>
    <w:rsid w:val="007C1B19"/>
    <w:rsid w:val="007C2CC7"/>
    <w:rsid w:val="007C322D"/>
    <w:rsid w:val="007C45F8"/>
    <w:rsid w:val="007C5E54"/>
    <w:rsid w:val="007C7D35"/>
    <w:rsid w:val="007D0166"/>
    <w:rsid w:val="007D080F"/>
    <w:rsid w:val="007D23B0"/>
    <w:rsid w:val="007D25C0"/>
    <w:rsid w:val="007D34E1"/>
    <w:rsid w:val="007E030B"/>
    <w:rsid w:val="007E035A"/>
    <w:rsid w:val="007E0817"/>
    <w:rsid w:val="007E1EA9"/>
    <w:rsid w:val="007E25AD"/>
    <w:rsid w:val="007E281F"/>
    <w:rsid w:val="007E3529"/>
    <w:rsid w:val="007E3C32"/>
    <w:rsid w:val="007E4ED4"/>
    <w:rsid w:val="007F0C41"/>
    <w:rsid w:val="007F12A3"/>
    <w:rsid w:val="007F1B67"/>
    <w:rsid w:val="007F22DC"/>
    <w:rsid w:val="007F3482"/>
    <w:rsid w:val="007F3962"/>
    <w:rsid w:val="007F3AF9"/>
    <w:rsid w:val="007F434D"/>
    <w:rsid w:val="0080023D"/>
    <w:rsid w:val="0080172E"/>
    <w:rsid w:val="00801A56"/>
    <w:rsid w:val="008021C4"/>
    <w:rsid w:val="0080317C"/>
    <w:rsid w:val="00807B3E"/>
    <w:rsid w:val="008115DB"/>
    <w:rsid w:val="00811B81"/>
    <w:rsid w:val="008123E6"/>
    <w:rsid w:val="00812964"/>
    <w:rsid w:val="00814809"/>
    <w:rsid w:val="00816453"/>
    <w:rsid w:val="00817D55"/>
    <w:rsid w:val="00817D71"/>
    <w:rsid w:val="008206C3"/>
    <w:rsid w:val="00820ED1"/>
    <w:rsid w:val="00821F22"/>
    <w:rsid w:val="00821F86"/>
    <w:rsid w:val="00825C33"/>
    <w:rsid w:val="0082697E"/>
    <w:rsid w:val="00827FB1"/>
    <w:rsid w:val="0083025B"/>
    <w:rsid w:val="00830AA0"/>
    <w:rsid w:val="00830E7C"/>
    <w:rsid w:val="0083107C"/>
    <w:rsid w:val="00831C23"/>
    <w:rsid w:val="00831F13"/>
    <w:rsid w:val="00832053"/>
    <w:rsid w:val="008332B8"/>
    <w:rsid w:val="008364C4"/>
    <w:rsid w:val="00836576"/>
    <w:rsid w:val="008368EC"/>
    <w:rsid w:val="008422B3"/>
    <w:rsid w:val="00842FDA"/>
    <w:rsid w:val="008437DB"/>
    <w:rsid w:val="0084388C"/>
    <w:rsid w:val="00843DA4"/>
    <w:rsid w:val="00844333"/>
    <w:rsid w:val="0084511A"/>
    <w:rsid w:val="0084562A"/>
    <w:rsid w:val="00847075"/>
    <w:rsid w:val="00847E35"/>
    <w:rsid w:val="00847FAD"/>
    <w:rsid w:val="008504C1"/>
    <w:rsid w:val="00850550"/>
    <w:rsid w:val="0085095B"/>
    <w:rsid w:val="00853432"/>
    <w:rsid w:val="008536A1"/>
    <w:rsid w:val="00853D7F"/>
    <w:rsid w:val="00855129"/>
    <w:rsid w:val="00856E13"/>
    <w:rsid w:val="00860DFD"/>
    <w:rsid w:val="00862EE1"/>
    <w:rsid w:val="00863A3E"/>
    <w:rsid w:val="00863C4F"/>
    <w:rsid w:val="00864015"/>
    <w:rsid w:val="0086435D"/>
    <w:rsid w:val="008645A6"/>
    <w:rsid w:val="00864F2B"/>
    <w:rsid w:val="00865B3D"/>
    <w:rsid w:val="008664BB"/>
    <w:rsid w:val="00866EAB"/>
    <w:rsid w:val="00870524"/>
    <w:rsid w:val="0087309D"/>
    <w:rsid w:val="008737CF"/>
    <w:rsid w:val="00873C6A"/>
    <w:rsid w:val="00873C6D"/>
    <w:rsid w:val="008750FA"/>
    <w:rsid w:val="00875E52"/>
    <w:rsid w:val="008765B3"/>
    <w:rsid w:val="008801FF"/>
    <w:rsid w:val="00882093"/>
    <w:rsid w:val="008823B1"/>
    <w:rsid w:val="00882867"/>
    <w:rsid w:val="0088312E"/>
    <w:rsid w:val="00885406"/>
    <w:rsid w:val="00885485"/>
    <w:rsid w:val="00885E35"/>
    <w:rsid w:val="0088614C"/>
    <w:rsid w:val="00886AE7"/>
    <w:rsid w:val="00886B75"/>
    <w:rsid w:val="00886C16"/>
    <w:rsid w:val="00890562"/>
    <w:rsid w:val="00892637"/>
    <w:rsid w:val="00897F35"/>
    <w:rsid w:val="00897FD0"/>
    <w:rsid w:val="008A2D2E"/>
    <w:rsid w:val="008A37A8"/>
    <w:rsid w:val="008A3F0E"/>
    <w:rsid w:val="008A4901"/>
    <w:rsid w:val="008A6814"/>
    <w:rsid w:val="008A75E9"/>
    <w:rsid w:val="008A7BAE"/>
    <w:rsid w:val="008B35BC"/>
    <w:rsid w:val="008B61A9"/>
    <w:rsid w:val="008B68D9"/>
    <w:rsid w:val="008C0084"/>
    <w:rsid w:val="008C09C0"/>
    <w:rsid w:val="008C283D"/>
    <w:rsid w:val="008C311D"/>
    <w:rsid w:val="008C33A1"/>
    <w:rsid w:val="008C4718"/>
    <w:rsid w:val="008C475C"/>
    <w:rsid w:val="008C4B83"/>
    <w:rsid w:val="008C4F75"/>
    <w:rsid w:val="008C5388"/>
    <w:rsid w:val="008C59F1"/>
    <w:rsid w:val="008C6319"/>
    <w:rsid w:val="008C6951"/>
    <w:rsid w:val="008C6FA4"/>
    <w:rsid w:val="008C7B4C"/>
    <w:rsid w:val="008C7F56"/>
    <w:rsid w:val="008D4880"/>
    <w:rsid w:val="008D4C29"/>
    <w:rsid w:val="008D65A8"/>
    <w:rsid w:val="008D66E7"/>
    <w:rsid w:val="008D6A67"/>
    <w:rsid w:val="008D71F7"/>
    <w:rsid w:val="008E01D6"/>
    <w:rsid w:val="008E0AAA"/>
    <w:rsid w:val="008E55AA"/>
    <w:rsid w:val="008E604A"/>
    <w:rsid w:val="008F140F"/>
    <w:rsid w:val="008F4BC7"/>
    <w:rsid w:val="008F646C"/>
    <w:rsid w:val="009013EA"/>
    <w:rsid w:val="00902AD5"/>
    <w:rsid w:val="0090457B"/>
    <w:rsid w:val="0090466E"/>
    <w:rsid w:val="00904F77"/>
    <w:rsid w:val="00905E7C"/>
    <w:rsid w:val="00905F34"/>
    <w:rsid w:val="00905FC0"/>
    <w:rsid w:val="00906121"/>
    <w:rsid w:val="00906263"/>
    <w:rsid w:val="009075B1"/>
    <w:rsid w:val="00907722"/>
    <w:rsid w:val="00910C16"/>
    <w:rsid w:val="00911DA2"/>
    <w:rsid w:val="00912CC5"/>
    <w:rsid w:val="009166D7"/>
    <w:rsid w:val="00917524"/>
    <w:rsid w:val="009202C0"/>
    <w:rsid w:val="009213FE"/>
    <w:rsid w:val="009219A1"/>
    <w:rsid w:val="0092218C"/>
    <w:rsid w:val="00922415"/>
    <w:rsid w:val="009238C9"/>
    <w:rsid w:val="009251D7"/>
    <w:rsid w:val="00925874"/>
    <w:rsid w:val="00927993"/>
    <w:rsid w:val="00927BE8"/>
    <w:rsid w:val="00927D72"/>
    <w:rsid w:val="0093077D"/>
    <w:rsid w:val="00930CB8"/>
    <w:rsid w:val="00930ED6"/>
    <w:rsid w:val="0093327B"/>
    <w:rsid w:val="00933A4C"/>
    <w:rsid w:val="00933DE3"/>
    <w:rsid w:val="00934592"/>
    <w:rsid w:val="00935761"/>
    <w:rsid w:val="0093615A"/>
    <w:rsid w:val="00936C96"/>
    <w:rsid w:val="00936F89"/>
    <w:rsid w:val="009406A8"/>
    <w:rsid w:val="00940F03"/>
    <w:rsid w:val="009418A5"/>
    <w:rsid w:val="00943E49"/>
    <w:rsid w:val="009475D3"/>
    <w:rsid w:val="00950572"/>
    <w:rsid w:val="00950B82"/>
    <w:rsid w:val="00951646"/>
    <w:rsid w:val="009521CC"/>
    <w:rsid w:val="009536F7"/>
    <w:rsid w:val="00955EB7"/>
    <w:rsid w:val="00956C08"/>
    <w:rsid w:val="0096102C"/>
    <w:rsid w:val="0096200C"/>
    <w:rsid w:val="00963859"/>
    <w:rsid w:val="00964BE0"/>
    <w:rsid w:val="00967470"/>
    <w:rsid w:val="00971F75"/>
    <w:rsid w:val="0097602D"/>
    <w:rsid w:val="009813BA"/>
    <w:rsid w:val="00981511"/>
    <w:rsid w:val="009816EE"/>
    <w:rsid w:val="00982F0B"/>
    <w:rsid w:val="0098324F"/>
    <w:rsid w:val="00983814"/>
    <w:rsid w:val="0098449E"/>
    <w:rsid w:val="00985D12"/>
    <w:rsid w:val="00986023"/>
    <w:rsid w:val="00986101"/>
    <w:rsid w:val="00987B33"/>
    <w:rsid w:val="00991DAA"/>
    <w:rsid w:val="00991F95"/>
    <w:rsid w:val="009932B0"/>
    <w:rsid w:val="009952CF"/>
    <w:rsid w:val="009957D3"/>
    <w:rsid w:val="00995A03"/>
    <w:rsid w:val="00997A36"/>
    <w:rsid w:val="009A1B55"/>
    <w:rsid w:val="009A2807"/>
    <w:rsid w:val="009A3EF1"/>
    <w:rsid w:val="009A408E"/>
    <w:rsid w:val="009A444E"/>
    <w:rsid w:val="009A5419"/>
    <w:rsid w:val="009B0A3F"/>
    <w:rsid w:val="009B1A83"/>
    <w:rsid w:val="009B2C07"/>
    <w:rsid w:val="009B2EBB"/>
    <w:rsid w:val="009B4254"/>
    <w:rsid w:val="009B4760"/>
    <w:rsid w:val="009B5899"/>
    <w:rsid w:val="009B6EF3"/>
    <w:rsid w:val="009C0A3B"/>
    <w:rsid w:val="009C1B64"/>
    <w:rsid w:val="009C2401"/>
    <w:rsid w:val="009C420B"/>
    <w:rsid w:val="009C5D79"/>
    <w:rsid w:val="009C62B8"/>
    <w:rsid w:val="009C70E3"/>
    <w:rsid w:val="009D0EDB"/>
    <w:rsid w:val="009D23FC"/>
    <w:rsid w:val="009D2B1C"/>
    <w:rsid w:val="009D52C5"/>
    <w:rsid w:val="009D64A1"/>
    <w:rsid w:val="009D684E"/>
    <w:rsid w:val="009E0759"/>
    <w:rsid w:val="009E0C4E"/>
    <w:rsid w:val="009E0ECD"/>
    <w:rsid w:val="009E17AA"/>
    <w:rsid w:val="009E2185"/>
    <w:rsid w:val="009E21AA"/>
    <w:rsid w:val="009E2341"/>
    <w:rsid w:val="009E2620"/>
    <w:rsid w:val="009E4B61"/>
    <w:rsid w:val="009E534D"/>
    <w:rsid w:val="009E6CE3"/>
    <w:rsid w:val="009E708C"/>
    <w:rsid w:val="009F0C27"/>
    <w:rsid w:val="009F0C2D"/>
    <w:rsid w:val="009F483A"/>
    <w:rsid w:val="009F527B"/>
    <w:rsid w:val="009F61A3"/>
    <w:rsid w:val="009F6D4F"/>
    <w:rsid w:val="00A00843"/>
    <w:rsid w:val="00A03BAD"/>
    <w:rsid w:val="00A0702F"/>
    <w:rsid w:val="00A0776D"/>
    <w:rsid w:val="00A10188"/>
    <w:rsid w:val="00A14623"/>
    <w:rsid w:val="00A15780"/>
    <w:rsid w:val="00A16263"/>
    <w:rsid w:val="00A162FC"/>
    <w:rsid w:val="00A21748"/>
    <w:rsid w:val="00A2249C"/>
    <w:rsid w:val="00A22CF9"/>
    <w:rsid w:val="00A24587"/>
    <w:rsid w:val="00A26042"/>
    <w:rsid w:val="00A26738"/>
    <w:rsid w:val="00A26900"/>
    <w:rsid w:val="00A27E05"/>
    <w:rsid w:val="00A27F48"/>
    <w:rsid w:val="00A3029E"/>
    <w:rsid w:val="00A3462D"/>
    <w:rsid w:val="00A346B8"/>
    <w:rsid w:val="00A35FAF"/>
    <w:rsid w:val="00A36906"/>
    <w:rsid w:val="00A37DFB"/>
    <w:rsid w:val="00A40100"/>
    <w:rsid w:val="00A40DEE"/>
    <w:rsid w:val="00A40E73"/>
    <w:rsid w:val="00A41B8C"/>
    <w:rsid w:val="00A4327B"/>
    <w:rsid w:val="00A435AE"/>
    <w:rsid w:val="00A4533C"/>
    <w:rsid w:val="00A47A36"/>
    <w:rsid w:val="00A47B2B"/>
    <w:rsid w:val="00A47CDE"/>
    <w:rsid w:val="00A47F38"/>
    <w:rsid w:val="00A47FB5"/>
    <w:rsid w:val="00A505E5"/>
    <w:rsid w:val="00A50929"/>
    <w:rsid w:val="00A5228B"/>
    <w:rsid w:val="00A5498B"/>
    <w:rsid w:val="00A56451"/>
    <w:rsid w:val="00A57042"/>
    <w:rsid w:val="00A57829"/>
    <w:rsid w:val="00A579DC"/>
    <w:rsid w:val="00A60F37"/>
    <w:rsid w:val="00A64435"/>
    <w:rsid w:val="00A7315E"/>
    <w:rsid w:val="00A766D0"/>
    <w:rsid w:val="00A76EB6"/>
    <w:rsid w:val="00A8061F"/>
    <w:rsid w:val="00A8171A"/>
    <w:rsid w:val="00A82F6E"/>
    <w:rsid w:val="00A83847"/>
    <w:rsid w:val="00A83C2F"/>
    <w:rsid w:val="00A9110E"/>
    <w:rsid w:val="00A9175F"/>
    <w:rsid w:val="00A92095"/>
    <w:rsid w:val="00A94D8F"/>
    <w:rsid w:val="00A94EAC"/>
    <w:rsid w:val="00A95E4C"/>
    <w:rsid w:val="00A97AAD"/>
    <w:rsid w:val="00AA321A"/>
    <w:rsid w:val="00AA36B7"/>
    <w:rsid w:val="00AA4B96"/>
    <w:rsid w:val="00AA5257"/>
    <w:rsid w:val="00AB090C"/>
    <w:rsid w:val="00AB16C0"/>
    <w:rsid w:val="00AB2D82"/>
    <w:rsid w:val="00AB4B7F"/>
    <w:rsid w:val="00AB5ADB"/>
    <w:rsid w:val="00AC038E"/>
    <w:rsid w:val="00AC1BA4"/>
    <w:rsid w:val="00AC20DA"/>
    <w:rsid w:val="00AC2916"/>
    <w:rsid w:val="00AC2D7D"/>
    <w:rsid w:val="00AC2F2D"/>
    <w:rsid w:val="00AC3856"/>
    <w:rsid w:val="00AC3BE2"/>
    <w:rsid w:val="00AC7305"/>
    <w:rsid w:val="00AC78AE"/>
    <w:rsid w:val="00AD085D"/>
    <w:rsid w:val="00AD1E0A"/>
    <w:rsid w:val="00AD2081"/>
    <w:rsid w:val="00AD2A8C"/>
    <w:rsid w:val="00AD346E"/>
    <w:rsid w:val="00AD4C5C"/>
    <w:rsid w:val="00AD5303"/>
    <w:rsid w:val="00AD6243"/>
    <w:rsid w:val="00AD741F"/>
    <w:rsid w:val="00AE2205"/>
    <w:rsid w:val="00AE35F4"/>
    <w:rsid w:val="00AE3B8D"/>
    <w:rsid w:val="00AE5EDB"/>
    <w:rsid w:val="00AF0562"/>
    <w:rsid w:val="00AF185C"/>
    <w:rsid w:val="00AF2301"/>
    <w:rsid w:val="00AF237A"/>
    <w:rsid w:val="00AF5676"/>
    <w:rsid w:val="00AF7B11"/>
    <w:rsid w:val="00B02A1E"/>
    <w:rsid w:val="00B03F39"/>
    <w:rsid w:val="00B04B1C"/>
    <w:rsid w:val="00B06AC0"/>
    <w:rsid w:val="00B06B22"/>
    <w:rsid w:val="00B070A7"/>
    <w:rsid w:val="00B07365"/>
    <w:rsid w:val="00B07C47"/>
    <w:rsid w:val="00B10457"/>
    <w:rsid w:val="00B105B6"/>
    <w:rsid w:val="00B105BF"/>
    <w:rsid w:val="00B111FD"/>
    <w:rsid w:val="00B11238"/>
    <w:rsid w:val="00B11AF3"/>
    <w:rsid w:val="00B1298D"/>
    <w:rsid w:val="00B1465C"/>
    <w:rsid w:val="00B14908"/>
    <w:rsid w:val="00B153AC"/>
    <w:rsid w:val="00B15FA3"/>
    <w:rsid w:val="00B17DFC"/>
    <w:rsid w:val="00B201E6"/>
    <w:rsid w:val="00B209DA"/>
    <w:rsid w:val="00B21183"/>
    <w:rsid w:val="00B212C7"/>
    <w:rsid w:val="00B2233C"/>
    <w:rsid w:val="00B2696D"/>
    <w:rsid w:val="00B27C98"/>
    <w:rsid w:val="00B31532"/>
    <w:rsid w:val="00B32572"/>
    <w:rsid w:val="00B343F4"/>
    <w:rsid w:val="00B353BE"/>
    <w:rsid w:val="00B36782"/>
    <w:rsid w:val="00B40737"/>
    <w:rsid w:val="00B409A5"/>
    <w:rsid w:val="00B4282C"/>
    <w:rsid w:val="00B437A5"/>
    <w:rsid w:val="00B449D9"/>
    <w:rsid w:val="00B45D4D"/>
    <w:rsid w:val="00B47727"/>
    <w:rsid w:val="00B47E5B"/>
    <w:rsid w:val="00B47F5A"/>
    <w:rsid w:val="00B53FE0"/>
    <w:rsid w:val="00B54BAA"/>
    <w:rsid w:val="00B562E3"/>
    <w:rsid w:val="00B56E33"/>
    <w:rsid w:val="00B625B9"/>
    <w:rsid w:val="00B63D38"/>
    <w:rsid w:val="00B64FA9"/>
    <w:rsid w:val="00B66B15"/>
    <w:rsid w:val="00B66C58"/>
    <w:rsid w:val="00B7161B"/>
    <w:rsid w:val="00B7358F"/>
    <w:rsid w:val="00B73CA3"/>
    <w:rsid w:val="00B7515A"/>
    <w:rsid w:val="00B7619B"/>
    <w:rsid w:val="00B7786F"/>
    <w:rsid w:val="00B804B5"/>
    <w:rsid w:val="00B82232"/>
    <w:rsid w:val="00B82B0C"/>
    <w:rsid w:val="00B83299"/>
    <w:rsid w:val="00B853B1"/>
    <w:rsid w:val="00B85B2C"/>
    <w:rsid w:val="00B8637D"/>
    <w:rsid w:val="00B866C1"/>
    <w:rsid w:val="00B878E5"/>
    <w:rsid w:val="00B913ED"/>
    <w:rsid w:val="00B91BD3"/>
    <w:rsid w:val="00B91DF6"/>
    <w:rsid w:val="00B92899"/>
    <w:rsid w:val="00B92A2E"/>
    <w:rsid w:val="00B92B48"/>
    <w:rsid w:val="00B930F9"/>
    <w:rsid w:val="00B93D06"/>
    <w:rsid w:val="00B94296"/>
    <w:rsid w:val="00B948F3"/>
    <w:rsid w:val="00B95226"/>
    <w:rsid w:val="00B97997"/>
    <w:rsid w:val="00BA0346"/>
    <w:rsid w:val="00BA0D53"/>
    <w:rsid w:val="00BA0F97"/>
    <w:rsid w:val="00BA3902"/>
    <w:rsid w:val="00BA44C8"/>
    <w:rsid w:val="00BA7E3B"/>
    <w:rsid w:val="00BB167F"/>
    <w:rsid w:val="00BB2F12"/>
    <w:rsid w:val="00BB3928"/>
    <w:rsid w:val="00BB3F4C"/>
    <w:rsid w:val="00BB43A0"/>
    <w:rsid w:val="00BB6C58"/>
    <w:rsid w:val="00BB7778"/>
    <w:rsid w:val="00BB798D"/>
    <w:rsid w:val="00BB7D5E"/>
    <w:rsid w:val="00BC0561"/>
    <w:rsid w:val="00BC1B50"/>
    <w:rsid w:val="00BC5BD5"/>
    <w:rsid w:val="00BD1562"/>
    <w:rsid w:val="00BD27EB"/>
    <w:rsid w:val="00BD2ACB"/>
    <w:rsid w:val="00BD2EB1"/>
    <w:rsid w:val="00BD3F57"/>
    <w:rsid w:val="00BD42EB"/>
    <w:rsid w:val="00BD4430"/>
    <w:rsid w:val="00BD5C7C"/>
    <w:rsid w:val="00BD7574"/>
    <w:rsid w:val="00BE05CF"/>
    <w:rsid w:val="00BE2029"/>
    <w:rsid w:val="00BE4824"/>
    <w:rsid w:val="00BE5438"/>
    <w:rsid w:val="00BE6187"/>
    <w:rsid w:val="00BE6C84"/>
    <w:rsid w:val="00BE7E0D"/>
    <w:rsid w:val="00BF0BFE"/>
    <w:rsid w:val="00BF16D0"/>
    <w:rsid w:val="00BF3845"/>
    <w:rsid w:val="00BF3A85"/>
    <w:rsid w:val="00BF4BEC"/>
    <w:rsid w:val="00BF4CCA"/>
    <w:rsid w:val="00BF5129"/>
    <w:rsid w:val="00BF54F5"/>
    <w:rsid w:val="00BF67D0"/>
    <w:rsid w:val="00BF68CD"/>
    <w:rsid w:val="00C01AB4"/>
    <w:rsid w:val="00C021F8"/>
    <w:rsid w:val="00C02AA6"/>
    <w:rsid w:val="00C05708"/>
    <w:rsid w:val="00C05731"/>
    <w:rsid w:val="00C06DE9"/>
    <w:rsid w:val="00C07DC0"/>
    <w:rsid w:val="00C13E26"/>
    <w:rsid w:val="00C14173"/>
    <w:rsid w:val="00C16C4C"/>
    <w:rsid w:val="00C17C4F"/>
    <w:rsid w:val="00C20B0F"/>
    <w:rsid w:val="00C20E45"/>
    <w:rsid w:val="00C20EE4"/>
    <w:rsid w:val="00C22437"/>
    <w:rsid w:val="00C2446C"/>
    <w:rsid w:val="00C24B2E"/>
    <w:rsid w:val="00C24BE4"/>
    <w:rsid w:val="00C26E05"/>
    <w:rsid w:val="00C30B89"/>
    <w:rsid w:val="00C31770"/>
    <w:rsid w:val="00C31FD4"/>
    <w:rsid w:val="00C34B8D"/>
    <w:rsid w:val="00C35628"/>
    <w:rsid w:val="00C40705"/>
    <w:rsid w:val="00C41295"/>
    <w:rsid w:val="00C419C0"/>
    <w:rsid w:val="00C41A68"/>
    <w:rsid w:val="00C44510"/>
    <w:rsid w:val="00C47F59"/>
    <w:rsid w:val="00C512E6"/>
    <w:rsid w:val="00C51A92"/>
    <w:rsid w:val="00C528CD"/>
    <w:rsid w:val="00C540D4"/>
    <w:rsid w:val="00C54783"/>
    <w:rsid w:val="00C55CB1"/>
    <w:rsid w:val="00C56197"/>
    <w:rsid w:val="00C572EE"/>
    <w:rsid w:val="00C5745D"/>
    <w:rsid w:val="00C57612"/>
    <w:rsid w:val="00C658A0"/>
    <w:rsid w:val="00C705BE"/>
    <w:rsid w:val="00C710C4"/>
    <w:rsid w:val="00C71284"/>
    <w:rsid w:val="00C72155"/>
    <w:rsid w:val="00C72E93"/>
    <w:rsid w:val="00C737E2"/>
    <w:rsid w:val="00C75D2E"/>
    <w:rsid w:val="00C776E2"/>
    <w:rsid w:val="00C80426"/>
    <w:rsid w:val="00C81FDA"/>
    <w:rsid w:val="00C822AB"/>
    <w:rsid w:val="00C86728"/>
    <w:rsid w:val="00C87A6F"/>
    <w:rsid w:val="00C9076D"/>
    <w:rsid w:val="00C913BF"/>
    <w:rsid w:val="00C93500"/>
    <w:rsid w:val="00C93D5D"/>
    <w:rsid w:val="00C95734"/>
    <w:rsid w:val="00C95852"/>
    <w:rsid w:val="00C9624E"/>
    <w:rsid w:val="00C962FB"/>
    <w:rsid w:val="00C97544"/>
    <w:rsid w:val="00C97A88"/>
    <w:rsid w:val="00CA1C94"/>
    <w:rsid w:val="00CA1EDF"/>
    <w:rsid w:val="00CA283F"/>
    <w:rsid w:val="00CA2C5F"/>
    <w:rsid w:val="00CA336A"/>
    <w:rsid w:val="00CA4004"/>
    <w:rsid w:val="00CA4ED7"/>
    <w:rsid w:val="00CB073A"/>
    <w:rsid w:val="00CB0E1D"/>
    <w:rsid w:val="00CB36FB"/>
    <w:rsid w:val="00CB63F6"/>
    <w:rsid w:val="00CC1FA1"/>
    <w:rsid w:val="00CC30D2"/>
    <w:rsid w:val="00CC4C4E"/>
    <w:rsid w:val="00CC5630"/>
    <w:rsid w:val="00CC57B3"/>
    <w:rsid w:val="00CC68C2"/>
    <w:rsid w:val="00CC6A00"/>
    <w:rsid w:val="00CC75E1"/>
    <w:rsid w:val="00CC7830"/>
    <w:rsid w:val="00CC7F4D"/>
    <w:rsid w:val="00CD1B0B"/>
    <w:rsid w:val="00CD1CC7"/>
    <w:rsid w:val="00CD1CCD"/>
    <w:rsid w:val="00CD27AC"/>
    <w:rsid w:val="00CD2982"/>
    <w:rsid w:val="00CD3063"/>
    <w:rsid w:val="00CD405B"/>
    <w:rsid w:val="00CD6A34"/>
    <w:rsid w:val="00CD6EF8"/>
    <w:rsid w:val="00CE032A"/>
    <w:rsid w:val="00CE35E2"/>
    <w:rsid w:val="00CE4921"/>
    <w:rsid w:val="00CE79A7"/>
    <w:rsid w:val="00CF002F"/>
    <w:rsid w:val="00CF0463"/>
    <w:rsid w:val="00CF1AC6"/>
    <w:rsid w:val="00CF26DC"/>
    <w:rsid w:val="00CF2D23"/>
    <w:rsid w:val="00CF3B8E"/>
    <w:rsid w:val="00CF7D72"/>
    <w:rsid w:val="00D07BE7"/>
    <w:rsid w:val="00D109E5"/>
    <w:rsid w:val="00D10F80"/>
    <w:rsid w:val="00D11DD0"/>
    <w:rsid w:val="00D12308"/>
    <w:rsid w:val="00D16B8D"/>
    <w:rsid w:val="00D170AC"/>
    <w:rsid w:val="00D170F7"/>
    <w:rsid w:val="00D17587"/>
    <w:rsid w:val="00D17883"/>
    <w:rsid w:val="00D17ADD"/>
    <w:rsid w:val="00D22E10"/>
    <w:rsid w:val="00D239E1"/>
    <w:rsid w:val="00D24F50"/>
    <w:rsid w:val="00D267DC"/>
    <w:rsid w:val="00D273DE"/>
    <w:rsid w:val="00D2770A"/>
    <w:rsid w:val="00D334F0"/>
    <w:rsid w:val="00D33C57"/>
    <w:rsid w:val="00D33E1A"/>
    <w:rsid w:val="00D34B5F"/>
    <w:rsid w:val="00D4078F"/>
    <w:rsid w:val="00D434D3"/>
    <w:rsid w:val="00D435DF"/>
    <w:rsid w:val="00D436D9"/>
    <w:rsid w:val="00D45428"/>
    <w:rsid w:val="00D45C22"/>
    <w:rsid w:val="00D5061B"/>
    <w:rsid w:val="00D52329"/>
    <w:rsid w:val="00D52B7E"/>
    <w:rsid w:val="00D52C6D"/>
    <w:rsid w:val="00D539D4"/>
    <w:rsid w:val="00D541F0"/>
    <w:rsid w:val="00D552C7"/>
    <w:rsid w:val="00D5590E"/>
    <w:rsid w:val="00D56F9C"/>
    <w:rsid w:val="00D5776E"/>
    <w:rsid w:val="00D57FDE"/>
    <w:rsid w:val="00D611C9"/>
    <w:rsid w:val="00D61B50"/>
    <w:rsid w:val="00D622DB"/>
    <w:rsid w:val="00D62F68"/>
    <w:rsid w:val="00D648DB"/>
    <w:rsid w:val="00D672E5"/>
    <w:rsid w:val="00D71F6E"/>
    <w:rsid w:val="00D724A8"/>
    <w:rsid w:val="00D74587"/>
    <w:rsid w:val="00D751E6"/>
    <w:rsid w:val="00D77FFE"/>
    <w:rsid w:val="00D8166D"/>
    <w:rsid w:val="00D82E62"/>
    <w:rsid w:val="00D83CFA"/>
    <w:rsid w:val="00D83D17"/>
    <w:rsid w:val="00D86FEC"/>
    <w:rsid w:val="00D871EE"/>
    <w:rsid w:val="00D87AC4"/>
    <w:rsid w:val="00D91D15"/>
    <w:rsid w:val="00D91FDD"/>
    <w:rsid w:val="00D92C1E"/>
    <w:rsid w:val="00D93B64"/>
    <w:rsid w:val="00D95659"/>
    <w:rsid w:val="00D96C32"/>
    <w:rsid w:val="00D96CA3"/>
    <w:rsid w:val="00D96F3F"/>
    <w:rsid w:val="00D970AA"/>
    <w:rsid w:val="00D9796E"/>
    <w:rsid w:val="00DA03CE"/>
    <w:rsid w:val="00DA0C61"/>
    <w:rsid w:val="00DA1B96"/>
    <w:rsid w:val="00DA1D8E"/>
    <w:rsid w:val="00DA2BA5"/>
    <w:rsid w:val="00DA3649"/>
    <w:rsid w:val="00DA5136"/>
    <w:rsid w:val="00DA66D2"/>
    <w:rsid w:val="00DA6A29"/>
    <w:rsid w:val="00DA751B"/>
    <w:rsid w:val="00DA7A3B"/>
    <w:rsid w:val="00DB1EAC"/>
    <w:rsid w:val="00DB2729"/>
    <w:rsid w:val="00DB3D78"/>
    <w:rsid w:val="00DB5D58"/>
    <w:rsid w:val="00DB63FE"/>
    <w:rsid w:val="00DC18C3"/>
    <w:rsid w:val="00DC19DF"/>
    <w:rsid w:val="00DC22D9"/>
    <w:rsid w:val="00DC2580"/>
    <w:rsid w:val="00DC307E"/>
    <w:rsid w:val="00DC345C"/>
    <w:rsid w:val="00DC3E84"/>
    <w:rsid w:val="00DC75A7"/>
    <w:rsid w:val="00DC76C0"/>
    <w:rsid w:val="00DC7F11"/>
    <w:rsid w:val="00DD0875"/>
    <w:rsid w:val="00DD1D53"/>
    <w:rsid w:val="00DD40EB"/>
    <w:rsid w:val="00DD4A1C"/>
    <w:rsid w:val="00DD51DC"/>
    <w:rsid w:val="00DE0E28"/>
    <w:rsid w:val="00DE188E"/>
    <w:rsid w:val="00DE3A27"/>
    <w:rsid w:val="00DE46A8"/>
    <w:rsid w:val="00DE7149"/>
    <w:rsid w:val="00DE7574"/>
    <w:rsid w:val="00DE76E3"/>
    <w:rsid w:val="00DF0748"/>
    <w:rsid w:val="00DF08BC"/>
    <w:rsid w:val="00DF1B5B"/>
    <w:rsid w:val="00DF3933"/>
    <w:rsid w:val="00DF4501"/>
    <w:rsid w:val="00DF5270"/>
    <w:rsid w:val="00DF6CE5"/>
    <w:rsid w:val="00E00D26"/>
    <w:rsid w:val="00E036A7"/>
    <w:rsid w:val="00E0483A"/>
    <w:rsid w:val="00E04EEB"/>
    <w:rsid w:val="00E05CFB"/>
    <w:rsid w:val="00E0668D"/>
    <w:rsid w:val="00E11D0D"/>
    <w:rsid w:val="00E11EE5"/>
    <w:rsid w:val="00E11FF5"/>
    <w:rsid w:val="00E12829"/>
    <w:rsid w:val="00E12D40"/>
    <w:rsid w:val="00E15CEF"/>
    <w:rsid w:val="00E1608F"/>
    <w:rsid w:val="00E16727"/>
    <w:rsid w:val="00E17684"/>
    <w:rsid w:val="00E22E69"/>
    <w:rsid w:val="00E25070"/>
    <w:rsid w:val="00E30548"/>
    <w:rsid w:val="00E309C1"/>
    <w:rsid w:val="00E31977"/>
    <w:rsid w:val="00E33E94"/>
    <w:rsid w:val="00E33F98"/>
    <w:rsid w:val="00E3566C"/>
    <w:rsid w:val="00E36037"/>
    <w:rsid w:val="00E429D6"/>
    <w:rsid w:val="00E42EE3"/>
    <w:rsid w:val="00E4397D"/>
    <w:rsid w:val="00E45060"/>
    <w:rsid w:val="00E4735C"/>
    <w:rsid w:val="00E50048"/>
    <w:rsid w:val="00E50EDA"/>
    <w:rsid w:val="00E52DEB"/>
    <w:rsid w:val="00E53051"/>
    <w:rsid w:val="00E5360D"/>
    <w:rsid w:val="00E54194"/>
    <w:rsid w:val="00E55E4B"/>
    <w:rsid w:val="00E64B31"/>
    <w:rsid w:val="00E6507F"/>
    <w:rsid w:val="00E65BBC"/>
    <w:rsid w:val="00E674DD"/>
    <w:rsid w:val="00E67845"/>
    <w:rsid w:val="00E7066D"/>
    <w:rsid w:val="00E7077D"/>
    <w:rsid w:val="00E71069"/>
    <w:rsid w:val="00E718B7"/>
    <w:rsid w:val="00E718FB"/>
    <w:rsid w:val="00E71B8B"/>
    <w:rsid w:val="00E72085"/>
    <w:rsid w:val="00E730EA"/>
    <w:rsid w:val="00E73261"/>
    <w:rsid w:val="00E73494"/>
    <w:rsid w:val="00E73A01"/>
    <w:rsid w:val="00E75F6F"/>
    <w:rsid w:val="00E77013"/>
    <w:rsid w:val="00E77960"/>
    <w:rsid w:val="00E802DD"/>
    <w:rsid w:val="00E81BA9"/>
    <w:rsid w:val="00E8310A"/>
    <w:rsid w:val="00E8443E"/>
    <w:rsid w:val="00E90693"/>
    <w:rsid w:val="00E9195F"/>
    <w:rsid w:val="00E94EC1"/>
    <w:rsid w:val="00E95059"/>
    <w:rsid w:val="00E957FE"/>
    <w:rsid w:val="00E95C93"/>
    <w:rsid w:val="00E96B05"/>
    <w:rsid w:val="00E96C3A"/>
    <w:rsid w:val="00E97F55"/>
    <w:rsid w:val="00EA00A1"/>
    <w:rsid w:val="00EA03FF"/>
    <w:rsid w:val="00EA1D41"/>
    <w:rsid w:val="00EA2E8F"/>
    <w:rsid w:val="00EA3252"/>
    <w:rsid w:val="00EA35C8"/>
    <w:rsid w:val="00EA416F"/>
    <w:rsid w:val="00EA4B1C"/>
    <w:rsid w:val="00EA4C77"/>
    <w:rsid w:val="00EA4F6B"/>
    <w:rsid w:val="00EA5DAE"/>
    <w:rsid w:val="00EA6102"/>
    <w:rsid w:val="00EA68EA"/>
    <w:rsid w:val="00EB1DBE"/>
    <w:rsid w:val="00EB2B62"/>
    <w:rsid w:val="00EB501B"/>
    <w:rsid w:val="00EB5182"/>
    <w:rsid w:val="00EB6213"/>
    <w:rsid w:val="00EB7581"/>
    <w:rsid w:val="00EC037D"/>
    <w:rsid w:val="00EC04E1"/>
    <w:rsid w:val="00EC1101"/>
    <w:rsid w:val="00EC20E8"/>
    <w:rsid w:val="00EC2DCE"/>
    <w:rsid w:val="00EC3E8D"/>
    <w:rsid w:val="00ED3C9B"/>
    <w:rsid w:val="00ED5121"/>
    <w:rsid w:val="00ED722B"/>
    <w:rsid w:val="00ED7DD2"/>
    <w:rsid w:val="00EE0174"/>
    <w:rsid w:val="00EE0E16"/>
    <w:rsid w:val="00EE2409"/>
    <w:rsid w:val="00EE296F"/>
    <w:rsid w:val="00EE5372"/>
    <w:rsid w:val="00EE6E29"/>
    <w:rsid w:val="00EE712F"/>
    <w:rsid w:val="00EE7DCF"/>
    <w:rsid w:val="00EF0AF2"/>
    <w:rsid w:val="00EF274F"/>
    <w:rsid w:val="00EF4224"/>
    <w:rsid w:val="00EF5309"/>
    <w:rsid w:val="00EF5626"/>
    <w:rsid w:val="00EF769A"/>
    <w:rsid w:val="00F010AC"/>
    <w:rsid w:val="00F0386E"/>
    <w:rsid w:val="00F04739"/>
    <w:rsid w:val="00F0530B"/>
    <w:rsid w:val="00F053F6"/>
    <w:rsid w:val="00F1087F"/>
    <w:rsid w:val="00F11EF4"/>
    <w:rsid w:val="00F12A7A"/>
    <w:rsid w:val="00F12F23"/>
    <w:rsid w:val="00F147A4"/>
    <w:rsid w:val="00F14AFB"/>
    <w:rsid w:val="00F152A5"/>
    <w:rsid w:val="00F15E17"/>
    <w:rsid w:val="00F175A9"/>
    <w:rsid w:val="00F20BAD"/>
    <w:rsid w:val="00F21DEF"/>
    <w:rsid w:val="00F22A6F"/>
    <w:rsid w:val="00F22BF0"/>
    <w:rsid w:val="00F251E2"/>
    <w:rsid w:val="00F27580"/>
    <w:rsid w:val="00F31222"/>
    <w:rsid w:val="00F313A9"/>
    <w:rsid w:val="00F3150A"/>
    <w:rsid w:val="00F32949"/>
    <w:rsid w:val="00F3323C"/>
    <w:rsid w:val="00F33829"/>
    <w:rsid w:val="00F33E6D"/>
    <w:rsid w:val="00F356B9"/>
    <w:rsid w:val="00F400F4"/>
    <w:rsid w:val="00F4091D"/>
    <w:rsid w:val="00F41146"/>
    <w:rsid w:val="00F411A3"/>
    <w:rsid w:val="00F426B7"/>
    <w:rsid w:val="00F434CC"/>
    <w:rsid w:val="00F45A46"/>
    <w:rsid w:val="00F47E90"/>
    <w:rsid w:val="00F5031B"/>
    <w:rsid w:val="00F50B8B"/>
    <w:rsid w:val="00F52278"/>
    <w:rsid w:val="00F52538"/>
    <w:rsid w:val="00F56056"/>
    <w:rsid w:val="00F56363"/>
    <w:rsid w:val="00F600B4"/>
    <w:rsid w:val="00F609A0"/>
    <w:rsid w:val="00F60A2E"/>
    <w:rsid w:val="00F60D01"/>
    <w:rsid w:val="00F61452"/>
    <w:rsid w:val="00F616D3"/>
    <w:rsid w:val="00F61952"/>
    <w:rsid w:val="00F63683"/>
    <w:rsid w:val="00F63B66"/>
    <w:rsid w:val="00F64BF1"/>
    <w:rsid w:val="00F65CBC"/>
    <w:rsid w:val="00F7076C"/>
    <w:rsid w:val="00F7177B"/>
    <w:rsid w:val="00F71C17"/>
    <w:rsid w:val="00F71E89"/>
    <w:rsid w:val="00F72F8F"/>
    <w:rsid w:val="00F80BE7"/>
    <w:rsid w:val="00F82F0B"/>
    <w:rsid w:val="00F830DB"/>
    <w:rsid w:val="00F83E0C"/>
    <w:rsid w:val="00F85BC1"/>
    <w:rsid w:val="00F86337"/>
    <w:rsid w:val="00F86A76"/>
    <w:rsid w:val="00F86C7C"/>
    <w:rsid w:val="00F87D4A"/>
    <w:rsid w:val="00F90B62"/>
    <w:rsid w:val="00F93B05"/>
    <w:rsid w:val="00F94479"/>
    <w:rsid w:val="00F95CD8"/>
    <w:rsid w:val="00F96244"/>
    <w:rsid w:val="00F96E5C"/>
    <w:rsid w:val="00F970C6"/>
    <w:rsid w:val="00FA0E8D"/>
    <w:rsid w:val="00FA1B05"/>
    <w:rsid w:val="00FA30A6"/>
    <w:rsid w:val="00FB0A3E"/>
    <w:rsid w:val="00FB1916"/>
    <w:rsid w:val="00FB3C19"/>
    <w:rsid w:val="00FB4BEE"/>
    <w:rsid w:val="00FB6CC6"/>
    <w:rsid w:val="00FB72D2"/>
    <w:rsid w:val="00FB7870"/>
    <w:rsid w:val="00FB7F3D"/>
    <w:rsid w:val="00FC05A8"/>
    <w:rsid w:val="00FC0CD1"/>
    <w:rsid w:val="00FC4645"/>
    <w:rsid w:val="00FC592A"/>
    <w:rsid w:val="00FD0AF9"/>
    <w:rsid w:val="00FD0DBF"/>
    <w:rsid w:val="00FD1077"/>
    <w:rsid w:val="00FD1C7D"/>
    <w:rsid w:val="00FD33C3"/>
    <w:rsid w:val="00FD35D0"/>
    <w:rsid w:val="00FD5398"/>
    <w:rsid w:val="00FE0AB9"/>
    <w:rsid w:val="00FE0E99"/>
    <w:rsid w:val="00FE1C4C"/>
    <w:rsid w:val="00FE2146"/>
    <w:rsid w:val="00FF053C"/>
    <w:rsid w:val="00FF0CC5"/>
    <w:rsid w:val="00FF0CC8"/>
    <w:rsid w:val="00FF10FE"/>
    <w:rsid w:val="00FF2CC7"/>
    <w:rsid w:val="00FF33F2"/>
    <w:rsid w:val="00FF4021"/>
    <w:rsid w:val="00FF4B72"/>
    <w:rsid w:val="00FF6C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25834"/>
  <w15:docId w15:val="{25B517B8-2D01-4CF2-94F8-C7A4B5FD4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1298D"/>
  </w:style>
  <w:style w:type="paragraph" w:styleId="Heading1">
    <w:name w:val="heading 1"/>
    <w:basedOn w:val="Normal1"/>
    <w:next w:val="Normal1"/>
    <w:rsid w:val="00BE0EC3"/>
    <w:pPr>
      <w:keepNext/>
      <w:keepLines/>
      <w:spacing w:before="480" w:after="120"/>
      <w:outlineLvl w:val="0"/>
    </w:pPr>
    <w:rPr>
      <w:b/>
      <w:sz w:val="48"/>
      <w:szCs w:val="48"/>
    </w:rPr>
  </w:style>
  <w:style w:type="paragraph" w:styleId="Heading2">
    <w:name w:val="heading 2"/>
    <w:basedOn w:val="Normal1"/>
    <w:next w:val="Normal1"/>
    <w:rsid w:val="00BE0EC3"/>
    <w:pPr>
      <w:keepNext/>
      <w:keepLines/>
      <w:spacing w:before="360" w:after="80"/>
      <w:outlineLvl w:val="1"/>
    </w:pPr>
    <w:rPr>
      <w:b/>
      <w:sz w:val="36"/>
      <w:szCs w:val="36"/>
    </w:rPr>
  </w:style>
  <w:style w:type="paragraph" w:styleId="Heading3">
    <w:name w:val="heading 3"/>
    <w:basedOn w:val="Normal1"/>
    <w:next w:val="Normal1"/>
    <w:rsid w:val="00BE0EC3"/>
    <w:pPr>
      <w:keepNext/>
      <w:keepLines/>
      <w:spacing w:before="280" w:after="80"/>
      <w:outlineLvl w:val="2"/>
    </w:pPr>
    <w:rPr>
      <w:b/>
      <w:sz w:val="28"/>
      <w:szCs w:val="28"/>
    </w:rPr>
  </w:style>
  <w:style w:type="paragraph" w:styleId="Heading4">
    <w:name w:val="heading 4"/>
    <w:basedOn w:val="Normal1"/>
    <w:next w:val="Normal1"/>
    <w:link w:val="Heading4Char"/>
    <w:qFormat/>
    <w:rsid w:val="00BE0EC3"/>
    <w:pPr>
      <w:keepNext/>
      <w:keepLines/>
      <w:spacing w:before="240" w:after="40"/>
      <w:outlineLvl w:val="3"/>
    </w:pPr>
    <w:rPr>
      <w:b/>
    </w:rPr>
  </w:style>
  <w:style w:type="paragraph" w:styleId="Heading5">
    <w:name w:val="heading 5"/>
    <w:basedOn w:val="Normal1"/>
    <w:next w:val="Normal1"/>
    <w:rsid w:val="00BE0EC3"/>
    <w:pPr>
      <w:keepNext/>
      <w:keepLines/>
      <w:spacing w:before="220" w:after="40"/>
      <w:outlineLvl w:val="4"/>
    </w:pPr>
    <w:rPr>
      <w:b/>
      <w:sz w:val="22"/>
      <w:szCs w:val="22"/>
    </w:rPr>
  </w:style>
  <w:style w:type="paragraph" w:styleId="Heading6">
    <w:name w:val="heading 6"/>
    <w:basedOn w:val="Normal1"/>
    <w:next w:val="Normal1"/>
    <w:rsid w:val="00BE0EC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0">
    <w:name w:val="Normal1"/>
    <w:rsid w:val="00FB0A3E"/>
  </w:style>
  <w:style w:type="paragraph" w:styleId="Title">
    <w:name w:val="Title"/>
    <w:basedOn w:val="Normal1"/>
    <w:next w:val="Normal1"/>
    <w:rsid w:val="00BE0EC3"/>
    <w:pPr>
      <w:keepNext/>
      <w:keepLines/>
      <w:spacing w:before="480" w:after="120"/>
    </w:pPr>
    <w:rPr>
      <w:b/>
      <w:sz w:val="72"/>
      <w:szCs w:val="72"/>
    </w:rPr>
  </w:style>
  <w:style w:type="paragraph" w:customStyle="1" w:styleId="Normal1">
    <w:name w:val="Normal1"/>
    <w:rsid w:val="00BE0EC3"/>
  </w:style>
  <w:style w:type="paragraph" w:styleId="Subtitle">
    <w:name w:val="Subtitle"/>
    <w:basedOn w:val="Normal"/>
    <w:next w:val="Normal"/>
    <w:rsid w:val="00FB0A3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
    <w:basedOn w:val="TableNormal"/>
    <w:rsid w:val="00BE0EC3"/>
    <w:tblPr>
      <w:tblStyleRowBandSize w:val="1"/>
      <w:tblStyleColBandSize w:val="1"/>
      <w:tblCellMar>
        <w:left w:w="115" w:type="dxa"/>
        <w:right w:w="115" w:type="dxa"/>
      </w:tblCellMar>
    </w:tblPr>
  </w:style>
  <w:style w:type="paragraph" w:styleId="CommentText">
    <w:name w:val="annotation text"/>
    <w:basedOn w:val="Normal"/>
    <w:link w:val="CommentTextChar"/>
    <w:uiPriority w:val="99"/>
    <w:unhideWhenUsed/>
    <w:rsid w:val="00BE0EC3"/>
    <w:rPr>
      <w:sz w:val="20"/>
      <w:szCs w:val="20"/>
    </w:rPr>
  </w:style>
  <w:style w:type="character" w:customStyle="1" w:styleId="CommentTextChar">
    <w:name w:val="Comment Text Char"/>
    <w:basedOn w:val="DefaultParagraphFont"/>
    <w:link w:val="CommentText"/>
    <w:uiPriority w:val="99"/>
    <w:rsid w:val="00BE0EC3"/>
    <w:rPr>
      <w:sz w:val="20"/>
      <w:szCs w:val="20"/>
    </w:rPr>
  </w:style>
  <w:style w:type="character" w:styleId="CommentReference">
    <w:name w:val="annotation reference"/>
    <w:basedOn w:val="DefaultParagraphFont"/>
    <w:uiPriority w:val="99"/>
    <w:unhideWhenUsed/>
    <w:rsid w:val="00BE0EC3"/>
    <w:rPr>
      <w:sz w:val="16"/>
      <w:szCs w:val="16"/>
    </w:rPr>
  </w:style>
  <w:style w:type="paragraph" w:styleId="BalloonText">
    <w:name w:val="Balloon Text"/>
    <w:basedOn w:val="Normal"/>
    <w:link w:val="BalloonTextChar"/>
    <w:unhideWhenUsed/>
    <w:rsid w:val="00CF436D"/>
    <w:rPr>
      <w:rFonts w:ascii="Tahoma" w:hAnsi="Tahoma" w:cs="Tahoma"/>
      <w:sz w:val="16"/>
      <w:szCs w:val="16"/>
    </w:rPr>
  </w:style>
  <w:style w:type="character" w:customStyle="1" w:styleId="BalloonTextChar">
    <w:name w:val="Balloon Text Char"/>
    <w:basedOn w:val="DefaultParagraphFont"/>
    <w:link w:val="BalloonText"/>
    <w:rsid w:val="00CF436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8B31AE"/>
    <w:rPr>
      <w:b/>
      <w:bCs/>
    </w:rPr>
  </w:style>
  <w:style w:type="character" w:customStyle="1" w:styleId="CommentSubjectChar">
    <w:name w:val="Comment Subject Char"/>
    <w:basedOn w:val="CommentTextChar"/>
    <w:link w:val="CommentSubject"/>
    <w:uiPriority w:val="99"/>
    <w:semiHidden/>
    <w:rsid w:val="008B31AE"/>
    <w:rPr>
      <w:b/>
      <w:bCs/>
      <w:sz w:val="20"/>
      <w:szCs w:val="20"/>
    </w:rPr>
  </w:style>
  <w:style w:type="paragraph" w:styleId="FootnoteText">
    <w:name w:val="footnote text"/>
    <w:aliases w:val="Текст сноски Знак1 Знак,Текст сноски Знак Знак Знак,Char Знак,Char Знак Char Char,Footnote Text1 Знак,Char Знак Char Char1 Знак, Char Знак Char Char, Char Знак Char Char1,Текст сноски1,Текст сноски Знак Знак,Текст сноски Знак Знак З, Знак"/>
    <w:basedOn w:val="Normal"/>
    <w:link w:val="FootnoteTextChar"/>
    <w:uiPriority w:val="99"/>
    <w:unhideWhenUsed/>
    <w:qFormat/>
    <w:rsid w:val="000F7397"/>
    <w:rPr>
      <w:sz w:val="20"/>
      <w:szCs w:val="20"/>
    </w:rPr>
  </w:style>
  <w:style w:type="character" w:customStyle="1" w:styleId="FootnoteTextChar">
    <w:name w:val="Footnote Text Char"/>
    <w:aliases w:val="Текст сноски Знак1 Знак Char,Текст сноски Знак Знак Знак Char,Char Знак Char,Char Знак Char Char Char,Footnote Text1 Знак Char,Char Знак Char Char1 Знак Char, Char Знак Char Char Char, Char Знак Char Char1 Char,Текст сноски1 Char"/>
    <w:basedOn w:val="DefaultParagraphFont"/>
    <w:link w:val="FootnoteText"/>
    <w:uiPriority w:val="99"/>
    <w:rsid w:val="000F7397"/>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0F7397"/>
    <w:rPr>
      <w:vertAlign w:val="superscript"/>
    </w:rPr>
  </w:style>
  <w:style w:type="character" w:customStyle="1" w:styleId="a0">
    <w:name w:val="Основной текст_"/>
    <w:basedOn w:val="DefaultParagraphFont"/>
    <w:link w:val="a1"/>
    <w:rsid w:val="00C45344"/>
    <w:rPr>
      <w:rFonts w:ascii="Tahoma" w:eastAsia="Tahoma" w:hAnsi="Tahoma" w:cs="Tahoma"/>
      <w:sz w:val="21"/>
      <w:szCs w:val="21"/>
      <w:shd w:val="clear" w:color="auto" w:fill="FFFFFF"/>
    </w:rPr>
  </w:style>
  <w:style w:type="character" w:customStyle="1" w:styleId="a2">
    <w:name w:val="Основной текст + Курсив"/>
    <w:basedOn w:val="a0"/>
    <w:rsid w:val="00C45344"/>
    <w:rPr>
      <w:rFonts w:ascii="Tahoma" w:eastAsia="Tahoma" w:hAnsi="Tahoma" w:cs="Tahoma"/>
      <w:i/>
      <w:iCs/>
      <w:color w:val="000000"/>
      <w:spacing w:val="0"/>
      <w:w w:val="100"/>
      <w:position w:val="0"/>
      <w:sz w:val="21"/>
      <w:szCs w:val="21"/>
      <w:shd w:val="clear" w:color="auto" w:fill="FFFFFF"/>
      <w:lang w:val="hy-AM" w:eastAsia="hy-AM" w:bidi="hy-AM"/>
    </w:rPr>
  </w:style>
  <w:style w:type="paragraph" w:customStyle="1" w:styleId="a1">
    <w:name w:val="Основной текст"/>
    <w:basedOn w:val="Normal"/>
    <w:link w:val="a0"/>
    <w:rsid w:val="00C45344"/>
    <w:pPr>
      <w:widowControl w:val="0"/>
      <w:shd w:val="clear" w:color="auto" w:fill="FFFFFF"/>
      <w:spacing w:after="1080" w:line="360" w:lineRule="exact"/>
      <w:jc w:val="both"/>
    </w:pPr>
    <w:rPr>
      <w:rFonts w:ascii="Tahoma" w:eastAsia="Tahoma" w:hAnsi="Tahoma" w:cs="Tahoma"/>
      <w:sz w:val="21"/>
      <w:szCs w:val="21"/>
    </w:rPr>
  </w:style>
  <w:style w:type="character" w:styleId="Hyperlink">
    <w:name w:val="Hyperlink"/>
    <w:basedOn w:val="DefaultParagraphFont"/>
    <w:rsid w:val="009C19CA"/>
    <w:rPr>
      <w:color w:val="0066CC"/>
      <w:u w:val="single"/>
    </w:rPr>
  </w:style>
  <w:style w:type="character" w:customStyle="1" w:styleId="3">
    <w:name w:val="Основной текст (3)_"/>
    <w:basedOn w:val="DefaultParagraphFont"/>
    <w:link w:val="30"/>
    <w:rsid w:val="009C19CA"/>
    <w:rPr>
      <w:rFonts w:ascii="Tahoma" w:eastAsia="Tahoma" w:hAnsi="Tahoma" w:cs="Tahoma"/>
      <w:i/>
      <w:iCs/>
      <w:sz w:val="21"/>
      <w:szCs w:val="21"/>
      <w:shd w:val="clear" w:color="auto" w:fill="FFFFFF"/>
    </w:rPr>
  </w:style>
  <w:style w:type="character" w:customStyle="1" w:styleId="5">
    <w:name w:val="Основной текст (5)_"/>
    <w:basedOn w:val="DefaultParagraphFont"/>
    <w:link w:val="50"/>
    <w:rsid w:val="009C19CA"/>
    <w:rPr>
      <w:rFonts w:ascii="Tahoma" w:eastAsia="Tahoma" w:hAnsi="Tahoma" w:cs="Tahoma"/>
      <w:b/>
      <w:bCs/>
      <w:sz w:val="20"/>
      <w:szCs w:val="20"/>
      <w:shd w:val="clear" w:color="auto" w:fill="FFFFFF"/>
    </w:rPr>
  </w:style>
  <w:style w:type="character" w:customStyle="1" w:styleId="31">
    <w:name w:val="Основной текст (3) + Не курсив"/>
    <w:basedOn w:val="3"/>
    <w:rsid w:val="009C19CA"/>
    <w:rPr>
      <w:rFonts w:ascii="Tahoma" w:eastAsia="Tahoma" w:hAnsi="Tahoma" w:cs="Tahoma"/>
      <w:i/>
      <w:iCs/>
      <w:color w:val="000000"/>
      <w:spacing w:val="0"/>
      <w:w w:val="100"/>
      <w:position w:val="0"/>
      <w:sz w:val="21"/>
      <w:szCs w:val="21"/>
      <w:shd w:val="clear" w:color="auto" w:fill="FFFFFF"/>
      <w:lang w:val="hy-AM" w:eastAsia="hy-AM" w:bidi="hy-AM"/>
    </w:rPr>
  </w:style>
  <w:style w:type="character" w:customStyle="1" w:styleId="5105pt">
    <w:name w:val="Основной текст (5) + 10.5 pt"/>
    <w:aliases w:val="Не полужирный"/>
    <w:basedOn w:val="5"/>
    <w:rsid w:val="009C19CA"/>
    <w:rPr>
      <w:rFonts w:ascii="Tahoma" w:eastAsia="Tahoma" w:hAnsi="Tahoma" w:cs="Tahoma"/>
      <w:b/>
      <w:bCs/>
      <w:color w:val="000000"/>
      <w:spacing w:val="0"/>
      <w:w w:val="100"/>
      <w:position w:val="0"/>
      <w:sz w:val="21"/>
      <w:szCs w:val="21"/>
      <w:shd w:val="clear" w:color="auto" w:fill="FFFFFF"/>
      <w:lang w:val="hy-AM" w:eastAsia="hy-AM" w:bidi="hy-AM"/>
    </w:rPr>
  </w:style>
  <w:style w:type="paragraph" w:customStyle="1" w:styleId="30">
    <w:name w:val="Основной текст (3)"/>
    <w:basedOn w:val="Normal"/>
    <w:link w:val="3"/>
    <w:rsid w:val="009C19CA"/>
    <w:pPr>
      <w:widowControl w:val="0"/>
      <w:shd w:val="clear" w:color="auto" w:fill="FFFFFF"/>
      <w:spacing w:before="1080" w:after="60" w:line="0" w:lineRule="atLeast"/>
    </w:pPr>
    <w:rPr>
      <w:rFonts w:ascii="Tahoma" w:eastAsia="Tahoma" w:hAnsi="Tahoma" w:cs="Tahoma"/>
      <w:i/>
      <w:iCs/>
      <w:sz w:val="21"/>
      <w:szCs w:val="21"/>
    </w:rPr>
  </w:style>
  <w:style w:type="paragraph" w:customStyle="1" w:styleId="50">
    <w:name w:val="Основной текст (5)"/>
    <w:basedOn w:val="Normal"/>
    <w:link w:val="5"/>
    <w:rsid w:val="009C19CA"/>
    <w:pPr>
      <w:widowControl w:val="0"/>
      <w:shd w:val="clear" w:color="auto" w:fill="FFFFFF"/>
      <w:spacing w:after="660" w:line="0" w:lineRule="atLeast"/>
    </w:pPr>
    <w:rPr>
      <w:rFonts w:ascii="Tahoma" w:eastAsia="Tahoma" w:hAnsi="Tahoma" w:cs="Tahoma"/>
      <w:b/>
      <w:bCs/>
      <w:sz w:val="20"/>
      <w:szCs w:val="20"/>
    </w:rPr>
  </w:style>
  <w:style w:type="character" w:customStyle="1" w:styleId="310pt">
    <w:name w:val="Основной текст (3) + 10 pt"/>
    <w:aliases w:val="Полужирный,Не курсив"/>
    <w:basedOn w:val="3"/>
    <w:rsid w:val="009C19CA"/>
    <w:rPr>
      <w:rFonts w:ascii="Tahoma" w:eastAsia="Tahoma" w:hAnsi="Tahoma" w:cs="Tahoma"/>
      <w:b/>
      <w:bCs/>
      <w:i/>
      <w:iCs/>
      <w:smallCaps w:val="0"/>
      <w:strike w:val="0"/>
      <w:color w:val="000000"/>
      <w:spacing w:val="0"/>
      <w:w w:val="100"/>
      <w:position w:val="0"/>
      <w:sz w:val="20"/>
      <w:szCs w:val="20"/>
      <w:u w:val="none"/>
      <w:shd w:val="clear" w:color="auto" w:fill="FFFFFF"/>
      <w:lang w:val="hy-AM" w:eastAsia="hy-AM" w:bidi="hy-AM"/>
    </w:rPr>
  </w:style>
  <w:style w:type="paragraph" w:styleId="Revision">
    <w:name w:val="Revision"/>
    <w:hidden/>
    <w:uiPriority w:val="99"/>
    <w:semiHidden/>
    <w:rsid w:val="00033A98"/>
  </w:style>
  <w:style w:type="table" w:customStyle="1" w:styleId="a3">
    <w:basedOn w:val="TableNormal"/>
    <w:rsid w:val="00FB0A3E"/>
    <w:tblPr>
      <w:tblStyleRowBandSize w:val="1"/>
      <w:tblStyleColBandSize w:val="1"/>
      <w:tblCellMar>
        <w:left w:w="115" w:type="dxa"/>
        <w:right w:w="115" w:type="dxa"/>
      </w:tblCellMar>
    </w:tblPr>
  </w:style>
  <w:style w:type="character" w:customStyle="1" w:styleId="apple-converted-space">
    <w:name w:val="apple-converted-space"/>
    <w:basedOn w:val="DefaultParagraphFont"/>
    <w:rsid w:val="00EC2DCE"/>
  </w:style>
  <w:style w:type="paragraph" w:styleId="ListParagraph">
    <w:name w:val="List Paragraph"/>
    <w:aliases w:val="Akapit z listą BS,List Paragraph 1,List_Paragraph,Multilevel para_II,List Paragraph (numbered (a)),OBC Bullet,List Paragraph11,Normal numbered,References,Table no. List Paragraph,Дэд гарчиг,IBL List Paragraph,List Paragraph1,Paragraph,lp1"/>
    <w:basedOn w:val="Normal"/>
    <w:link w:val="ListParagraphChar"/>
    <w:uiPriority w:val="34"/>
    <w:qFormat/>
    <w:rsid w:val="007C070E"/>
    <w:pPr>
      <w:spacing w:after="200" w:line="276"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References Char,Table no. List Paragraph Char"/>
    <w:link w:val="ListParagraph"/>
    <w:uiPriority w:val="34"/>
    <w:qFormat/>
    <w:locked/>
    <w:rsid w:val="0075164D"/>
    <w:rPr>
      <w:rFonts w:asciiTheme="minorHAnsi" w:eastAsiaTheme="minorHAnsi" w:hAnsiTheme="minorHAnsi" w:cstheme="minorBidi"/>
      <w:sz w:val="22"/>
      <w:szCs w:val="22"/>
      <w:lang w:val="en-US"/>
    </w:rPr>
  </w:style>
  <w:style w:type="paragraph" w:styleId="BodyText">
    <w:name w:val="Body Text"/>
    <w:basedOn w:val="Normal"/>
    <w:link w:val="BodyTextChar"/>
    <w:rsid w:val="00F175A9"/>
    <w:pPr>
      <w:shd w:val="clear" w:color="auto" w:fill="FFFFFF"/>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Char">
    <w:name w:val="Body Text Char"/>
    <w:basedOn w:val="DefaultParagraphFont"/>
    <w:link w:val="BodyText"/>
    <w:rsid w:val="00F175A9"/>
    <w:rPr>
      <w:rFonts w:ascii="Arial Armenian" w:hAnsi="Arial Armenian"/>
      <w:sz w:val="22"/>
      <w:szCs w:val="20"/>
      <w:shd w:val="clear" w:color="auto" w:fill="FFFFFF"/>
      <w:lang w:val="en-US"/>
    </w:rPr>
  </w:style>
  <w:style w:type="character" w:customStyle="1" w:styleId="a4">
    <w:name w:val="Основной текст + Не курсив"/>
    <w:aliases w:val="Интервал 0 pt"/>
    <w:basedOn w:val="a0"/>
    <w:rsid w:val="00B31532"/>
    <w:rPr>
      <w:rFonts w:ascii="Tahoma" w:eastAsia="Tahoma" w:hAnsi="Tahoma" w:cs="Tahoma"/>
      <w:b w:val="0"/>
      <w:bCs w:val="0"/>
      <w:i/>
      <w:iCs/>
      <w:smallCaps w:val="0"/>
      <w:strike w:val="0"/>
      <w:color w:val="000000"/>
      <w:spacing w:val="0"/>
      <w:w w:val="100"/>
      <w:position w:val="0"/>
      <w:sz w:val="22"/>
      <w:szCs w:val="22"/>
      <w:u w:val="none"/>
      <w:shd w:val="clear" w:color="auto" w:fill="FFFFFF"/>
      <w:lang w:val="hy-AM" w:eastAsia="hy-AM" w:bidi="hy-AM"/>
    </w:rPr>
  </w:style>
  <w:style w:type="character" w:customStyle="1" w:styleId="6">
    <w:name w:val="Основной текст (6) + Не полужирный"/>
    <w:basedOn w:val="DefaultParagraphFont"/>
    <w:rsid w:val="00B31532"/>
    <w:rPr>
      <w:rFonts w:ascii="Tahoma" w:eastAsia="Tahoma" w:hAnsi="Tahoma" w:cs="Tahoma"/>
      <w:b/>
      <w:bCs/>
      <w:i/>
      <w:iCs/>
      <w:smallCaps w:val="0"/>
      <w:strike w:val="0"/>
      <w:color w:val="000000"/>
      <w:spacing w:val="-10"/>
      <w:w w:val="100"/>
      <w:position w:val="0"/>
      <w:sz w:val="22"/>
      <w:szCs w:val="22"/>
      <w:u w:val="none"/>
      <w:lang w:val="hy-AM" w:eastAsia="hy-AM" w:bidi="hy-AM"/>
    </w:rPr>
  </w:style>
  <w:style w:type="character" w:customStyle="1" w:styleId="2">
    <w:name w:val="Основной текст (2)_"/>
    <w:basedOn w:val="DefaultParagraphFont"/>
    <w:link w:val="20"/>
    <w:rsid w:val="00B31532"/>
    <w:rPr>
      <w:rFonts w:ascii="Tahoma" w:eastAsia="Tahoma" w:hAnsi="Tahoma" w:cs="Tahoma"/>
      <w:sz w:val="22"/>
      <w:szCs w:val="22"/>
      <w:shd w:val="clear" w:color="auto" w:fill="FFFFFF"/>
    </w:rPr>
  </w:style>
  <w:style w:type="paragraph" w:customStyle="1" w:styleId="20">
    <w:name w:val="Основной текст (2)"/>
    <w:basedOn w:val="Normal"/>
    <w:link w:val="2"/>
    <w:rsid w:val="00B31532"/>
    <w:pPr>
      <w:widowControl w:val="0"/>
      <w:shd w:val="clear" w:color="auto" w:fill="FFFFFF"/>
      <w:spacing w:after="300" w:line="365" w:lineRule="exact"/>
      <w:jc w:val="both"/>
    </w:pPr>
    <w:rPr>
      <w:rFonts w:ascii="Tahoma" w:eastAsia="Tahoma" w:hAnsi="Tahoma" w:cs="Tahoma"/>
      <w:sz w:val="22"/>
      <w:szCs w:val="22"/>
    </w:rPr>
  </w:style>
  <w:style w:type="character" w:customStyle="1" w:styleId="60">
    <w:name w:val="Основной текст (6)_"/>
    <w:basedOn w:val="DefaultParagraphFont"/>
    <w:link w:val="61"/>
    <w:rsid w:val="00B31532"/>
    <w:rPr>
      <w:rFonts w:ascii="Tahoma" w:eastAsia="Tahoma" w:hAnsi="Tahoma" w:cs="Tahoma"/>
      <w:b/>
      <w:bCs/>
      <w:i/>
      <w:iCs/>
      <w:spacing w:val="-10"/>
      <w:sz w:val="22"/>
      <w:szCs w:val="22"/>
      <w:shd w:val="clear" w:color="auto" w:fill="FFFFFF"/>
    </w:rPr>
  </w:style>
  <w:style w:type="paragraph" w:customStyle="1" w:styleId="61">
    <w:name w:val="Основной текст (6)"/>
    <w:basedOn w:val="Normal"/>
    <w:link w:val="60"/>
    <w:rsid w:val="00B31532"/>
    <w:pPr>
      <w:widowControl w:val="0"/>
      <w:shd w:val="clear" w:color="auto" w:fill="FFFFFF"/>
      <w:spacing w:line="365" w:lineRule="exact"/>
    </w:pPr>
    <w:rPr>
      <w:rFonts w:ascii="Tahoma" w:eastAsia="Tahoma" w:hAnsi="Tahoma" w:cs="Tahoma"/>
      <w:b/>
      <w:bCs/>
      <w:i/>
      <w:iCs/>
      <w:spacing w:val="-10"/>
      <w:sz w:val="22"/>
      <w:szCs w:val="22"/>
    </w:rPr>
  </w:style>
  <w:style w:type="paragraph" w:customStyle="1" w:styleId="PreformattedText">
    <w:name w:val="Preformatted Text"/>
    <w:basedOn w:val="Normal"/>
    <w:rsid w:val="009C62B8"/>
    <w:pPr>
      <w:widowControl w:val="0"/>
      <w:suppressAutoHyphens/>
    </w:pPr>
    <w:rPr>
      <w:rFonts w:ascii="Liberation Mono" w:eastAsia="Liberation Mono" w:hAnsi="Liberation Mono" w:cs="Liberation Mono"/>
      <w:sz w:val="20"/>
      <w:szCs w:val="20"/>
      <w:lang w:val="en-US" w:eastAsia="zh-CN" w:bidi="hi-IN"/>
    </w:rPr>
  </w:style>
  <w:style w:type="table" w:styleId="TableGrid">
    <w:name w:val="Table Grid"/>
    <w:basedOn w:val="TableNormal"/>
    <w:uiPriority w:val="59"/>
    <w:unhideWhenUsed/>
    <w:rsid w:val="00DD40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D5590E"/>
    <w:pPr>
      <w:ind w:left="576" w:hanging="576"/>
    </w:pPr>
    <w:rPr>
      <w:rFonts w:ascii="Calibri" w:eastAsia="Calibri" w:hAnsi="Calibri"/>
      <w:sz w:val="22"/>
      <w:szCs w:val="22"/>
      <w:lang w:val="en-US"/>
    </w:rPr>
  </w:style>
  <w:style w:type="character" w:customStyle="1" w:styleId="NoSpacingChar">
    <w:name w:val="No Spacing Char"/>
    <w:link w:val="NoSpacing"/>
    <w:locked/>
    <w:rsid w:val="00D5590E"/>
    <w:rPr>
      <w:rFonts w:ascii="Calibri" w:eastAsia="Calibri" w:hAnsi="Calibri"/>
      <w:sz w:val="22"/>
      <w:szCs w:val="22"/>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AF5676"/>
    <w:pPr>
      <w:spacing w:before="100" w:beforeAutospacing="1" w:after="100" w:afterAutospacing="1"/>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AF5676"/>
    <w:rPr>
      <w:lang w:val="en-US"/>
    </w:rPr>
  </w:style>
  <w:style w:type="character" w:styleId="Strong">
    <w:name w:val="Strong"/>
    <w:basedOn w:val="DefaultParagraphFont"/>
    <w:uiPriority w:val="22"/>
    <w:qFormat/>
    <w:rsid w:val="00487FC8"/>
    <w:rPr>
      <w:b/>
      <w:bCs/>
    </w:rPr>
  </w:style>
  <w:style w:type="paragraph" w:customStyle="1" w:styleId="Citation">
    <w:name w:val="Citation"/>
    <w:basedOn w:val="Normal"/>
    <w:qFormat/>
    <w:rsid w:val="003B7547"/>
    <w:pPr>
      <w:ind w:left="567" w:right="567"/>
      <w:jc w:val="both"/>
    </w:pPr>
    <w:rPr>
      <w:rFonts w:ascii="GHEA Grapalat" w:hAnsi="GHEA Grapalat"/>
      <w:bCs/>
      <w:i/>
      <w:iCs/>
      <w:sz w:val="20"/>
      <w:szCs w:val="20"/>
      <w:lang w:eastAsia="en-GB"/>
    </w:rPr>
  </w:style>
  <w:style w:type="character" w:customStyle="1" w:styleId="Bodytext2">
    <w:name w:val="Body text (2)_"/>
    <w:basedOn w:val="DefaultParagraphFont"/>
    <w:link w:val="Bodytext20"/>
    <w:rsid w:val="00BD27EB"/>
    <w:rPr>
      <w:rFonts w:ascii="Special#Default Metrics Font" w:eastAsia="Special#Default Metrics Font" w:hAnsi="Special#Default Metrics Font" w:cs="Special#Default Metrics Font"/>
      <w:sz w:val="82"/>
      <w:szCs w:val="82"/>
      <w:shd w:val="clear" w:color="auto" w:fill="FFFFFF"/>
    </w:rPr>
  </w:style>
  <w:style w:type="paragraph" w:customStyle="1" w:styleId="Bodytext20">
    <w:name w:val="Body text (2)"/>
    <w:basedOn w:val="Normal"/>
    <w:link w:val="Bodytext2"/>
    <w:rsid w:val="00BD27EB"/>
    <w:pPr>
      <w:widowControl w:val="0"/>
      <w:shd w:val="clear" w:color="auto" w:fill="FFFFFF"/>
      <w:spacing w:before="1740" w:line="990" w:lineRule="exact"/>
      <w:ind w:hanging="10"/>
    </w:pPr>
    <w:rPr>
      <w:rFonts w:ascii="Special#Default Metrics Font" w:eastAsia="Special#Default Metrics Font" w:hAnsi="Special#Default Metrics Font" w:cs="Special#Default Metrics Font"/>
      <w:sz w:val="82"/>
      <w:szCs w:val="82"/>
    </w:rPr>
  </w:style>
  <w:style w:type="paragraph" w:customStyle="1" w:styleId="CharCharCharCharCharCharCharCharCharCharCharChar">
    <w:name w:val="Char Char Char Char Char Char Char Char Char Char Char Char"/>
    <w:basedOn w:val="Normal"/>
    <w:rsid w:val="001829C4"/>
    <w:pPr>
      <w:spacing w:after="160" w:line="240" w:lineRule="exact"/>
    </w:pPr>
    <w:rPr>
      <w:rFonts w:ascii="Arial" w:hAnsi="Arial" w:cs="Arial"/>
      <w:sz w:val="20"/>
      <w:szCs w:val="20"/>
      <w:lang w:val="en-US"/>
    </w:rPr>
  </w:style>
  <w:style w:type="character" w:customStyle="1" w:styleId="Heading4Char">
    <w:name w:val="Heading 4 Char"/>
    <w:link w:val="Heading4"/>
    <w:rsid w:val="001829C4"/>
    <w:rPr>
      <w:b/>
    </w:rPr>
  </w:style>
  <w:style w:type="numbering" w:customStyle="1" w:styleId="NoList1">
    <w:name w:val="No List1"/>
    <w:next w:val="NoList"/>
    <w:semiHidden/>
    <w:rsid w:val="001829C4"/>
  </w:style>
  <w:style w:type="paragraph" w:styleId="BodyText3">
    <w:name w:val="Body Text 3"/>
    <w:basedOn w:val="Normal"/>
    <w:link w:val="BodyText3Char"/>
    <w:rsid w:val="001829C4"/>
    <w:pPr>
      <w:widowControl w:val="0"/>
      <w:overflowPunct w:val="0"/>
      <w:autoSpaceDE w:val="0"/>
      <w:autoSpaceDN w:val="0"/>
      <w:adjustRightInd w:val="0"/>
      <w:textAlignment w:val="baseline"/>
    </w:pPr>
    <w:rPr>
      <w:rFonts w:ascii="Arial Armenian" w:hAnsi="Arial Armenian"/>
      <w:b/>
      <w:sz w:val="22"/>
      <w:szCs w:val="20"/>
      <w:lang w:val="en-US"/>
    </w:rPr>
  </w:style>
  <w:style w:type="character" w:customStyle="1" w:styleId="BodyText3Char">
    <w:name w:val="Body Text 3 Char"/>
    <w:basedOn w:val="DefaultParagraphFont"/>
    <w:link w:val="BodyText3"/>
    <w:rsid w:val="001829C4"/>
    <w:rPr>
      <w:rFonts w:ascii="Arial Armenian" w:hAnsi="Arial Armenian"/>
      <w:b/>
      <w:sz w:val="22"/>
      <w:szCs w:val="20"/>
      <w:lang w:val="en-US"/>
    </w:rPr>
  </w:style>
  <w:style w:type="paragraph" w:styleId="BodyTextIndent">
    <w:name w:val="Body Text Indent"/>
    <w:basedOn w:val="Normal"/>
    <w:link w:val="BodyTextIndentChar"/>
    <w:rsid w:val="001829C4"/>
    <w:pPr>
      <w:widowControl w:val="0"/>
      <w:overflowPunct w:val="0"/>
      <w:autoSpaceDE w:val="0"/>
      <w:autoSpaceDN w:val="0"/>
      <w:adjustRightInd w:val="0"/>
      <w:spacing w:line="360" w:lineRule="auto"/>
      <w:ind w:firstLine="720"/>
      <w:jc w:val="both"/>
      <w:textAlignment w:val="baseline"/>
    </w:pPr>
    <w:rPr>
      <w:rFonts w:ascii="Arial Armenian" w:hAnsi="Arial Armenian"/>
      <w:sz w:val="20"/>
      <w:szCs w:val="20"/>
      <w:lang w:val="en-US"/>
    </w:rPr>
  </w:style>
  <w:style w:type="character" w:customStyle="1" w:styleId="BodyTextIndentChar">
    <w:name w:val="Body Text Indent Char"/>
    <w:basedOn w:val="DefaultParagraphFont"/>
    <w:link w:val="BodyTextIndent"/>
    <w:rsid w:val="001829C4"/>
    <w:rPr>
      <w:rFonts w:ascii="Arial Armenian" w:hAnsi="Arial Armenian"/>
      <w:sz w:val="20"/>
      <w:szCs w:val="20"/>
      <w:lang w:val="en-US"/>
    </w:rPr>
  </w:style>
  <w:style w:type="paragraph" w:styleId="BodyText21">
    <w:name w:val="Body Text 2"/>
    <w:basedOn w:val="Normal"/>
    <w:link w:val="BodyText2Char"/>
    <w:rsid w:val="001829C4"/>
    <w:pPr>
      <w:widowControl w:val="0"/>
      <w:tabs>
        <w:tab w:val="left" w:pos="567"/>
        <w:tab w:val="left" w:pos="993"/>
        <w:tab w:val="left" w:pos="1134"/>
        <w:tab w:val="left" w:pos="1560"/>
        <w:tab w:val="left" w:pos="1701"/>
      </w:tabs>
      <w:overflowPunct w:val="0"/>
      <w:autoSpaceDE w:val="0"/>
      <w:autoSpaceDN w:val="0"/>
      <w:adjustRightInd w:val="0"/>
      <w:spacing w:line="360" w:lineRule="auto"/>
      <w:jc w:val="both"/>
      <w:textAlignment w:val="baseline"/>
    </w:pPr>
    <w:rPr>
      <w:rFonts w:ascii="Arial Armenian" w:hAnsi="Arial Armenian"/>
      <w:sz w:val="22"/>
      <w:szCs w:val="20"/>
      <w:lang w:val="en-US"/>
    </w:rPr>
  </w:style>
  <w:style w:type="character" w:customStyle="1" w:styleId="BodyText2Char">
    <w:name w:val="Body Text 2 Char"/>
    <w:basedOn w:val="DefaultParagraphFont"/>
    <w:link w:val="BodyText21"/>
    <w:rsid w:val="001829C4"/>
    <w:rPr>
      <w:rFonts w:ascii="Arial Armenian" w:hAnsi="Arial Armenian"/>
      <w:sz w:val="22"/>
      <w:szCs w:val="20"/>
      <w:lang w:val="en-US"/>
    </w:rPr>
  </w:style>
  <w:style w:type="paragraph" w:styleId="BodyTextIndent2">
    <w:name w:val="Body Text Indent 2"/>
    <w:basedOn w:val="Normal"/>
    <w:link w:val="BodyTextIndent2Char"/>
    <w:rsid w:val="001829C4"/>
    <w:pPr>
      <w:overflowPunct w:val="0"/>
      <w:autoSpaceDE w:val="0"/>
      <w:autoSpaceDN w:val="0"/>
      <w:adjustRightInd w:val="0"/>
      <w:spacing w:after="120" w:line="480" w:lineRule="auto"/>
      <w:ind w:left="360"/>
      <w:textAlignment w:val="baseline"/>
    </w:pPr>
    <w:rPr>
      <w:sz w:val="20"/>
      <w:szCs w:val="20"/>
      <w:lang w:val="en-GB"/>
    </w:rPr>
  </w:style>
  <w:style w:type="character" w:customStyle="1" w:styleId="BodyTextIndent2Char">
    <w:name w:val="Body Text Indent 2 Char"/>
    <w:basedOn w:val="DefaultParagraphFont"/>
    <w:link w:val="BodyTextIndent2"/>
    <w:rsid w:val="001829C4"/>
    <w:rPr>
      <w:sz w:val="20"/>
      <w:szCs w:val="20"/>
      <w:lang w:val="en-GB"/>
    </w:rPr>
  </w:style>
  <w:style w:type="paragraph" w:customStyle="1" w:styleId="CharChar">
    <w:name w:val="Знак Знак Char Char Знак Знак"/>
    <w:basedOn w:val="Normal"/>
    <w:rsid w:val="001829C4"/>
    <w:pPr>
      <w:spacing w:after="160" w:line="240" w:lineRule="exact"/>
    </w:pPr>
    <w:rPr>
      <w:rFonts w:ascii="Arial" w:hAnsi="Arial" w:cs="Arial"/>
      <w:sz w:val="20"/>
      <w:szCs w:val="20"/>
      <w:lang w:val="en-US"/>
    </w:rPr>
  </w:style>
  <w:style w:type="character" w:customStyle="1" w:styleId="FontStyle165">
    <w:name w:val="Font Style165"/>
    <w:rsid w:val="001829C4"/>
    <w:rPr>
      <w:rFonts w:ascii="Sylfaen" w:hAnsi="Sylfaen" w:cs="Sylfaen"/>
      <w:sz w:val="18"/>
      <w:szCs w:val="18"/>
    </w:rPr>
  </w:style>
  <w:style w:type="paragraph" w:customStyle="1" w:styleId="mechtex">
    <w:name w:val="mechtex"/>
    <w:basedOn w:val="Normal"/>
    <w:link w:val="mechtexChar"/>
    <w:rsid w:val="001829C4"/>
    <w:pPr>
      <w:jc w:val="center"/>
    </w:pPr>
    <w:rPr>
      <w:rFonts w:ascii="Arial Armenian" w:hAnsi="Arial Armenian"/>
      <w:sz w:val="22"/>
      <w:szCs w:val="22"/>
      <w:lang w:val="en-US" w:eastAsia="ru-RU"/>
    </w:rPr>
  </w:style>
  <w:style w:type="character" w:customStyle="1" w:styleId="mechtexChar">
    <w:name w:val="mechtex Char"/>
    <w:link w:val="mechtex"/>
    <w:locked/>
    <w:rsid w:val="001829C4"/>
    <w:rPr>
      <w:rFonts w:ascii="Arial Armenian" w:hAnsi="Arial Armenian"/>
      <w:sz w:val="22"/>
      <w:szCs w:val="22"/>
      <w:lang w:val="en-US" w:eastAsia="ru-RU"/>
    </w:rPr>
  </w:style>
  <w:style w:type="paragraph" w:customStyle="1" w:styleId="norm">
    <w:name w:val="norm"/>
    <w:basedOn w:val="Normal"/>
    <w:link w:val="normChar"/>
    <w:rsid w:val="001829C4"/>
    <w:pPr>
      <w:spacing w:line="480" w:lineRule="auto"/>
      <w:ind w:firstLine="709"/>
      <w:jc w:val="both"/>
    </w:pPr>
    <w:rPr>
      <w:rFonts w:ascii="Arial Armenian" w:hAnsi="Arial Armenian"/>
      <w:sz w:val="22"/>
      <w:szCs w:val="22"/>
      <w:lang w:val="en-US" w:eastAsia="ru-RU"/>
    </w:rPr>
  </w:style>
  <w:style w:type="character" w:customStyle="1" w:styleId="normChar">
    <w:name w:val="norm Char"/>
    <w:link w:val="norm"/>
    <w:locked/>
    <w:rsid w:val="001829C4"/>
    <w:rPr>
      <w:rFonts w:ascii="Arial Armenian" w:hAnsi="Arial Armenian"/>
      <w:sz w:val="22"/>
      <w:szCs w:val="22"/>
      <w:lang w:val="en-US" w:eastAsia="ru-RU"/>
    </w:rPr>
  </w:style>
  <w:style w:type="paragraph" w:customStyle="1" w:styleId="s4b16dfe">
    <w:name w:val="s4b16dfe"/>
    <w:basedOn w:val="Normal"/>
    <w:rsid w:val="00DA5136"/>
    <w:pPr>
      <w:spacing w:before="100" w:beforeAutospacing="1" w:after="100" w:afterAutospacing="1"/>
    </w:pPr>
    <w:rPr>
      <w:lang w:val="en-US"/>
    </w:rPr>
  </w:style>
  <w:style w:type="paragraph" w:styleId="Header">
    <w:name w:val="header"/>
    <w:basedOn w:val="Normal"/>
    <w:link w:val="HeaderChar"/>
    <w:uiPriority w:val="99"/>
    <w:semiHidden/>
    <w:unhideWhenUsed/>
    <w:rsid w:val="004C69E5"/>
    <w:pPr>
      <w:tabs>
        <w:tab w:val="center" w:pos="4680"/>
        <w:tab w:val="right" w:pos="9360"/>
      </w:tabs>
    </w:pPr>
  </w:style>
  <w:style w:type="character" w:customStyle="1" w:styleId="HeaderChar">
    <w:name w:val="Header Char"/>
    <w:basedOn w:val="DefaultParagraphFont"/>
    <w:link w:val="Header"/>
    <w:uiPriority w:val="99"/>
    <w:semiHidden/>
    <w:rsid w:val="004C69E5"/>
  </w:style>
  <w:style w:type="paragraph" w:styleId="Footer">
    <w:name w:val="footer"/>
    <w:basedOn w:val="Normal"/>
    <w:link w:val="FooterChar"/>
    <w:uiPriority w:val="99"/>
    <w:semiHidden/>
    <w:unhideWhenUsed/>
    <w:rsid w:val="004C69E5"/>
    <w:pPr>
      <w:tabs>
        <w:tab w:val="center" w:pos="4680"/>
        <w:tab w:val="right" w:pos="9360"/>
      </w:tabs>
    </w:pPr>
  </w:style>
  <w:style w:type="character" w:customStyle="1" w:styleId="FooterChar">
    <w:name w:val="Footer Char"/>
    <w:basedOn w:val="DefaultParagraphFont"/>
    <w:link w:val="Footer"/>
    <w:uiPriority w:val="99"/>
    <w:semiHidden/>
    <w:rsid w:val="004C69E5"/>
  </w:style>
  <w:style w:type="character" w:styleId="FollowedHyperlink">
    <w:name w:val="FollowedHyperlink"/>
    <w:basedOn w:val="DefaultParagraphFont"/>
    <w:uiPriority w:val="99"/>
    <w:semiHidden/>
    <w:unhideWhenUsed/>
    <w:rsid w:val="0039596C"/>
    <w:rPr>
      <w:color w:val="800080" w:themeColor="followedHyperlink"/>
      <w:u w:val="single"/>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0E3FBC"/>
    <w:pPr>
      <w:spacing w:after="160" w:line="240" w:lineRule="exact"/>
    </w:pPr>
    <w:rPr>
      <w:vertAlign w:val="superscript"/>
    </w:rPr>
  </w:style>
  <w:style w:type="paragraph" w:customStyle="1" w:styleId="BVIfnr">
    <w:name w:val="BVI fnr Знак"/>
    <w:aliases w:val="BVI fnr Car Car Знак,BVI fnr Car Знак,BVI fnr Car Car Car Car Знак,BVI fnr Car Car Car Car Char Знак,BVI fnr Char Знак,BVI fnr Car Car Char Знак,BVI fnr Car Char Знак"/>
    <w:basedOn w:val="Normal"/>
    <w:uiPriority w:val="99"/>
    <w:rsid w:val="00F65CBC"/>
    <w:pPr>
      <w:spacing w:after="160" w:line="240" w:lineRule="exact"/>
      <w:jc w:val="both"/>
    </w:pPr>
    <w:rPr>
      <w:rFonts w:asciiTheme="minorHAnsi" w:eastAsiaTheme="minorHAnsi" w:hAnsiTheme="minorHAnsi" w:cstheme="minorBidi"/>
      <w:sz w:val="22"/>
      <w:szCs w:val="22"/>
      <w:vertAlign w:val="superscript"/>
      <w:lang w:val="en-US"/>
    </w:rPr>
  </w:style>
  <w:style w:type="paragraph" w:customStyle="1" w:styleId="dec-date">
    <w:name w:val="dec-date"/>
    <w:basedOn w:val="Normal"/>
    <w:uiPriority w:val="99"/>
    <w:qFormat/>
    <w:rsid w:val="00F65CBC"/>
    <w:pPr>
      <w:spacing w:before="100" w:beforeAutospacing="1" w:after="100" w:afterAutospacing="1"/>
    </w:pPr>
    <w:rPr>
      <w:rFonts w:eastAsia="Calibri" w:cs="Sylfaen"/>
      <w:lang w:val="en-US"/>
    </w:rPr>
  </w:style>
  <w:style w:type="paragraph" w:customStyle="1" w:styleId="1">
    <w:name w:val="Обычный1"/>
    <w:rsid w:val="00D92C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585374">
      <w:bodyDiv w:val="1"/>
      <w:marLeft w:val="0"/>
      <w:marRight w:val="0"/>
      <w:marTop w:val="0"/>
      <w:marBottom w:val="0"/>
      <w:divBdr>
        <w:top w:val="none" w:sz="0" w:space="0" w:color="auto"/>
        <w:left w:val="none" w:sz="0" w:space="0" w:color="auto"/>
        <w:bottom w:val="none" w:sz="0" w:space="0" w:color="auto"/>
        <w:right w:val="none" w:sz="0" w:space="0" w:color="auto"/>
      </w:divBdr>
    </w:div>
    <w:div w:id="434180474">
      <w:bodyDiv w:val="1"/>
      <w:marLeft w:val="0"/>
      <w:marRight w:val="0"/>
      <w:marTop w:val="0"/>
      <w:marBottom w:val="0"/>
      <w:divBdr>
        <w:top w:val="none" w:sz="0" w:space="0" w:color="auto"/>
        <w:left w:val="none" w:sz="0" w:space="0" w:color="auto"/>
        <w:bottom w:val="none" w:sz="0" w:space="0" w:color="auto"/>
        <w:right w:val="none" w:sz="0" w:space="0" w:color="auto"/>
      </w:divBdr>
    </w:div>
    <w:div w:id="468740549">
      <w:bodyDiv w:val="1"/>
      <w:marLeft w:val="0"/>
      <w:marRight w:val="0"/>
      <w:marTop w:val="0"/>
      <w:marBottom w:val="0"/>
      <w:divBdr>
        <w:top w:val="none" w:sz="0" w:space="0" w:color="auto"/>
        <w:left w:val="none" w:sz="0" w:space="0" w:color="auto"/>
        <w:bottom w:val="none" w:sz="0" w:space="0" w:color="auto"/>
        <w:right w:val="none" w:sz="0" w:space="0" w:color="auto"/>
      </w:divBdr>
      <w:divsChild>
        <w:div w:id="508258424">
          <w:marLeft w:val="0"/>
          <w:marRight w:val="0"/>
          <w:marTop w:val="0"/>
          <w:marBottom w:val="0"/>
          <w:divBdr>
            <w:top w:val="none" w:sz="0" w:space="0" w:color="auto"/>
            <w:left w:val="none" w:sz="0" w:space="0" w:color="auto"/>
            <w:bottom w:val="none" w:sz="0" w:space="0" w:color="auto"/>
            <w:right w:val="none" w:sz="0" w:space="0" w:color="auto"/>
          </w:divBdr>
          <w:divsChild>
            <w:div w:id="471556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715462">
      <w:bodyDiv w:val="1"/>
      <w:marLeft w:val="0"/>
      <w:marRight w:val="0"/>
      <w:marTop w:val="0"/>
      <w:marBottom w:val="0"/>
      <w:divBdr>
        <w:top w:val="none" w:sz="0" w:space="0" w:color="auto"/>
        <w:left w:val="none" w:sz="0" w:space="0" w:color="auto"/>
        <w:bottom w:val="none" w:sz="0" w:space="0" w:color="auto"/>
        <w:right w:val="none" w:sz="0" w:space="0" w:color="auto"/>
      </w:divBdr>
    </w:div>
    <w:div w:id="661615923">
      <w:bodyDiv w:val="1"/>
      <w:marLeft w:val="0"/>
      <w:marRight w:val="0"/>
      <w:marTop w:val="0"/>
      <w:marBottom w:val="0"/>
      <w:divBdr>
        <w:top w:val="none" w:sz="0" w:space="0" w:color="auto"/>
        <w:left w:val="none" w:sz="0" w:space="0" w:color="auto"/>
        <w:bottom w:val="none" w:sz="0" w:space="0" w:color="auto"/>
        <w:right w:val="none" w:sz="0" w:space="0" w:color="auto"/>
      </w:divBdr>
    </w:div>
    <w:div w:id="709839143">
      <w:bodyDiv w:val="1"/>
      <w:marLeft w:val="0"/>
      <w:marRight w:val="0"/>
      <w:marTop w:val="0"/>
      <w:marBottom w:val="0"/>
      <w:divBdr>
        <w:top w:val="none" w:sz="0" w:space="0" w:color="auto"/>
        <w:left w:val="none" w:sz="0" w:space="0" w:color="auto"/>
        <w:bottom w:val="none" w:sz="0" w:space="0" w:color="auto"/>
        <w:right w:val="none" w:sz="0" w:space="0" w:color="auto"/>
      </w:divBdr>
      <w:divsChild>
        <w:div w:id="886573508">
          <w:marLeft w:val="0"/>
          <w:marRight w:val="0"/>
          <w:marTop w:val="0"/>
          <w:marBottom w:val="0"/>
          <w:divBdr>
            <w:top w:val="none" w:sz="0" w:space="0" w:color="auto"/>
            <w:left w:val="none" w:sz="0" w:space="0" w:color="auto"/>
            <w:bottom w:val="none" w:sz="0" w:space="0" w:color="auto"/>
            <w:right w:val="none" w:sz="0" w:space="0" w:color="auto"/>
          </w:divBdr>
          <w:divsChild>
            <w:div w:id="137580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7423868">
      <w:bodyDiv w:val="1"/>
      <w:marLeft w:val="0"/>
      <w:marRight w:val="0"/>
      <w:marTop w:val="0"/>
      <w:marBottom w:val="0"/>
      <w:divBdr>
        <w:top w:val="none" w:sz="0" w:space="0" w:color="auto"/>
        <w:left w:val="none" w:sz="0" w:space="0" w:color="auto"/>
        <w:bottom w:val="none" w:sz="0" w:space="0" w:color="auto"/>
        <w:right w:val="none" w:sz="0" w:space="0" w:color="auto"/>
      </w:divBdr>
    </w:div>
    <w:div w:id="1293098938">
      <w:bodyDiv w:val="1"/>
      <w:marLeft w:val="0"/>
      <w:marRight w:val="0"/>
      <w:marTop w:val="0"/>
      <w:marBottom w:val="0"/>
      <w:divBdr>
        <w:top w:val="none" w:sz="0" w:space="0" w:color="auto"/>
        <w:left w:val="none" w:sz="0" w:space="0" w:color="auto"/>
        <w:bottom w:val="none" w:sz="0" w:space="0" w:color="auto"/>
        <w:right w:val="none" w:sz="0" w:space="0" w:color="auto"/>
      </w:divBdr>
    </w:div>
    <w:div w:id="1376927059">
      <w:bodyDiv w:val="1"/>
      <w:marLeft w:val="0"/>
      <w:marRight w:val="0"/>
      <w:marTop w:val="0"/>
      <w:marBottom w:val="0"/>
      <w:divBdr>
        <w:top w:val="none" w:sz="0" w:space="0" w:color="auto"/>
        <w:left w:val="none" w:sz="0" w:space="0" w:color="auto"/>
        <w:bottom w:val="none" w:sz="0" w:space="0" w:color="auto"/>
        <w:right w:val="none" w:sz="0" w:space="0" w:color="auto"/>
      </w:divBdr>
      <w:divsChild>
        <w:div w:id="1734086690">
          <w:marLeft w:val="0"/>
          <w:marRight w:val="0"/>
          <w:marTop w:val="0"/>
          <w:marBottom w:val="0"/>
          <w:divBdr>
            <w:top w:val="none" w:sz="0" w:space="0" w:color="auto"/>
            <w:left w:val="none" w:sz="0" w:space="0" w:color="auto"/>
            <w:bottom w:val="none" w:sz="0" w:space="0" w:color="auto"/>
            <w:right w:val="none" w:sz="0" w:space="0" w:color="auto"/>
          </w:divBdr>
          <w:divsChild>
            <w:div w:id="1946837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0207817">
      <w:bodyDiv w:val="1"/>
      <w:marLeft w:val="0"/>
      <w:marRight w:val="0"/>
      <w:marTop w:val="0"/>
      <w:marBottom w:val="0"/>
      <w:divBdr>
        <w:top w:val="none" w:sz="0" w:space="0" w:color="auto"/>
        <w:left w:val="none" w:sz="0" w:space="0" w:color="auto"/>
        <w:bottom w:val="none" w:sz="0" w:space="0" w:color="auto"/>
        <w:right w:val="none" w:sz="0" w:space="0" w:color="auto"/>
      </w:divBdr>
      <w:divsChild>
        <w:div w:id="2045015855">
          <w:marLeft w:val="0"/>
          <w:marRight w:val="0"/>
          <w:marTop w:val="0"/>
          <w:marBottom w:val="0"/>
          <w:divBdr>
            <w:top w:val="none" w:sz="0" w:space="0" w:color="auto"/>
            <w:left w:val="none" w:sz="0" w:space="0" w:color="auto"/>
            <w:bottom w:val="none" w:sz="0" w:space="0" w:color="auto"/>
            <w:right w:val="none" w:sz="0" w:space="0" w:color="auto"/>
          </w:divBdr>
          <w:divsChild>
            <w:div w:id="18602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603709">
      <w:bodyDiv w:val="1"/>
      <w:marLeft w:val="0"/>
      <w:marRight w:val="0"/>
      <w:marTop w:val="0"/>
      <w:marBottom w:val="0"/>
      <w:divBdr>
        <w:top w:val="none" w:sz="0" w:space="0" w:color="auto"/>
        <w:left w:val="none" w:sz="0" w:space="0" w:color="auto"/>
        <w:bottom w:val="none" w:sz="0" w:space="0" w:color="auto"/>
        <w:right w:val="none" w:sz="0" w:space="0" w:color="auto"/>
      </w:divBdr>
    </w:div>
    <w:div w:id="1698198597">
      <w:bodyDiv w:val="1"/>
      <w:marLeft w:val="0"/>
      <w:marRight w:val="0"/>
      <w:marTop w:val="0"/>
      <w:marBottom w:val="0"/>
      <w:divBdr>
        <w:top w:val="none" w:sz="0" w:space="0" w:color="auto"/>
        <w:left w:val="none" w:sz="0" w:space="0" w:color="auto"/>
        <w:bottom w:val="none" w:sz="0" w:space="0" w:color="auto"/>
        <w:right w:val="none" w:sz="0" w:space="0" w:color="auto"/>
      </w:divBdr>
      <w:divsChild>
        <w:div w:id="1423188830">
          <w:marLeft w:val="0"/>
          <w:marRight w:val="0"/>
          <w:marTop w:val="0"/>
          <w:marBottom w:val="0"/>
          <w:divBdr>
            <w:top w:val="none" w:sz="0" w:space="0" w:color="auto"/>
            <w:left w:val="none" w:sz="0" w:space="0" w:color="auto"/>
            <w:bottom w:val="none" w:sz="0" w:space="0" w:color="auto"/>
            <w:right w:val="none" w:sz="0" w:space="0" w:color="auto"/>
          </w:divBdr>
          <w:divsChild>
            <w:div w:id="168751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4783035">
      <w:bodyDiv w:val="1"/>
      <w:marLeft w:val="0"/>
      <w:marRight w:val="0"/>
      <w:marTop w:val="0"/>
      <w:marBottom w:val="0"/>
      <w:divBdr>
        <w:top w:val="none" w:sz="0" w:space="0" w:color="auto"/>
        <w:left w:val="none" w:sz="0" w:space="0" w:color="auto"/>
        <w:bottom w:val="none" w:sz="0" w:space="0" w:color="auto"/>
        <w:right w:val="none" w:sz="0" w:space="0" w:color="auto"/>
      </w:divBdr>
    </w:div>
    <w:div w:id="1922712372">
      <w:bodyDiv w:val="1"/>
      <w:marLeft w:val="0"/>
      <w:marRight w:val="0"/>
      <w:marTop w:val="0"/>
      <w:marBottom w:val="0"/>
      <w:divBdr>
        <w:top w:val="none" w:sz="0" w:space="0" w:color="auto"/>
        <w:left w:val="none" w:sz="0" w:space="0" w:color="auto"/>
        <w:bottom w:val="none" w:sz="0" w:space="0" w:color="auto"/>
        <w:right w:val="none" w:sz="0" w:space="0" w:color="auto"/>
      </w:divBdr>
      <w:divsChild>
        <w:div w:id="748888666">
          <w:marLeft w:val="0"/>
          <w:marRight w:val="0"/>
          <w:marTop w:val="0"/>
          <w:marBottom w:val="0"/>
          <w:divBdr>
            <w:top w:val="none" w:sz="0" w:space="0" w:color="auto"/>
            <w:left w:val="none" w:sz="0" w:space="0" w:color="auto"/>
            <w:bottom w:val="none" w:sz="0" w:space="0" w:color="auto"/>
            <w:right w:val="none" w:sz="0" w:space="0" w:color="auto"/>
          </w:divBdr>
          <w:divsChild>
            <w:div w:id="88075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675677">
      <w:bodyDiv w:val="1"/>
      <w:marLeft w:val="0"/>
      <w:marRight w:val="0"/>
      <w:marTop w:val="0"/>
      <w:marBottom w:val="0"/>
      <w:divBdr>
        <w:top w:val="none" w:sz="0" w:space="0" w:color="auto"/>
        <w:left w:val="none" w:sz="0" w:space="0" w:color="auto"/>
        <w:bottom w:val="none" w:sz="0" w:space="0" w:color="auto"/>
        <w:right w:val="none" w:sz="0" w:space="0" w:color="auto"/>
      </w:divBdr>
    </w:div>
    <w:div w:id="2009599772">
      <w:bodyDiv w:val="1"/>
      <w:marLeft w:val="0"/>
      <w:marRight w:val="0"/>
      <w:marTop w:val="0"/>
      <w:marBottom w:val="0"/>
      <w:divBdr>
        <w:top w:val="none" w:sz="0" w:space="0" w:color="auto"/>
        <w:left w:val="none" w:sz="0" w:space="0" w:color="auto"/>
        <w:bottom w:val="none" w:sz="0" w:space="0" w:color="auto"/>
        <w:right w:val="none" w:sz="0" w:space="0" w:color="auto"/>
      </w:divBdr>
    </w:div>
    <w:div w:id="21152465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idrc.co.uk/arbitration-rooms-layouts/" TargetMode="External"/><Relationship Id="rId5" Type="http://schemas.openxmlformats.org/officeDocument/2006/relationships/settings" Target="settings.xml"/><Relationship Id="rId10" Type="http://schemas.openxmlformats.org/officeDocument/2006/relationships/hyperlink" Target="https://www.sihc.se/physical-hearing/" TargetMode="External"/><Relationship Id="rId4" Type="http://schemas.openxmlformats.org/officeDocument/2006/relationships/styles" Target="styles.xml"/><Relationship Id="rId9" Type="http://schemas.openxmlformats.org/officeDocument/2006/relationships/hyperlink" Target="https://moj.am/article/3308"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vmq/w3P/+ZQqObnLmFiA4+ovbQ==">AMUW2mUvGpPmrC2dQF7rVLwK23KyoIaxz8uuP1/2UlT88q/TKigQMaJvv9g1a1n+xiQ2jwLIvMcLzRUiCicE4FG77oMUQ8mrM+lGGVl73vfcqoBZoorxt7da1Osn/ZO4YHaXOi06bEzW</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265917B-ECE0-47DC-A709-8CED8A858E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2098</Words>
  <Characters>11964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Tigran Dadunc</dc:creator>
  <cp:keywords>https://mul2.gov.am/tasks/758103/oneclick/Ampopatert1.docx?token=888176fcce48d1253e2a6b21e6329ece</cp:keywords>
  <cp:lastModifiedBy>Zara Margaryan</cp:lastModifiedBy>
  <cp:revision>3</cp:revision>
  <dcterms:created xsi:type="dcterms:W3CDTF">2023-03-06T10:28:00Z</dcterms:created>
  <dcterms:modified xsi:type="dcterms:W3CDTF">2023-03-06T10:33:00Z</dcterms:modified>
</cp:coreProperties>
</file>