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E945B" w14:textId="77777777" w:rsidR="00A80737" w:rsidRPr="002C0492" w:rsidRDefault="00A80737" w:rsidP="00355FCF">
      <w:pPr>
        <w:shd w:val="clear" w:color="auto" w:fill="FFFFFF"/>
        <w:spacing w:after="0" w:line="360" w:lineRule="auto"/>
        <w:ind w:firstLine="375"/>
        <w:jc w:val="center"/>
        <w:outlineLvl w:val="0"/>
        <w:rPr>
          <w:rFonts w:ascii="GHEA Grapalat" w:eastAsia="Times New Roman" w:hAnsi="GHEA Grapalat" w:cs="Times New Roman"/>
          <w:color w:val="000000"/>
          <w:sz w:val="24"/>
          <w:szCs w:val="24"/>
          <w:lang w:val="hy-AM" w:eastAsia="ru-RU"/>
        </w:rPr>
      </w:pPr>
      <w:r w:rsidRPr="002C0492">
        <w:rPr>
          <w:rFonts w:ascii="GHEA Grapalat" w:eastAsia="Times New Roman" w:hAnsi="GHEA Grapalat" w:cs="Times New Roman"/>
          <w:b/>
          <w:bCs/>
          <w:color w:val="000000"/>
          <w:sz w:val="24"/>
          <w:szCs w:val="24"/>
          <w:lang w:val="hy-AM" w:eastAsia="ru-RU"/>
        </w:rPr>
        <w:t>ԱՄՓՈՓԱԹԵՐԹ</w:t>
      </w:r>
    </w:p>
    <w:p w14:paraId="4ABE2A92" w14:textId="47997646" w:rsidR="00A80737" w:rsidRPr="002C0492" w:rsidRDefault="009F51C3" w:rsidP="00F6753D">
      <w:pPr>
        <w:pStyle w:val="NormalWeb"/>
        <w:shd w:val="clear" w:color="auto" w:fill="FFFFFF"/>
        <w:spacing w:before="0" w:beforeAutospacing="0" w:after="0" w:afterAutospacing="0"/>
        <w:jc w:val="center"/>
        <w:rPr>
          <w:rFonts w:ascii="GHEA Grapalat" w:hAnsi="GHEA Grapalat"/>
          <w:color w:val="000000"/>
          <w:lang w:val="hy-AM"/>
        </w:rPr>
      </w:pPr>
      <w:r w:rsidRPr="009F51C3">
        <w:rPr>
          <w:rFonts w:ascii="GHEA Grapalat" w:eastAsia="GHEA Grapalat" w:hAnsi="GHEA Grapalat" w:cs="GHEA Grapalat"/>
          <w:b/>
          <w:color w:val="000000"/>
        </w:rPr>
        <w:t>«ՀԱՅԱՍՏԱՆԻ ՀԱՆՐԱՊԵՏՈՒԹՅԱՆ 202</w:t>
      </w:r>
      <w:r w:rsidR="003A51A8" w:rsidRPr="003A51A8">
        <w:rPr>
          <w:rFonts w:ascii="GHEA Grapalat" w:eastAsia="GHEA Grapalat" w:hAnsi="GHEA Grapalat" w:cs="GHEA Grapalat"/>
          <w:b/>
          <w:color w:val="000000"/>
          <w:lang w:val="hy-AM"/>
        </w:rPr>
        <w:t>3</w:t>
      </w:r>
      <w:r w:rsidRPr="009F51C3">
        <w:rPr>
          <w:rFonts w:ascii="GHEA Grapalat" w:eastAsia="GHEA Grapalat" w:hAnsi="GHEA Grapalat" w:cs="GHEA Grapalat"/>
          <w:b/>
          <w:color w:val="000000"/>
        </w:rPr>
        <w:t xml:space="preserve"> ԹՎԱԿԱՆԻ ՊԵՏԱԿԱՆ ԲՅՈՒՋԵԻ ՄԱՍԻՆ» ՕՐԵՆՔՈՒՄ ՓՈՓՈԽՈՒԹՅՈՒՆ</w:t>
      </w:r>
      <w:r w:rsidR="003A51A8">
        <w:rPr>
          <w:rFonts w:ascii="GHEA Grapalat" w:eastAsia="GHEA Grapalat" w:hAnsi="GHEA Grapalat" w:cs="GHEA Grapalat"/>
          <w:b/>
          <w:color w:val="000000"/>
          <w:lang w:val="hy-AM"/>
        </w:rPr>
        <w:t>ՆԵՐ,</w:t>
      </w:r>
      <w:r w:rsidRPr="009F51C3">
        <w:rPr>
          <w:rFonts w:ascii="GHEA Grapalat" w:eastAsia="GHEA Grapalat" w:hAnsi="GHEA Grapalat" w:cs="GHEA Grapalat"/>
          <w:b/>
          <w:color w:val="000000"/>
        </w:rPr>
        <w:t xml:space="preserve"> ՀԱՅԱՍՏԱՆԻ ՀԱՆՐԱՊԵՏՈՒԹՅԱՆ ԿԱՌԱՎԱՐՈՒԹՅԱՆ 202</w:t>
      </w:r>
      <w:r w:rsidR="003A51A8">
        <w:rPr>
          <w:rFonts w:ascii="GHEA Grapalat" w:eastAsia="GHEA Grapalat" w:hAnsi="GHEA Grapalat" w:cs="GHEA Grapalat"/>
          <w:b/>
          <w:color w:val="000000"/>
          <w:lang w:val="hy-AM"/>
        </w:rPr>
        <w:t>2</w:t>
      </w:r>
      <w:r w:rsidRPr="009F51C3">
        <w:rPr>
          <w:rFonts w:ascii="GHEA Grapalat" w:eastAsia="GHEA Grapalat" w:hAnsi="GHEA Grapalat" w:cs="GHEA Grapalat"/>
          <w:b/>
          <w:color w:val="000000"/>
        </w:rPr>
        <w:t xml:space="preserve"> ԹՎԱԿԱՆԻ ԴԵԿՏԵՄԲԵՐԻ 2</w:t>
      </w:r>
      <w:r w:rsidR="003A51A8">
        <w:rPr>
          <w:rFonts w:ascii="GHEA Grapalat" w:eastAsia="GHEA Grapalat" w:hAnsi="GHEA Grapalat" w:cs="GHEA Grapalat"/>
          <w:b/>
          <w:color w:val="000000"/>
          <w:lang w:val="hy-AM"/>
        </w:rPr>
        <w:t>9</w:t>
      </w:r>
      <w:r w:rsidRPr="009F51C3">
        <w:rPr>
          <w:rFonts w:ascii="GHEA Grapalat" w:eastAsia="GHEA Grapalat" w:hAnsi="GHEA Grapalat" w:cs="GHEA Grapalat"/>
          <w:b/>
          <w:color w:val="000000"/>
        </w:rPr>
        <w:t>-Ի N 21</w:t>
      </w:r>
      <w:r w:rsidR="003A51A8">
        <w:rPr>
          <w:rFonts w:ascii="GHEA Grapalat" w:eastAsia="GHEA Grapalat" w:hAnsi="GHEA Grapalat" w:cs="GHEA Grapalat"/>
          <w:b/>
          <w:color w:val="000000"/>
          <w:lang w:val="hy-AM"/>
        </w:rPr>
        <w:t>1</w:t>
      </w:r>
      <w:r w:rsidRPr="009F51C3">
        <w:rPr>
          <w:rFonts w:ascii="GHEA Grapalat" w:eastAsia="GHEA Grapalat" w:hAnsi="GHEA Grapalat" w:cs="GHEA Grapalat"/>
          <w:b/>
          <w:color w:val="000000"/>
        </w:rPr>
        <w:t>1-Ն ՈՐՈՇՄԱՆ ՄԵՋ ՓՈՓՈԽՈՒԹՅՈՒՆՆԵՐ ԵՎ ԼՐԱՑՈՒՄՆԵՐ ԿԱՏԱՐԵԼՈՒ ՄԱՍԻՆ»</w:t>
      </w:r>
      <w:r w:rsidR="00182059">
        <w:rPr>
          <w:rFonts w:ascii="GHEA Grapalat" w:eastAsia="GHEA Grapalat" w:hAnsi="GHEA Grapalat" w:cs="GHEA Grapalat"/>
          <w:b/>
          <w:color w:val="000000"/>
          <w:lang w:val="hy-AM"/>
        </w:rPr>
        <w:t xml:space="preserve"> </w:t>
      </w:r>
      <w:r w:rsidR="00A80737" w:rsidRPr="002C0492">
        <w:rPr>
          <w:rFonts w:ascii="GHEA Grapalat" w:hAnsi="GHEA Grapalat"/>
          <w:b/>
          <w:bCs/>
          <w:color w:val="000000"/>
          <w:lang w:val="hy-AM"/>
        </w:rPr>
        <w:t>ՀԱՅԱՍՏԱՆԻ ՀԱՆՐԱՊԵՏՈՒԹՅԱՆ ԿԱՌԱՎԱՐՈՒԹՅԱՆ ՈՐՈՇՄԱՆ ՆԱԽԱԳԾԻ</w:t>
      </w:r>
    </w:p>
    <w:p w14:paraId="7C73EFC3" w14:textId="77777777" w:rsidR="00A80737" w:rsidRPr="002C0492" w:rsidRDefault="00A80737" w:rsidP="00F47C09">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2C0492">
        <w:rPr>
          <w:rFonts w:ascii="Calibri" w:eastAsia="Times New Roman" w:hAnsi="Calibri" w:cs="Calibri"/>
          <w:color w:val="000000"/>
          <w:sz w:val="24"/>
          <w:szCs w:val="24"/>
          <w:lang w:val="hy-AM" w:eastAsia="ru-RU"/>
        </w:rPr>
        <w:t>     </w:t>
      </w:r>
      <w:r w:rsidRPr="002C0492">
        <w:rPr>
          <w:rFonts w:ascii="GHEA Grapalat" w:eastAsia="Times New Roman" w:hAnsi="GHEA Grapalat" w:cs="Times New Roman"/>
          <w:color w:val="000000"/>
          <w:sz w:val="24"/>
          <w:szCs w:val="24"/>
          <w:lang w:val="hy-AM" w:eastAsia="ru-RU"/>
        </w:rPr>
        <w:t xml:space="preserve"> </w:t>
      </w:r>
      <w:r w:rsidRPr="002C0492">
        <w:rPr>
          <w:rFonts w:ascii="Calibri" w:eastAsia="Times New Roman" w:hAnsi="Calibri" w:cs="Calibri"/>
          <w:color w:val="000000"/>
          <w:sz w:val="24"/>
          <w:szCs w:val="24"/>
          <w:lang w:val="hy-AM" w:eastAsia="ru-RU"/>
        </w:rPr>
        <w:t> </w:t>
      </w:r>
    </w:p>
    <w:tbl>
      <w:tblPr>
        <w:tblW w:w="1530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73"/>
        <w:gridCol w:w="5528"/>
      </w:tblGrid>
      <w:tr w:rsidR="007C439F" w:rsidRPr="008E53AA" w14:paraId="6CA4CD17" w14:textId="77777777" w:rsidTr="00182059">
        <w:trPr>
          <w:trHeight w:val="419"/>
          <w:tblCellSpacing w:w="0" w:type="dxa"/>
          <w:jc w:val="center"/>
        </w:trPr>
        <w:tc>
          <w:tcPr>
            <w:tcW w:w="9773" w:type="dxa"/>
            <w:vMerge w:val="restart"/>
            <w:tcBorders>
              <w:top w:val="outset" w:sz="6" w:space="0" w:color="auto"/>
              <w:left w:val="outset" w:sz="6" w:space="0" w:color="auto"/>
              <w:bottom w:val="outset" w:sz="6" w:space="0" w:color="auto"/>
              <w:right w:val="outset" w:sz="6" w:space="0" w:color="auto"/>
            </w:tcBorders>
            <w:shd w:val="clear" w:color="auto" w:fill="D0D0D0"/>
            <w:hideMark/>
          </w:tcPr>
          <w:p w14:paraId="7B0C78D2" w14:textId="01B5706C" w:rsidR="00A80737" w:rsidRPr="002C0492" w:rsidRDefault="00E70658" w:rsidP="00F47C09">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w:t>
            </w:r>
            <w:r w:rsidR="00A80737" w:rsidRPr="002C0492">
              <w:rPr>
                <w:rFonts w:ascii="GHEA Grapalat" w:eastAsia="Times New Roman" w:hAnsi="GHEA Grapalat" w:cs="Times New Roman"/>
                <w:color w:val="000000"/>
                <w:sz w:val="24"/>
                <w:szCs w:val="24"/>
                <w:lang w:val="hy-AM" w:eastAsia="ru-RU"/>
              </w:rPr>
              <w:t xml:space="preserve">. </w:t>
            </w:r>
            <w:r w:rsidR="00122739" w:rsidRPr="002C0492">
              <w:rPr>
                <w:rFonts w:ascii="GHEA Grapalat" w:eastAsia="Times New Roman" w:hAnsi="GHEA Grapalat" w:cs="Times New Roman"/>
                <w:color w:val="000000"/>
                <w:sz w:val="24"/>
                <w:szCs w:val="24"/>
                <w:lang w:val="hy-AM" w:eastAsia="ru-RU"/>
              </w:rPr>
              <w:t>Հայաստանի Հանրապետության ֆինանսների նախարարություն</w:t>
            </w:r>
          </w:p>
        </w:tc>
        <w:tc>
          <w:tcPr>
            <w:tcW w:w="5528" w:type="dxa"/>
            <w:tcBorders>
              <w:top w:val="outset" w:sz="6" w:space="0" w:color="auto"/>
              <w:left w:val="outset" w:sz="6" w:space="0" w:color="auto"/>
              <w:bottom w:val="outset" w:sz="6" w:space="0" w:color="auto"/>
              <w:right w:val="outset" w:sz="6" w:space="0" w:color="auto"/>
            </w:tcBorders>
            <w:shd w:val="clear" w:color="auto" w:fill="D0D0D0"/>
            <w:hideMark/>
          </w:tcPr>
          <w:p w14:paraId="28840AF3" w14:textId="075F3692" w:rsidR="00A80737" w:rsidRPr="002C0492" w:rsidRDefault="00437FCD" w:rsidP="003A51A8">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06.02.</w:t>
            </w:r>
            <w:r w:rsidR="00182059">
              <w:rPr>
                <w:rFonts w:ascii="GHEA Grapalat" w:eastAsia="Times New Roman" w:hAnsi="GHEA Grapalat" w:cs="Times New Roman"/>
                <w:color w:val="000000"/>
                <w:sz w:val="24"/>
                <w:szCs w:val="24"/>
                <w:lang w:val="hy-AM" w:eastAsia="ru-RU"/>
              </w:rPr>
              <w:t>202</w:t>
            </w:r>
            <w:r w:rsidR="003A51A8">
              <w:rPr>
                <w:rFonts w:ascii="GHEA Grapalat" w:eastAsia="Times New Roman" w:hAnsi="GHEA Grapalat" w:cs="Times New Roman"/>
                <w:color w:val="000000"/>
                <w:sz w:val="24"/>
                <w:szCs w:val="24"/>
                <w:lang w:val="hy-AM" w:eastAsia="ru-RU"/>
              </w:rPr>
              <w:t>3</w:t>
            </w:r>
            <w:r w:rsidR="00A80737" w:rsidRPr="002C0492">
              <w:rPr>
                <w:rFonts w:ascii="GHEA Grapalat" w:eastAsia="Times New Roman" w:hAnsi="GHEA Grapalat" w:cs="Times New Roman"/>
                <w:color w:val="000000"/>
                <w:sz w:val="24"/>
                <w:szCs w:val="24"/>
                <w:lang w:val="hy-AM" w:eastAsia="ru-RU"/>
              </w:rPr>
              <w:t>թ.</w:t>
            </w:r>
          </w:p>
        </w:tc>
      </w:tr>
      <w:tr w:rsidR="007C439F" w:rsidRPr="008E53AA" w14:paraId="0E568677" w14:textId="77777777" w:rsidTr="00182059">
        <w:trPr>
          <w:trHeight w:val="419"/>
          <w:tblCellSpacing w:w="0" w:type="dxa"/>
          <w:jc w:val="center"/>
        </w:trPr>
        <w:tc>
          <w:tcPr>
            <w:tcW w:w="97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5CC9C5" w14:textId="77777777" w:rsidR="00A80737" w:rsidRPr="002C0492" w:rsidRDefault="00A80737" w:rsidP="00F47C09">
            <w:pPr>
              <w:spacing w:after="0" w:line="360" w:lineRule="auto"/>
              <w:rPr>
                <w:rFonts w:ascii="GHEA Grapalat" w:eastAsia="Times New Roman" w:hAnsi="GHEA Grapalat" w:cs="Times New Roman"/>
                <w:color w:val="000000"/>
                <w:sz w:val="24"/>
                <w:szCs w:val="24"/>
                <w:lang w:val="hy-AM"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D0D0D0"/>
            <w:hideMark/>
          </w:tcPr>
          <w:p w14:paraId="47B538F2" w14:textId="5FC34E20" w:rsidR="00A80737" w:rsidRPr="002C0492" w:rsidRDefault="00437FCD" w:rsidP="00F47C09">
            <w:pPr>
              <w:spacing w:after="0" w:line="360" w:lineRule="auto"/>
              <w:jc w:val="center"/>
              <w:rPr>
                <w:rFonts w:ascii="GHEA Grapalat" w:eastAsia="Times New Roman" w:hAnsi="GHEA Grapalat" w:cs="Times New Roman"/>
                <w:color w:val="000000"/>
                <w:sz w:val="24"/>
                <w:szCs w:val="24"/>
                <w:lang w:val="hy-AM" w:eastAsia="ru-RU"/>
              </w:rPr>
            </w:pPr>
            <w:r w:rsidRPr="00437FCD">
              <w:rPr>
                <w:rFonts w:ascii="GHEA Grapalat" w:eastAsia="Times New Roman" w:hAnsi="GHEA Grapalat" w:cs="Times New Roman"/>
                <w:color w:val="000000"/>
                <w:sz w:val="24"/>
                <w:szCs w:val="24"/>
                <w:lang w:val="hy-AM" w:eastAsia="ru-RU"/>
              </w:rPr>
              <w:t>01/8-3/1369-2023</w:t>
            </w:r>
          </w:p>
        </w:tc>
      </w:tr>
      <w:tr w:rsidR="007C439F" w:rsidRPr="00B8276D" w14:paraId="08AB095C" w14:textId="77777777" w:rsidTr="00182059">
        <w:trPr>
          <w:trHeight w:val="694"/>
          <w:tblCellSpacing w:w="0" w:type="dxa"/>
          <w:jc w:val="center"/>
        </w:trPr>
        <w:tc>
          <w:tcPr>
            <w:tcW w:w="9773" w:type="dxa"/>
            <w:tcBorders>
              <w:top w:val="outset" w:sz="6" w:space="0" w:color="auto"/>
              <w:left w:val="outset" w:sz="6" w:space="0" w:color="auto"/>
              <w:bottom w:val="outset" w:sz="6" w:space="0" w:color="auto"/>
              <w:right w:val="outset" w:sz="6" w:space="0" w:color="auto"/>
            </w:tcBorders>
            <w:shd w:val="clear" w:color="auto" w:fill="FFFFFF"/>
            <w:hideMark/>
          </w:tcPr>
          <w:p w14:paraId="3E967BC6" w14:textId="77777777" w:rsidR="00437FCD" w:rsidRPr="00437FCD" w:rsidRDefault="00132CBB" w:rsidP="00B8276D">
            <w:pPr>
              <w:tabs>
                <w:tab w:val="left" w:pos="851"/>
              </w:tabs>
              <w:spacing w:before="120" w:after="0" w:line="240" w:lineRule="auto"/>
              <w:ind w:left="113" w:right="113" w:firstLine="537"/>
              <w:jc w:val="both"/>
              <w:rPr>
                <w:rFonts w:ascii="GHEA Grapalat" w:eastAsia="Times New Roman" w:hAnsi="GHEA Grapalat" w:cs="Times New Roman"/>
                <w:sz w:val="24"/>
                <w:szCs w:val="24"/>
                <w:lang w:val="hy-AM"/>
              </w:rPr>
            </w:pPr>
            <w:r>
              <w:rPr>
                <w:rFonts w:ascii="GHEA Grapalat" w:hAnsi="GHEA Grapalat" w:cs="Sylfaen"/>
                <w:color w:val="191919"/>
                <w:sz w:val="24"/>
                <w:szCs w:val="24"/>
                <w:shd w:val="clear" w:color="auto" w:fill="FFFFFF"/>
                <w:lang w:val="hy-AM"/>
              </w:rPr>
              <w:t>1</w:t>
            </w:r>
            <w:r>
              <w:rPr>
                <w:rFonts w:ascii="Cambria Math" w:hAnsi="Cambria Math" w:cs="Cambria Math"/>
                <w:color w:val="191919"/>
                <w:sz w:val="24"/>
                <w:szCs w:val="24"/>
                <w:shd w:val="clear" w:color="auto" w:fill="FFFFFF"/>
                <w:lang w:val="hy-AM"/>
              </w:rPr>
              <w:t>․</w:t>
            </w:r>
            <w:r w:rsidR="000F2B35" w:rsidRPr="008E53AA">
              <w:rPr>
                <w:lang w:val="hy-AM"/>
              </w:rPr>
              <w:t xml:space="preserve"> </w:t>
            </w:r>
            <w:r w:rsidR="00437FCD" w:rsidRPr="00437FCD">
              <w:rPr>
                <w:rFonts w:ascii="GHEA Grapalat" w:eastAsia="Times New Roman" w:hAnsi="GHEA Grapalat" w:cs="Times New Roman"/>
                <w:sz w:val="24"/>
                <w:szCs w:val="24"/>
                <w:lang w:val="hy-AM"/>
              </w:rPr>
              <w:t>ՀՀ 2023 թվականի պետական բյուջեով ՀՀ արդարադատության նախարարության կողմից իրականացվող 1057 ծրագրի 11010 միջացառման գծով նախատեսված է 199.1 մլն դրամ՝ դրամաշնորհի տեսքով «Օրենսդրության զարգացման և իրավական հետազոտությունների կենտրոն» հիմնադրամին տրամադրելու նպատակով (հիմնադրամի պահպանման ծախս)՝ բյուջետային ծախսերի տնտեսագիտական դասակարգման «Այլ ընթացիկ դրամաշնորհներ» հոդվածով: Նախագծով նախատեսվում է ամբողջությամբ նվազեցնել «Այլ ընթացիկ դրամաշնորհներ» հոդվածով նախատեսված 199.1 մլն դրամը և ուղղել՝ 192.1 մլն դրամ «Աշխատողների աշխատավարձեր և հավելավճարներ» հոդվածին և 7.0 մլն դրամ՝ «Ներկայացուցչական ծախսեր» հոդվածին:</w:t>
            </w:r>
          </w:p>
          <w:p w14:paraId="2E173B4A" w14:textId="77777777" w:rsidR="00437FCD" w:rsidRPr="00437FCD" w:rsidRDefault="00437FCD" w:rsidP="00B8276D">
            <w:pPr>
              <w:tabs>
                <w:tab w:val="left" w:pos="851"/>
              </w:tabs>
              <w:spacing w:before="120" w:after="0" w:line="240" w:lineRule="auto"/>
              <w:ind w:left="113" w:right="113" w:firstLine="537"/>
              <w:jc w:val="both"/>
              <w:rPr>
                <w:rFonts w:ascii="GHEA Grapalat" w:eastAsia="Times New Roman" w:hAnsi="GHEA Grapalat" w:cs="Times New Roman"/>
                <w:sz w:val="24"/>
                <w:szCs w:val="24"/>
                <w:lang w:val="hy-AM"/>
              </w:rPr>
            </w:pPr>
            <w:r w:rsidRPr="00437FCD">
              <w:rPr>
                <w:rFonts w:ascii="GHEA Grapalat" w:eastAsia="Times New Roman" w:hAnsi="GHEA Grapalat" w:cs="Times New Roman"/>
                <w:sz w:val="24"/>
                <w:szCs w:val="24"/>
                <w:lang w:val="hy-AM"/>
              </w:rPr>
              <w:t xml:space="preserve">ՀՀ կառավարության 2022 թվականի դեկտեմբերի 29-ի N 2111-Ն որոշմամբ սահմանված կարգավորումների՝ 1-ին կետի 2-րդ ենթակետով սահմանվում է, որ դրամաշնորհը տնտեսության որևէ ճյուղի (ոլորտի) կամ գործունեության որևէ տեսակի խթանման (խրախուսման) նպատակով Հայաստանի Հանրապետության պետական բյուջեից կազմակերպությանն իր կանոնադրական խնդիրների կամ դրանց մի մասի իրականացման նպատակով անհատույց և անվերադարձ տրամադրվող դրամական հատկացումն է: Ընդ որում, 2023 թվականի ընթացքում իրավաբանական անձանց դրամաշնորհների տրամադրումն իրականացվում է Հայաստանի Հանրապետության օրենսդրությամբ սահմանված կարգով կազմակերպված մրցույթի արդյունքում՝ բացառությամբ սույն որոշման N 5 հավելվածի NN 7 և 7.1 աղյուսակներում նշված իրավաբանական անձանց հատկացվող դրամաշնորհների: </w:t>
            </w:r>
          </w:p>
          <w:p w14:paraId="37296D17" w14:textId="77777777" w:rsidR="00437FCD" w:rsidRDefault="00437FCD" w:rsidP="00B8276D">
            <w:pPr>
              <w:tabs>
                <w:tab w:val="left" w:pos="851"/>
              </w:tabs>
              <w:spacing w:before="120" w:after="0" w:line="240" w:lineRule="auto"/>
              <w:ind w:left="113" w:right="113" w:firstLine="537"/>
              <w:jc w:val="both"/>
              <w:rPr>
                <w:rFonts w:ascii="GHEA Grapalat" w:eastAsia="Times New Roman" w:hAnsi="GHEA Grapalat" w:cs="Times New Roman"/>
                <w:sz w:val="24"/>
                <w:szCs w:val="24"/>
                <w:lang w:val="hy-AM"/>
              </w:rPr>
            </w:pPr>
            <w:r w:rsidRPr="00437FCD">
              <w:rPr>
                <w:rFonts w:ascii="GHEA Grapalat" w:eastAsia="Times New Roman" w:hAnsi="GHEA Grapalat" w:cs="Times New Roman"/>
                <w:sz w:val="24"/>
                <w:szCs w:val="24"/>
                <w:lang w:val="hy-AM"/>
              </w:rPr>
              <w:lastRenderedPageBreak/>
              <w:t>ՀՀ 2023 թվականի պետական բյուջեով, հաշվի առնելով ծախսային ծրագրի տնտեսագիտական բովանդակությունը և նպատակը, 1057 ծրագրի 11010 միջոցառման գծով հատկացվող միջոցները դիտարկվել են որպես ՀՀ պետական բյուջեից «Օրենսդրության զարգացման և իրավական հետազոտությունների կենտրոն» հիմնադրամին տրամադրվող դրամաշնորհ և ներառվել է ՀՀ կառավարության 2022 թվականի դեկտեմբերի 29-ի թիվ 2111-Ն որոշման N 5 հավելվածի N 7 աղյուսակում: Ելնելով վերոգրյալից, նպատակահարմար ենք գտնում 2023 թվականի պետական բյուջեով «Օրենսդրության զարգացման և իրավական հետազոտությունների կենտրոն» հիմնադրամին հատկացված ծախսերն իրականացնել բյուջետային ծախսերի տնտեսագիտական դասակարգման «Այլ ընթացիկ դրամաշնորհներ» հոդվածով: Ինչ վերաբերում է նշված ծախսը, որպես դրամաշնորհ հատկացնելու դեպքում ավելացած արժեքի հարկի գումար նախատեսելու անհրաժեշտությանը, առաջարկում ենք նշված գումարն ապահովել դատական և իրավական ոլորտի բարեփոխումների իրականացման նպատակով ՀՀ արդարադատության նախարարությանը հատկացվող ընդհանուր միջոցների հաշվին:</w:t>
            </w:r>
          </w:p>
          <w:p w14:paraId="16BDD2A5" w14:textId="77777777" w:rsidR="00437FCD" w:rsidRPr="00437FCD" w:rsidRDefault="003A51A8" w:rsidP="00B8276D">
            <w:pPr>
              <w:tabs>
                <w:tab w:val="left" w:pos="851"/>
              </w:tabs>
              <w:spacing w:before="120" w:after="0" w:line="240" w:lineRule="auto"/>
              <w:ind w:left="113" w:right="113" w:firstLine="53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Pr>
                <w:rFonts w:ascii="Cambria Math" w:eastAsia="Times New Roman" w:hAnsi="Cambria Math" w:cs="Cambria Math"/>
                <w:sz w:val="24"/>
                <w:szCs w:val="24"/>
                <w:lang w:val="hy-AM"/>
              </w:rPr>
              <w:t>․</w:t>
            </w:r>
            <w:r w:rsidRPr="003A51A8">
              <w:rPr>
                <w:lang w:val="hy-AM"/>
              </w:rPr>
              <w:t xml:space="preserve"> </w:t>
            </w:r>
            <w:r w:rsidR="00437FCD" w:rsidRPr="00437FCD">
              <w:rPr>
                <w:rFonts w:ascii="GHEA Grapalat" w:eastAsia="Times New Roman" w:hAnsi="GHEA Grapalat" w:cs="Times New Roman"/>
                <w:sz w:val="24"/>
                <w:szCs w:val="24"/>
                <w:lang w:val="hy-AM"/>
              </w:rPr>
              <w:t xml:space="preserve">Նախագծով նախատեսվում է նաև 2023 թվականին Հանրային կառավարման բարեփոխումների թիմի վարձատրությունն ապահովելու նպատակով Եվրոպական միությունից ստացված «Աջակցություն Հայաստանում դատական ոլորտի բարեփոխումների իրականացմանը» դրամաշնորհային ծրագրի 2023 թվականի հունվարի 1-ի դրությամբ չօգտագործված մնացորդի միջոցների հաշվին ՀՀ արդարադատության նախարարության կողմից իրականացվող 1057. «Արդարադատության ոլորտում քաղաքականության  մշակում, ծրագրերի համակարգում, խորհրդատվության և մոնիտորինգի իրականացում» ծրագրի 11010. «Աջակցություն օրենսդրության զարգացման և իրավական հետազոտությունների կենտրոնի գործունեությանը» միջոցառմանը լրացուցիչ հատկացնել 119.8 մլն դրամ՝ բյուջետային ծախսերի տնտեսագիտական դասակարգման «Աշխատողների աշխատավարձեր և հավելավճարներ» հոդվածով («Օրենսդրության զարգացման և իրավական հետազոտությունների կենտրոն» հիմնադրամի միջոցով ծախսերը կատարելու նպատակով): </w:t>
            </w:r>
          </w:p>
          <w:p w14:paraId="0476137E" w14:textId="77777777" w:rsidR="00437FCD" w:rsidRDefault="00437FCD" w:rsidP="00B8276D">
            <w:pPr>
              <w:tabs>
                <w:tab w:val="left" w:pos="851"/>
              </w:tabs>
              <w:spacing w:before="120" w:after="0" w:line="240" w:lineRule="auto"/>
              <w:ind w:left="113" w:right="113" w:firstLine="537"/>
              <w:jc w:val="both"/>
              <w:rPr>
                <w:rFonts w:ascii="GHEA Grapalat" w:eastAsia="Times New Roman" w:hAnsi="GHEA Grapalat" w:cs="Times New Roman"/>
                <w:sz w:val="24"/>
                <w:szCs w:val="24"/>
                <w:lang w:val="hy-AM"/>
              </w:rPr>
            </w:pPr>
            <w:r w:rsidRPr="00437FCD">
              <w:rPr>
                <w:rFonts w:ascii="GHEA Grapalat" w:eastAsia="Times New Roman" w:hAnsi="GHEA Grapalat" w:cs="Times New Roman"/>
                <w:sz w:val="24"/>
                <w:szCs w:val="24"/>
                <w:lang w:val="hy-AM"/>
              </w:rPr>
              <w:t xml:space="preserve">Վերը նշված հատկացումներին դեմ չենք, եթե վերջինս համապատասխանում է Եվրոպական միությունից ստացված «Աջակցություն Հայաստանում դատական ոլորտի բարեփոխումների իրականացմանը» դրամաշնորհային ծրագրի պահանջներին և կա </w:t>
            </w:r>
            <w:r w:rsidRPr="00437FCD">
              <w:rPr>
                <w:rFonts w:ascii="GHEA Grapalat" w:eastAsia="Times New Roman" w:hAnsi="GHEA Grapalat" w:cs="Times New Roman"/>
                <w:sz w:val="24"/>
                <w:szCs w:val="24"/>
                <w:lang w:val="hy-AM"/>
              </w:rPr>
              <w:lastRenderedPageBreak/>
              <w:t>Եվրամիության համաձայնությունը դրա վերաբերյալ, հակառակ դեպքում անհրաժեշտ է դիտարկել այլ աղբյուրներից ֆինանսավորման հնարավորության հարցը։</w:t>
            </w:r>
          </w:p>
          <w:p w14:paraId="7AF1F142" w14:textId="77777777" w:rsidR="00B8276D" w:rsidRDefault="00B8276D" w:rsidP="00B8276D">
            <w:pPr>
              <w:tabs>
                <w:tab w:val="left" w:pos="851"/>
              </w:tabs>
              <w:spacing w:before="120" w:after="0" w:line="240" w:lineRule="auto"/>
              <w:ind w:left="113" w:right="113" w:firstLine="537"/>
              <w:jc w:val="both"/>
              <w:rPr>
                <w:rFonts w:ascii="GHEA Grapalat" w:eastAsia="Times New Roman" w:hAnsi="GHEA Grapalat" w:cs="Times New Roman"/>
                <w:sz w:val="24"/>
                <w:szCs w:val="24"/>
                <w:lang w:val="hy-AM"/>
              </w:rPr>
            </w:pPr>
          </w:p>
          <w:p w14:paraId="4C6AD71D" w14:textId="77777777" w:rsidR="00B8276D" w:rsidRDefault="00B8276D" w:rsidP="00B8276D">
            <w:pPr>
              <w:tabs>
                <w:tab w:val="left" w:pos="851"/>
              </w:tabs>
              <w:spacing w:before="120" w:after="0" w:line="240" w:lineRule="auto"/>
              <w:ind w:left="113" w:right="113" w:firstLine="537"/>
              <w:jc w:val="both"/>
              <w:rPr>
                <w:rFonts w:ascii="GHEA Grapalat" w:eastAsia="Times New Roman" w:hAnsi="GHEA Grapalat" w:cs="Times New Roman"/>
                <w:sz w:val="24"/>
                <w:szCs w:val="24"/>
                <w:lang w:val="hy-AM"/>
              </w:rPr>
            </w:pPr>
          </w:p>
          <w:p w14:paraId="4A412C92" w14:textId="77777777" w:rsidR="00B8276D" w:rsidRDefault="00B8276D" w:rsidP="00B8276D">
            <w:pPr>
              <w:tabs>
                <w:tab w:val="left" w:pos="851"/>
              </w:tabs>
              <w:spacing w:before="120" w:after="0" w:line="240" w:lineRule="auto"/>
              <w:ind w:left="113" w:right="113" w:firstLine="537"/>
              <w:jc w:val="both"/>
              <w:rPr>
                <w:rFonts w:ascii="GHEA Grapalat" w:eastAsia="Times New Roman" w:hAnsi="GHEA Grapalat" w:cs="Times New Roman"/>
                <w:sz w:val="24"/>
                <w:szCs w:val="24"/>
                <w:lang w:val="hy-AM"/>
              </w:rPr>
            </w:pPr>
          </w:p>
          <w:p w14:paraId="5ABCA22E" w14:textId="77777777" w:rsidR="00B8276D" w:rsidRDefault="00B8276D" w:rsidP="00B8276D">
            <w:pPr>
              <w:tabs>
                <w:tab w:val="left" w:pos="851"/>
              </w:tabs>
              <w:spacing w:before="120" w:after="0" w:line="240" w:lineRule="auto"/>
              <w:ind w:left="113" w:right="113" w:firstLine="537"/>
              <w:jc w:val="both"/>
              <w:rPr>
                <w:rFonts w:ascii="GHEA Grapalat" w:eastAsia="Times New Roman" w:hAnsi="GHEA Grapalat" w:cs="Times New Roman"/>
                <w:sz w:val="24"/>
                <w:szCs w:val="24"/>
                <w:lang w:val="hy-AM"/>
              </w:rPr>
            </w:pPr>
          </w:p>
          <w:p w14:paraId="4081BC06" w14:textId="77777777" w:rsidR="00B8276D" w:rsidRDefault="00B8276D" w:rsidP="00B8276D">
            <w:pPr>
              <w:tabs>
                <w:tab w:val="left" w:pos="851"/>
              </w:tabs>
              <w:spacing w:before="120" w:after="0" w:line="240" w:lineRule="auto"/>
              <w:ind w:left="113" w:right="113" w:firstLine="537"/>
              <w:jc w:val="both"/>
              <w:rPr>
                <w:rFonts w:ascii="GHEA Grapalat" w:eastAsia="Times New Roman" w:hAnsi="GHEA Grapalat" w:cs="Times New Roman"/>
                <w:sz w:val="24"/>
                <w:szCs w:val="24"/>
                <w:lang w:val="hy-AM"/>
              </w:rPr>
            </w:pPr>
          </w:p>
          <w:p w14:paraId="291B65AD" w14:textId="77777777" w:rsidR="00B8276D" w:rsidRDefault="00B8276D" w:rsidP="00B8276D">
            <w:pPr>
              <w:tabs>
                <w:tab w:val="left" w:pos="851"/>
              </w:tabs>
              <w:spacing w:before="120" w:after="0" w:line="240" w:lineRule="auto"/>
              <w:ind w:left="113" w:right="113" w:firstLine="537"/>
              <w:jc w:val="both"/>
              <w:rPr>
                <w:rFonts w:ascii="GHEA Grapalat" w:eastAsia="Times New Roman" w:hAnsi="GHEA Grapalat" w:cs="Times New Roman"/>
                <w:sz w:val="24"/>
                <w:szCs w:val="24"/>
                <w:lang w:val="hy-AM"/>
              </w:rPr>
            </w:pPr>
          </w:p>
          <w:p w14:paraId="0F64C9C9" w14:textId="77777777" w:rsidR="00B8276D" w:rsidRDefault="00B8276D" w:rsidP="00B8276D">
            <w:pPr>
              <w:tabs>
                <w:tab w:val="left" w:pos="851"/>
              </w:tabs>
              <w:spacing w:before="120" w:after="0" w:line="240" w:lineRule="auto"/>
              <w:ind w:left="113" w:right="113" w:firstLine="537"/>
              <w:jc w:val="both"/>
              <w:rPr>
                <w:rFonts w:ascii="GHEA Grapalat" w:eastAsia="Times New Roman" w:hAnsi="GHEA Grapalat" w:cs="Times New Roman"/>
                <w:sz w:val="24"/>
                <w:szCs w:val="24"/>
                <w:lang w:val="hy-AM"/>
              </w:rPr>
            </w:pPr>
          </w:p>
          <w:p w14:paraId="61860717" w14:textId="1B185440" w:rsidR="003A51A8" w:rsidRPr="008E53AA" w:rsidRDefault="003A51A8" w:rsidP="00B8276D">
            <w:pPr>
              <w:tabs>
                <w:tab w:val="left" w:pos="851"/>
              </w:tabs>
              <w:spacing w:before="120" w:after="0" w:line="240" w:lineRule="auto"/>
              <w:ind w:left="113" w:right="113" w:firstLine="537"/>
              <w:jc w:val="both"/>
              <w:rPr>
                <w:rFonts w:ascii="GHEA Grapalat" w:eastAsia="Times New Roman" w:hAnsi="GHEA Grapalat" w:cs="Times New Roman"/>
                <w:color w:val="000000"/>
                <w:sz w:val="24"/>
                <w:szCs w:val="24"/>
                <w:lang w:val="ro-RO"/>
              </w:rPr>
            </w:pPr>
            <w:r>
              <w:rPr>
                <w:rFonts w:ascii="GHEA Grapalat" w:eastAsia="Times New Roman" w:hAnsi="GHEA Grapalat" w:cs="Times New Roman"/>
                <w:sz w:val="24"/>
                <w:szCs w:val="24"/>
                <w:lang w:val="hy-AM"/>
              </w:rPr>
              <w:t>3․</w:t>
            </w:r>
            <w:r w:rsidRPr="003A51A8">
              <w:rPr>
                <w:lang w:val="hy-AM"/>
              </w:rPr>
              <w:t xml:space="preserve"> </w:t>
            </w:r>
            <w:r w:rsidR="00437FCD" w:rsidRPr="00437FCD">
              <w:rPr>
                <w:rFonts w:ascii="GHEA Grapalat" w:eastAsia="Times New Roman" w:hAnsi="GHEA Grapalat" w:cs="Times New Roman"/>
                <w:sz w:val="24"/>
                <w:szCs w:val="24"/>
                <w:lang w:val="hy-AM"/>
              </w:rPr>
              <w:t>ՀՀ կառավարության որոշման Նախագծով նախատեսվող ոչ ֆինանսական ցուցանիշները ներկայացնող NN 7 և 8 հավելվածներում 1057 ծրագրի 11010 միջոցառման «Արդյունքի չափորոշիչներ» տողից հետո անհրաժեշտ է լրացնել համապատասխան արդյունքային ցուցանիշներ և հիմնավորմանը կից ներկայացնել ծախսերի բացվածքը:</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14:paraId="5F4A3441" w14:textId="77777777" w:rsidR="00B8276D" w:rsidRDefault="009F51C3" w:rsidP="0059116B">
            <w:pPr>
              <w:spacing w:after="0"/>
              <w:jc w:val="center"/>
              <w:rPr>
                <w:rFonts w:ascii="GHEA Grapalat" w:eastAsia="Times New Roman" w:hAnsi="GHEA Grapalat" w:cs="Times New Roman"/>
                <w:b/>
                <w:color w:val="000000"/>
                <w:sz w:val="24"/>
                <w:szCs w:val="24"/>
                <w:lang w:val="hy-AM" w:eastAsia="ru-RU"/>
              </w:rPr>
            </w:pPr>
            <w:r>
              <w:rPr>
                <w:rFonts w:ascii="GHEA Grapalat" w:eastAsia="Times New Roman" w:hAnsi="GHEA Grapalat" w:cs="Times New Roman"/>
                <w:b/>
                <w:color w:val="000000"/>
                <w:sz w:val="24"/>
                <w:szCs w:val="24"/>
                <w:lang w:val="hy-AM" w:eastAsia="ru-RU"/>
              </w:rPr>
              <w:lastRenderedPageBreak/>
              <w:t>Ընդունվել է ։</w:t>
            </w:r>
          </w:p>
          <w:p w14:paraId="0E749DDF" w14:textId="41E75919" w:rsidR="0059116B" w:rsidRDefault="00B8276D" w:rsidP="0059116B">
            <w:pPr>
              <w:spacing w:after="0"/>
              <w:jc w:val="center"/>
              <w:rPr>
                <w:rFonts w:ascii="GHEA Grapalat" w:eastAsia="Times New Roman" w:hAnsi="GHEA Grapalat" w:cs="Times New Roman"/>
                <w:color w:val="000000"/>
                <w:sz w:val="24"/>
                <w:szCs w:val="24"/>
                <w:lang w:val="hy-AM" w:eastAsia="ru-RU"/>
              </w:rPr>
            </w:pPr>
            <w:r w:rsidRPr="00B8276D">
              <w:rPr>
                <w:lang w:val="ro-RO"/>
              </w:rPr>
              <w:t xml:space="preserve"> </w:t>
            </w:r>
            <w:r w:rsidRPr="00B8276D">
              <w:rPr>
                <w:rFonts w:ascii="GHEA Grapalat" w:eastAsia="Times New Roman" w:hAnsi="GHEA Grapalat" w:cs="Times New Roman"/>
                <w:color w:val="000000"/>
                <w:sz w:val="24"/>
                <w:szCs w:val="24"/>
                <w:lang w:val="hy-AM" w:eastAsia="ru-RU"/>
              </w:rPr>
              <w:t>Ներկայացվող նախագծով ընդունվել է Ֆինանսների նախարարության առաջարկը՝ «Օրենսդրության զարգացման և իրավական հետազոտությունների կենտրոն» հիմնադրամին հատկացված ծախսերն իրականացնել բյուջետային ծախսերի տնտեսագիտական դասակարգման «Այլ ընթացիկ դրամաշնորհներ» հոդվածով</w:t>
            </w:r>
            <w:r>
              <w:rPr>
                <w:rFonts w:ascii="GHEA Grapalat" w:eastAsia="Times New Roman" w:hAnsi="GHEA Grapalat" w:cs="Times New Roman"/>
                <w:color w:val="000000"/>
                <w:sz w:val="24"/>
                <w:szCs w:val="24"/>
                <w:lang w:val="hy-AM" w:eastAsia="ru-RU"/>
              </w:rPr>
              <w:t>,</w:t>
            </w:r>
            <w:r w:rsidRPr="00B8276D">
              <w:rPr>
                <w:rFonts w:ascii="GHEA Grapalat" w:eastAsia="Times New Roman" w:hAnsi="GHEA Grapalat" w:cs="Times New Roman"/>
                <w:color w:val="000000"/>
                <w:sz w:val="24"/>
                <w:szCs w:val="24"/>
                <w:lang w:val="hy-AM" w:eastAsia="ru-RU"/>
              </w:rPr>
              <w:t xml:space="preserve"> պայմանով, որ գումարներ չլինելու դեպքում դրանք լրացուցիչ կհատկացվեն՝ միջոցառման գծով ավելացած արժեքի հարկի վճարումներ իրականացնելու նպատակով։</w:t>
            </w:r>
          </w:p>
          <w:p w14:paraId="6351E42E" w14:textId="57AB9938"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6D21D162" w14:textId="456A86DA"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22C4228D" w14:textId="596E4E64"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77C243FE" w14:textId="72B7562A"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7E7182DD" w14:textId="63B650FE"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644E1216" w14:textId="2218D2D3"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2D5CB3A8" w14:textId="5865070D"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36CC6174" w14:textId="59C36FE9"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39A93681" w14:textId="2B9CCC2E"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3951C7F8" w14:textId="117144F8"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416FA9B2" w14:textId="73CDF611"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3F65D34D" w14:textId="406804D1"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718DA994" w14:textId="62AF82EE"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023EE185" w14:textId="415E64DD"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5D5038F2" w14:textId="69A57168"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0AFC864A" w14:textId="14B880C1"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0530249D" w14:textId="22F94CDD"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51068C1B" w14:textId="0339CF24"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5BCC37B2" w14:textId="44819A88"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3B122F58" w14:textId="43AF17F0"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2F362B47" w14:textId="4C271B82"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13572677" w14:textId="116B6DB6"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268885B6" w14:textId="77777777" w:rsidR="00B8276D" w:rsidRDefault="00B8276D" w:rsidP="00B8276D">
            <w:pPr>
              <w:spacing w:after="0"/>
              <w:jc w:val="center"/>
              <w:rPr>
                <w:rFonts w:ascii="GHEA Grapalat" w:eastAsia="Times New Roman" w:hAnsi="GHEA Grapalat" w:cs="Times New Roman"/>
                <w:b/>
                <w:color w:val="000000"/>
                <w:sz w:val="24"/>
                <w:szCs w:val="24"/>
                <w:lang w:val="hy-AM" w:eastAsia="ru-RU"/>
              </w:rPr>
            </w:pPr>
            <w:r>
              <w:rPr>
                <w:rFonts w:ascii="GHEA Grapalat" w:eastAsia="Times New Roman" w:hAnsi="GHEA Grapalat" w:cs="Times New Roman"/>
                <w:b/>
                <w:color w:val="000000"/>
                <w:sz w:val="24"/>
                <w:szCs w:val="24"/>
                <w:lang w:val="hy-AM" w:eastAsia="ru-RU"/>
              </w:rPr>
              <w:t>Ընդունվել է ։</w:t>
            </w:r>
          </w:p>
          <w:p w14:paraId="08106300" w14:textId="681A1977" w:rsidR="00B8276D" w:rsidRDefault="00B8276D" w:rsidP="00B8276D">
            <w:pPr>
              <w:spacing w:after="0" w:line="240" w:lineRule="auto"/>
              <w:jc w:val="both"/>
              <w:rPr>
                <w:rFonts w:ascii="GHEA Grapalat" w:eastAsia="Times New Roman" w:hAnsi="GHEA Grapalat" w:cs="Times New Roman"/>
                <w:color w:val="000000"/>
                <w:sz w:val="24"/>
                <w:szCs w:val="24"/>
                <w:lang w:val="hy-AM" w:eastAsia="ru-RU"/>
              </w:rPr>
            </w:pPr>
            <w:r w:rsidRPr="00B8276D">
              <w:rPr>
                <w:lang w:val="ro-RO"/>
              </w:rPr>
              <w:t xml:space="preserve"> </w:t>
            </w:r>
            <w:r w:rsidRPr="00B8276D">
              <w:rPr>
                <w:rFonts w:ascii="GHEA Grapalat" w:eastAsia="Times New Roman" w:hAnsi="GHEA Grapalat" w:cs="Times New Roman"/>
                <w:color w:val="000000"/>
                <w:sz w:val="24"/>
                <w:szCs w:val="24"/>
                <w:lang w:val="hy-AM" w:eastAsia="ru-RU"/>
              </w:rPr>
              <w:t xml:space="preserve">ԵՄ բյուջետային աջակցության համաձայնագրում որևէ արգելք չկա տրամադրված միջոցները հանրային կառավարման բարեփոխումների գործընթացների համակարգման ուղղությամբ օգտագործելու առումով: Ավելին, բարձր մակարդակի տարբեր երկխոսությունների ժամանակ ԵՄ դեսպանի կողմից մշտապես կարևորվել է հանրային կառավարման բարեփոխումների իրականացումը: Միաժամանակ, Հանրային կառավարման բարեփոխումների իրականացումը բխում է նաև ՀՀ-ԵՄ «Համապարփակ և ընդլայնված գործընկերության համաձայնագրից», որի Հոդված 4-ն ամրագրում է կողմերի հանձնառությունը համագործակցել «ժողովրդավարական հաստատությունների </w:t>
            </w:r>
            <w:r w:rsidRPr="00B8276D">
              <w:rPr>
                <w:rFonts w:ascii="GHEA Grapalat" w:eastAsia="Times New Roman" w:hAnsi="GHEA Grapalat" w:cs="Times New Roman"/>
                <w:color w:val="000000"/>
                <w:sz w:val="24"/>
                <w:szCs w:val="24"/>
                <w:lang w:val="hy-AM" w:eastAsia="ru-RU"/>
              </w:rPr>
              <w:lastRenderedPageBreak/>
              <w:t xml:space="preserve">կայունության ու արդյունավետության և իրավունքի գերակայության զարգացում, համախմբվածություն ու ամրապնդում» ուղղությամբ: Տեղեկացնենք նաև, որ Հանրային կառավարման բարեփոխումների ռազմավարությունը մշակվել է ի արձագանք ԵՄ և ՏՀԶԿ ՍԻԳՄԱ նախաձեռնության կողմից իրականացված ելակետային գնահատման զեկույցի: </w:t>
            </w:r>
          </w:p>
          <w:p w14:paraId="1F59586E" w14:textId="41A238AC"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0764E79E" w14:textId="451656AA"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05078F6E" w14:textId="4938E221"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2F966432" w14:textId="77777777" w:rsidR="00B8276D" w:rsidRDefault="00B8276D" w:rsidP="00B8276D">
            <w:pPr>
              <w:spacing w:after="0"/>
              <w:jc w:val="center"/>
              <w:rPr>
                <w:rFonts w:ascii="GHEA Grapalat" w:eastAsia="Times New Roman" w:hAnsi="GHEA Grapalat" w:cs="Times New Roman"/>
                <w:b/>
                <w:color w:val="000000"/>
                <w:sz w:val="24"/>
                <w:szCs w:val="24"/>
                <w:lang w:val="hy-AM" w:eastAsia="ru-RU"/>
              </w:rPr>
            </w:pPr>
            <w:r>
              <w:rPr>
                <w:rFonts w:ascii="GHEA Grapalat" w:eastAsia="Times New Roman" w:hAnsi="GHEA Grapalat" w:cs="Times New Roman"/>
                <w:b/>
                <w:color w:val="000000"/>
                <w:sz w:val="24"/>
                <w:szCs w:val="24"/>
                <w:lang w:val="hy-AM" w:eastAsia="ru-RU"/>
              </w:rPr>
              <w:t>Ընդունվել է ։</w:t>
            </w:r>
          </w:p>
          <w:p w14:paraId="2647E7DA" w14:textId="77777777" w:rsidR="00B8276D" w:rsidRDefault="00B8276D" w:rsidP="0059116B">
            <w:pPr>
              <w:spacing w:after="0"/>
              <w:jc w:val="center"/>
              <w:rPr>
                <w:rFonts w:ascii="GHEA Grapalat" w:eastAsia="Times New Roman" w:hAnsi="GHEA Grapalat" w:cs="Times New Roman"/>
                <w:color w:val="000000"/>
                <w:sz w:val="24"/>
                <w:szCs w:val="24"/>
                <w:lang w:val="hy-AM" w:eastAsia="ru-RU"/>
              </w:rPr>
            </w:pPr>
          </w:p>
          <w:p w14:paraId="7F70D42C" w14:textId="77777777" w:rsidR="00B8276D" w:rsidRPr="00B8276D" w:rsidRDefault="00B8276D" w:rsidP="0059116B">
            <w:pPr>
              <w:spacing w:after="0"/>
              <w:jc w:val="center"/>
              <w:rPr>
                <w:rFonts w:ascii="GHEA Grapalat" w:eastAsia="Times New Roman" w:hAnsi="GHEA Grapalat" w:cs="Times New Roman"/>
                <w:color w:val="000000"/>
                <w:sz w:val="24"/>
                <w:szCs w:val="24"/>
                <w:lang w:val="hy-AM" w:eastAsia="ru-RU"/>
              </w:rPr>
            </w:pPr>
          </w:p>
          <w:p w14:paraId="0809FC58" w14:textId="77777777" w:rsidR="009F51C3" w:rsidRDefault="009F51C3" w:rsidP="009F51C3">
            <w:pPr>
              <w:spacing w:after="0"/>
              <w:jc w:val="center"/>
              <w:rPr>
                <w:rFonts w:ascii="GHEA Grapalat" w:eastAsia="Times New Roman" w:hAnsi="GHEA Grapalat" w:cs="Times New Roman"/>
                <w:color w:val="000000"/>
                <w:sz w:val="24"/>
                <w:szCs w:val="24"/>
                <w:lang w:val="hy-AM" w:eastAsia="ru-RU"/>
              </w:rPr>
            </w:pPr>
          </w:p>
          <w:p w14:paraId="7B93772E" w14:textId="77777777" w:rsidR="003A51A8" w:rsidRDefault="003A51A8" w:rsidP="009F51C3">
            <w:pPr>
              <w:spacing w:after="0"/>
              <w:jc w:val="center"/>
              <w:rPr>
                <w:rFonts w:ascii="GHEA Grapalat" w:eastAsia="Times New Roman" w:hAnsi="GHEA Grapalat" w:cs="Times New Roman"/>
                <w:color w:val="000000"/>
                <w:sz w:val="24"/>
                <w:szCs w:val="24"/>
                <w:lang w:val="hy-AM" w:eastAsia="ru-RU"/>
              </w:rPr>
            </w:pPr>
          </w:p>
          <w:p w14:paraId="14CE1249" w14:textId="77777777" w:rsidR="003A51A8" w:rsidRDefault="003A51A8" w:rsidP="009F51C3">
            <w:pPr>
              <w:spacing w:after="0"/>
              <w:jc w:val="center"/>
              <w:rPr>
                <w:rFonts w:ascii="GHEA Grapalat" w:eastAsia="Times New Roman" w:hAnsi="GHEA Grapalat" w:cs="Times New Roman"/>
                <w:color w:val="000000"/>
                <w:sz w:val="24"/>
                <w:szCs w:val="24"/>
                <w:lang w:val="hy-AM" w:eastAsia="ru-RU"/>
              </w:rPr>
            </w:pPr>
          </w:p>
          <w:p w14:paraId="5BD800FE" w14:textId="3EC5916E" w:rsidR="003A51A8" w:rsidRPr="009F51C3" w:rsidRDefault="003A51A8" w:rsidP="00B8276D">
            <w:pPr>
              <w:spacing w:after="0"/>
              <w:jc w:val="center"/>
              <w:rPr>
                <w:rFonts w:ascii="GHEA Grapalat" w:eastAsia="Times New Roman" w:hAnsi="GHEA Grapalat" w:cs="Times New Roman"/>
                <w:color w:val="000000"/>
                <w:sz w:val="24"/>
                <w:szCs w:val="24"/>
                <w:lang w:val="hy-AM" w:eastAsia="ru-RU"/>
              </w:rPr>
            </w:pPr>
          </w:p>
        </w:tc>
      </w:tr>
      <w:tr w:rsidR="00EA48B6" w:rsidRPr="002C0492" w14:paraId="242000E5" w14:textId="77777777" w:rsidTr="00EA48B6">
        <w:trPr>
          <w:trHeight w:val="694"/>
          <w:tblCellSpacing w:w="0" w:type="dxa"/>
          <w:jc w:val="center"/>
        </w:trPr>
        <w:tc>
          <w:tcPr>
            <w:tcW w:w="9773" w:type="dxa"/>
            <w:tcBorders>
              <w:top w:val="outset" w:sz="6" w:space="0" w:color="auto"/>
              <w:left w:val="outset" w:sz="6" w:space="0" w:color="auto"/>
              <w:bottom w:val="outset" w:sz="6" w:space="0" w:color="auto"/>
              <w:right w:val="outset" w:sz="6" w:space="0" w:color="auto"/>
            </w:tcBorders>
            <w:shd w:val="clear" w:color="auto" w:fill="FFFFFF"/>
            <w:hideMark/>
          </w:tcPr>
          <w:p w14:paraId="34682AAF" w14:textId="56F8CCFC" w:rsidR="00EA48B6" w:rsidRPr="00EA48B6" w:rsidRDefault="00EA48B6" w:rsidP="00EA48B6">
            <w:pPr>
              <w:tabs>
                <w:tab w:val="left" w:pos="851"/>
              </w:tabs>
              <w:spacing w:before="120" w:after="0" w:line="240" w:lineRule="auto"/>
              <w:ind w:left="113" w:right="113" w:firstLine="537"/>
              <w:jc w:val="both"/>
              <w:rPr>
                <w:rFonts w:ascii="GHEA Grapalat" w:hAnsi="GHEA Grapalat" w:cs="Sylfaen"/>
                <w:color w:val="191919"/>
                <w:sz w:val="24"/>
                <w:szCs w:val="24"/>
                <w:highlight w:val="lightGray"/>
                <w:shd w:val="clear" w:color="auto" w:fill="FFFFFF"/>
                <w:lang w:val="hy-AM"/>
              </w:rPr>
            </w:pPr>
            <w:r>
              <w:rPr>
                <w:rFonts w:ascii="GHEA Grapalat" w:hAnsi="GHEA Grapalat" w:cs="Sylfaen"/>
                <w:color w:val="191919"/>
                <w:sz w:val="24"/>
                <w:szCs w:val="24"/>
                <w:highlight w:val="lightGray"/>
                <w:shd w:val="clear" w:color="auto" w:fill="FFFFFF"/>
                <w:lang w:val="hy-AM"/>
              </w:rPr>
              <w:lastRenderedPageBreak/>
              <w:t>2</w:t>
            </w:r>
            <w:r w:rsidRPr="00EA48B6">
              <w:rPr>
                <w:rFonts w:ascii="GHEA Grapalat" w:hAnsi="GHEA Grapalat" w:cs="Sylfaen"/>
                <w:color w:val="191919"/>
                <w:sz w:val="24"/>
                <w:szCs w:val="24"/>
                <w:highlight w:val="lightGray"/>
                <w:shd w:val="clear" w:color="auto" w:fill="FFFFFF"/>
                <w:lang w:val="hy-AM"/>
              </w:rPr>
              <w:t xml:space="preserve">. </w:t>
            </w:r>
            <w:r>
              <w:rPr>
                <w:rFonts w:ascii="GHEA Grapalat" w:hAnsi="GHEA Grapalat" w:cs="Sylfaen"/>
                <w:color w:val="191919"/>
                <w:sz w:val="24"/>
                <w:szCs w:val="24"/>
                <w:highlight w:val="lightGray"/>
                <w:shd w:val="clear" w:color="auto" w:fill="FFFFFF"/>
                <w:lang w:val="hy-AM"/>
              </w:rPr>
              <w:t>Ֆինանսատնտեսական նախարարական կոմիտեի նիստ</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14:paraId="1B3A3C17" w14:textId="1CFD897A" w:rsidR="00EA48B6" w:rsidRPr="00EA48B6" w:rsidRDefault="00EA48B6" w:rsidP="00EA48B6">
            <w:pPr>
              <w:spacing w:after="0"/>
              <w:jc w:val="center"/>
              <w:rPr>
                <w:rFonts w:ascii="GHEA Grapalat" w:eastAsia="Times New Roman" w:hAnsi="GHEA Grapalat" w:cs="Times New Roman"/>
                <w:color w:val="000000"/>
                <w:sz w:val="24"/>
                <w:szCs w:val="24"/>
                <w:highlight w:val="lightGray"/>
                <w:lang w:val="hy-AM" w:eastAsia="ru-RU"/>
              </w:rPr>
            </w:pPr>
            <w:r w:rsidRPr="00EA48B6">
              <w:rPr>
                <w:rFonts w:ascii="GHEA Grapalat" w:eastAsia="Times New Roman" w:hAnsi="GHEA Grapalat" w:cs="Times New Roman"/>
                <w:color w:val="000000"/>
                <w:sz w:val="24"/>
                <w:szCs w:val="24"/>
                <w:highlight w:val="lightGray"/>
                <w:lang w:val="hy-AM" w:eastAsia="ru-RU"/>
              </w:rPr>
              <w:t>01․03</w:t>
            </w:r>
            <w:r w:rsidRPr="00EA48B6">
              <w:rPr>
                <w:rFonts w:ascii="GHEA Grapalat" w:eastAsia="Times New Roman" w:hAnsi="GHEA Grapalat" w:cs="Times New Roman"/>
                <w:color w:val="000000"/>
                <w:sz w:val="24"/>
                <w:szCs w:val="24"/>
                <w:highlight w:val="lightGray"/>
                <w:lang w:val="hy-AM" w:eastAsia="ru-RU"/>
              </w:rPr>
              <w:t>.2023թ.</w:t>
            </w:r>
          </w:p>
        </w:tc>
      </w:tr>
      <w:tr w:rsidR="00EA48B6" w:rsidRPr="009F51C3" w14:paraId="56A468A9" w14:textId="77777777" w:rsidTr="00EA48B6">
        <w:trPr>
          <w:trHeight w:val="694"/>
          <w:tblCellSpacing w:w="0" w:type="dxa"/>
          <w:jc w:val="center"/>
        </w:trPr>
        <w:tc>
          <w:tcPr>
            <w:tcW w:w="9773" w:type="dxa"/>
            <w:tcBorders>
              <w:top w:val="outset" w:sz="6" w:space="0" w:color="auto"/>
              <w:left w:val="outset" w:sz="6" w:space="0" w:color="auto"/>
              <w:bottom w:val="outset" w:sz="6" w:space="0" w:color="auto"/>
              <w:right w:val="outset" w:sz="6" w:space="0" w:color="auto"/>
            </w:tcBorders>
            <w:shd w:val="clear" w:color="auto" w:fill="FFFFFF"/>
            <w:hideMark/>
          </w:tcPr>
          <w:p w14:paraId="3DD204CE" w14:textId="2E5CB60C" w:rsidR="00EA48B6" w:rsidRPr="00EA48B6" w:rsidRDefault="00EA48B6" w:rsidP="003F011A">
            <w:pPr>
              <w:tabs>
                <w:tab w:val="left" w:pos="851"/>
              </w:tabs>
              <w:spacing w:before="120" w:after="0" w:line="240" w:lineRule="auto"/>
              <w:ind w:left="113" w:right="113" w:firstLine="537"/>
              <w:jc w:val="both"/>
              <w:rPr>
                <w:rFonts w:ascii="GHEA Grapalat" w:hAnsi="GHEA Grapalat" w:cs="Sylfaen"/>
                <w:color w:val="191919"/>
                <w:sz w:val="24"/>
                <w:szCs w:val="24"/>
                <w:shd w:val="clear" w:color="auto" w:fill="FFFFFF"/>
                <w:lang w:val="hy-AM"/>
              </w:rPr>
            </w:pPr>
            <w:r>
              <w:rPr>
                <w:rFonts w:ascii="GHEA Grapalat" w:hAnsi="GHEA Grapalat" w:cs="Sylfaen"/>
                <w:color w:val="191919"/>
                <w:sz w:val="24"/>
                <w:szCs w:val="24"/>
                <w:shd w:val="clear" w:color="auto" w:fill="FFFFFF"/>
                <w:lang w:val="hy-AM"/>
              </w:rPr>
              <w:t>1</w:t>
            </w:r>
            <w:r w:rsidRPr="00EA48B6">
              <w:rPr>
                <w:rFonts w:ascii="Cambria Math" w:hAnsi="Cambria Math" w:cs="Cambria Math"/>
                <w:color w:val="191919"/>
                <w:sz w:val="24"/>
                <w:szCs w:val="24"/>
                <w:shd w:val="clear" w:color="auto" w:fill="FFFFFF"/>
                <w:lang w:val="hy-AM"/>
              </w:rPr>
              <w:t>․</w:t>
            </w:r>
            <w:r w:rsidRPr="00EA48B6">
              <w:rPr>
                <w:rFonts w:ascii="GHEA Grapalat" w:hAnsi="GHEA Grapalat" w:cs="Sylfaen"/>
                <w:color w:val="191919"/>
                <w:sz w:val="24"/>
                <w:szCs w:val="24"/>
                <w:shd w:val="clear" w:color="auto" w:fill="FFFFFF"/>
                <w:lang w:val="hy-AM"/>
              </w:rPr>
              <w:t xml:space="preserve"> </w:t>
            </w:r>
            <w:r w:rsidR="003F011A">
              <w:rPr>
                <w:rFonts w:ascii="GHEA Grapalat" w:hAnsi="GHEA Grapalat" w:cs="Sylfaen"/>
                <w:color w:val="191919"/>
                <w:sz w:val="24"/>
                <w:szCs w:val="24"/>
                <w:shd w:val="clear" w:color="auto" w:fill="FFFFFF"/>
                <w:lang w:val="hy-AM"/>
              </w:rPr>
              <w:t xml:space="preserve"> Հ</w:t>
            </w:r>
            <w:r w:rsidR="003F011A" w:rsidRPr="003F011A">
              <w:rPr>
                <w:rFonts w:ascii="GHEA Grapalat" w:hAnsi="GHEA Grapalat" w:cs="Sylfaen"/>
                <w:color w:val="191919"/>
                <w:sz w:val="24"/>
                <w:szCs w:val="24"/>
                <w:shd w:val="clear" w:color="auto" w:fill="FFFFFF"/>
                <w:lang w:val="hy-AM"/>
              </w:rPr>
              <w:t>անրային կառավարման բարեփոխումների</w:t>
            </w:r>
            <w:r w:rsidR="003F011A">
              <w:rPr>
                <w:rFonts w:ascii="GHEA Grapalat" w:hAnsi="GHEA Grapalat" w:cs="Sylfaen"/>
                <w:color w:val="191919"/>
                <w:sz w:val="24"/>
                <w:szCs w:val="24"/>
                <w:shd w:val="clear" w:color="auto" w:fill="FFFFFF"/>
                <w:lang w:val="hy-AM"/>
              </w:rPr>
              <w:t xml:space="preserve"> թիմի գործունեության ապահովման նպատակով գումար նախատեսել ոչ թե ամբողջ տարվա, այլ հունվար – ապրիլ  ժամանակահատվածի համար։</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14:paraId="3D0F1AB1" w14:textId="77777777" w:rsidR="00EA48B6" w:rsidRDefault="00EA48B6" w:rsidP="00510478">
            <w:pPr>
              <w:spacing w:after="0"/>
              <w:jc w:val="center"/>
              <w:rPr>
                <w:rFonts w:ascii="GHEA Grapalat" w:eastAsia="Times New Roman" w:hAnsi="GHEA Grapalat" w:cs="Times New Roman"/>
                <w:b/>
                <w:color w:val="000000"/>
                <w:sz w:val="24"/>
                <w:szCs w:val="24"/>
                <w:lang w:val="hy-AM" w:eastAsia="ru-RU"/>
              </w:rPr>
            </w:pPr>
            <w:r>
              <w:rPr>
                <w:rFonts w:ascii="GHEA Grapalat" w:eastAsia="Times New Roman" w:hAnsi="GHEA Grapalat" w:cs="Times New Roman"/>
                <w:b/>
                <w:color w:val="000000"/>
                <w:sz w:val="24"/>
                <w:szCs w:val="24"/>
                <w:lang w:val="hy-AM" w:eastAsia="ru-RU"/>
              </w:rPr>
              <w:t>Ընդունվել է ։</w:t>
            </w:r>
          </w:p>
          <w:p w14:paraId="37C6340E" w14:textId="458FCBA9" w:rsidR="00EA48B6" w:rsidRPr="00EA48B6" w:rsidRDefault="00EA48B6" w:rsidP="00510478">
            <w:pPr>
              <w:spacing w:after="0"/>
              <w:jc w:val="center"/>
              <w:rPr>
                <w:rFonts w:ascii="GHEA Grapalat" w:eastAsia="Times New Roman" w:hAnsi="GHEA Grapalat" w:cs="Times New Roman"/>
                <w:b/>
                <w:color w:val="000000"/>
                <w:sz w:val="24"/>
                <w:szCs w:val="24"/>
                <w:lang w:val="hy-AM" w:eastAsia="ru-RU"/>
              </w:rPr>
            </w:pPr>
            <w:r w:rsidRPr="00EA48B6">
              <w:rPr>
                <w:rFonts w:ascii="GHEA Grapalat" w:eastAsia="Times New Roman" w:hAnsi="GHEA Grapalat" w:cs="Times New Roman"/>
                <w:b/>
                <w:color w:val="000000"/>
                <w:sz w:val="24"/>
                <w:szCs w:val="24"/>
                <w:lang w:val="hy-AM" w:eastAsia="ru-RU"/>
              </w:rPr>
              <w:t xml:space="preserve"> </w:t>
            </w:r>
          </w:p>
          <w:p w14:paraId="44F9FAD9" w14:textId="78C69EE4" w:rsidR="00EA48B6" w:rsidRPr="00EA48B6" w:rsidRDefault="00EA48B6" w:rsidP="003F011A">
            <w:pPr>
              <w:spacing w:after="0"/>
              <w:rPr>
                <w:rFonts w:ascii="GHEA Grapalat" w:eastAsia="Times New Roman" w:hAnsi="GHEA Grapalat" w:cs="Times New Roman"/>
                <w:b/>
                <w:color w:val="000000"/>
                <w:sz w:val="24"/>
                <w:szCs w:val="24"/>
                <w:lang w:val="hy-AM" w:eastAsia="ru-RU"/>
              </w:rPr>
            </w:pPr>
            <w:bookmarkStart w:id="0" w:name="_GoBack"/>
            <w:bookmarkEnd w:id="0"/>
          </w:p>
          <w:p w14:paraId="45193D1C" w14:textId="77777777" w:rsidR="00EA48B6" w:rsidRPr="00EA48B6" w:rsidRDefault="00EA48B6" w:rsidP="00510478">
            <w:pPr>
              <w:spacing w:after="0"/>
              <w:jc w:val="center"/>
              <w:rPr>
                <w:rFonts w:ascii="GHEA Grapalat" w:eastAsia="Times New Roman" w:hAnsi="GHEA Grapalat" w:cs="Times New Roman"/>
                <w:b/>
                <w:color w:val="000000"/>
                <w:sz w:val="24"/>
                <w:szCs w:val="24"/>
                <w:lang w:val="hy-AM" w:eastAsia="ru-RU"/>
              </w:rPr>
            </w:pPr>
          </w:p>
          <w:p w14:paraId="767A8DF2" w14:textId="77777777" w:rsidR="00EA48B6" w:rsidRPr="00EA48B6" w:rsidRDefault="00EA48B6" w:rsidP="00510478">
            <w:pPr>
              <w:spacing w:after="0"/>
              <w:jc w:val="center"/>
              <w:rPr>
                <w:rFonts w:ascii="GHEA Grapalat" w:eastAsia="Times New Roman" w:hAnsi="GHEA Grapalat" w:cs="Times New Roman"/>
                <w:b/>
                <w:color w:val="000000"/>
                <w:sz w:val="24"/>
                <w:szCs w:val="24"/>
                <w:lang w:val="hy-AM" w:eastAsia="ru-RU"/>
              </w:rPr>
            </w:pPr>
          </w:p>
        </w:tc>
      </w:tr>
    </w:tbl>
    <w:p w14:paraId="21407BF8" w14:textId="098C3145" w:rsidR="00762C84" w:rsidRPr="002C0492" w:rsidRDefault="00762C84" w:rsidP="003A51A8">
      <w:pPr>
        <w:spacing w:line="360" w:lineRule="auto"/>
        <w:rPr>
          <w:rFonts w:ascii="GHEA Grapalat" w:hAnsi="GHEA Grapalat"/>
          <w:sz w:val="24"/>
          <w:szCs w:val="24"/>
          <w:lang w:val="hy-AM"/>
        </w:rPr>
      </w:pPr>
    </w:p>
    <w:sectPr w:rsidR="00762C84" w:rsidRPr="002C0492" w:rsidSect="0059116B">
      <w:pgSz w:w="16838" w:h="11906" w:orient="landscape"/>
      <w:pgMar w:top="45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82F"/>
    <w:multiLevelType w:val="hybridMultilevel"/>
    <w:tmpl w:val="B0A663C2"/>
    <w:lvl w:ilvl="0" w:tplc="9D7AC784">
      <w:start w:val="1"/>
      <w:numFmt w:val="decimal"/>
      <w:lvlText w:val="%1."/>
      <w:lvlJc w:val="left"/>
      <w:pPr>
        <w:ind w:left="938" w:hanging="360"/>
      </w:pPr>
      <w:rPr>
        <w:rFonts w:cs="Times New Roman"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 w15:restartNumberingAfterBreak="0">
    <w:nsid w:val="198C413A"/>
    <w:multiLevelType w:val="hybridMultilevel"/>
    <w:tmpl w:val="6BE6CA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D9E41F1"/>
    <w:multiLevelType w:val="hybridMultilevel"/>
    <w:tmpl w:val="E424EC10"/>
    <w:lvl w:ilvl="0" w:tplc="0409000F">
      <w:start w:val="1"/>
      <w:numFmt w:val="decimal"/>
      <w:lvlText w:val="%1."/>
      <w:lvlJc w:val="left"/>
      <w:pPr>
        <w:ind w:left="1257" w:hanging="360"/>
      </w:p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3" w15:restartNumberingAfterBreak="0">
    <w:nsid w:val="3EEF15B7"/>
    <w:multiLevelType w:val="hybridMultilevel"/>
    <w:tmpl w:val="864A4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43B89"/>
    <w:multiLevelType w:val="hybridMultilevel"/>
    <w:tmpl w:val="6BE6CA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2D"/>
    <w:rsid w:val="00032D8C"/>
    <w:rsid w:val="0004057D"/>
    <w:rsid w:val="00093453"/>
    <w:rsid w:val="000E03AA"/>
    <w:rsid w:val="000F2B35"/>
    <w:rsid w:val="00122739"/>
    <w:rsid w:val="00132CBB"/>
    <w:rsid w:val="001514C8"/>
    <w:rsid w:val="001524BB"/>
    <w:rsid w:val="00182059"/>
    <w:rsid w:val="001C02B4"/>
    <w:rsid w:val="002937A9"/>
    <w:rsid w:val="002C0492"/>
    <w:rsid w:val="002D02BC"/>
    <w:rsid w:val="00355FCF"/>
    <w:rsid w:val="003A51A8"/>
    <w:rsid w:val="003E094C"/>
    <w:rsid w:val="003F011A"/>
    <w:rsid w:val="00412749"/>
    <w:rsid w:val="0043702D"/>
    <w:rsid w:val="00437FCD"/>
    <w:rsid w:val="0051577F"/>
    <w:rsid w:val="005377CC"/>
    <w:rsid w:val="0056604B"/>
    <w:rsid w:val="005763FC"/>
    <w:rsid w:val="0059116B"/>
    <w:rsid w:val="005A7706"/>
    <w:rsid w:val="005C1036"/>
    <w:rsid w:val="00607573"/>
    <w:rsid w:val="00663575"/>
    <w:rsid w:val="00666776"/>
    <w:rsid w:val="00672235"/>
    <w:rsid w:val="006C6BAD"/>
    <w:rsid w:val="006D1CD6"/>
    <w:rsid w:val="007214E3"/>
    <w:rsid w:val="00762C84"/>
    <w:rsid w:val="007B0D2B"/>
    <w:rsid w:val="007B3BD5"/>
    <w:rsid w:val="007C439F"/>
    <w:rsid w:val="007D0E06"/>
    <w:rsid w:val="007E002D"/>
    <w:rsid w:val="008239A1"/>
    <w:rsid w:val="008568A5"/>
    <w:rsid w:val="00887AFE"/>
    <w:rsid w:val="008B3B62"/>
    <w:rsid w:val="008E0638"/>
    <w:rsid w:val="008E53AA"/>
    <w:rsid w:val="009D2E32"/>
    <w:rsid w:val="009F51C3"/>
    <w:rsid w:val="00A76ECA"/>
    <w:rsid w:val="00A80737"/>
    <w:rsid w:val="00A82682"/>
    <w:rsid w:val="00AB1433"/>
    <w:rsid w:val="00B142F3"/>
    <w:rsid w:val="00B8276D"/>
    <w:rsid w:val="00B90FD5"/>
    <w:rsid w:val="00BA0225"/>
    <w:rsid w:val="00C34CEA"/>
    <w:rsid w:val="00E37791"/>
    <w:rsid w:val="00E57727"/>
    <w:rsid w:val="00E60BD1"/>
    <w:rsid w:val="00E647BF"/>
    <w:rsid w:val="00E70658"/>
    <w:rsid w:val="00EA48B6"/>
    <w:rsid w:val="00EA7E0E"/>
    <w:rsid w:val="00EB771F"/>
    <w:rsid w:val="00EC4347"/>
    <w:rsid w:val="00F35518"/>
    <w:rsid w:val="00F47C09"/>
    <w:rsid w:val="00F6753D"/>
    <w:rsid w:val="00FC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8802"/>
  <w15:docId w15:val="{B91A759F-1237-4143-9E7C-F5EF3E6D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B142F3"/>
    <w:pPr>
      <w:ind w:left="720"/>
      <w:contextualSpacing/>
    </w:pPr>
    <w:rPr>
      <w:rFonts w:eastAsiaTheme="minorEastAsia"/>
      <w:lang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B142F3"/>
    <w:rPr>
      <w:rFonts w:eastAsiaTheme="minorEastAsia"/>
      <w:lang w:eastAsia="ru-RU"/>
    </w:rPr>
  </w:style>
  <w:style w:type="character" w:styleId="Strong">
    <w:name w:val="Strong"/>
    <w:basedOn w:val="DefaultParagraphFont"/>
    <w:qFormat/>
    <w:rsid w:val="00B90FD5"/>
    <w:rPr>
      <w:b/>
      <w:bCs/>
    </w:rPr>
  </w:style>
  <w:style w:type="character" w:customStyle="1" w:styleId="NormalWebChar">
    <w:name w:val="Normal (Web) Char"/>
    <w:aliases w:val="webb Char"/>
    <w:link w:val="NormalWeb"/>
    <w:uiPriority w:val="99"/>
    <w:locked/>
    <w:rsid w:val="00F6753D"/>
    <w:rPr>
      <w:rFonts w:ascii="Times New Roman" w:eastAsia="Times New Roman" w:hAnsi="Times New Roman" w:cs="Times New Roman"/>
      <w:sz w:val="24"/>
      <w:szCs w:val="24"/>
      <w:lang w:val="x-none" w:eastAsia="ru-RU"/>
    </w:rPr>
  </w:style>
  <w:style w:type="paragraph" w:styleId="NormalWeb">
    <w:name w:val="Normal (Web)"/>
    <w:aliases w:val="webb"/>
    <w:basedOn w:val="Normal"/>
    <w:link w:val="NormalWebChar"/>
    <w:uiPriority w:val="99"/>
    <w:unhideWhenUsed/>
    <w:qFormat/>
    <w:rsid w:val="00F6753D"/>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Hyperlink">
    <w:name w:val="Hyperlink"/>
    <w:basedOn w:val="DefaultParagraphFont"/>
    <w:uiPriority w:val="99"/>
    <w:unhideWhenUsed/>
    <w:rsid w:val="00537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48978">
      <w:bodyDiv w:val="1"/>
      <w:marLeft w:val="0"/>
      <w:marRight w:val="0"/>
      <w:marTop w:val="0"/>
      <w:marBottom w:val="0"/>
      <w:divBdr>
        <w:top w:val="none" w:sz="0" w:space="0" w:color="auto"/>
        <w:left w:val="none" w:sz="0" w:space="0" w:color="auto"/>
        <w:bottom w:val="none" w:sz="0" w:space="0" w:color="auto"/>
        <w:right w:val="none" w:sz="0" w:space="0" w:color="auto"/>
      </w:divBdr>
    </w:div>
    <w:div w:id="12666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72FF-25B1-4FEE-90DF-964084D2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https:/mul2.gov.am/tasks/410849/oneclick/Ampopatert.docx?token=6f3ed5269912ff15f9be4b3d55a3a258</cp:keywords>
  <cp:lastModifiedBy>Zara Margaryan</cp:lastModifiedBy>
  <cp:revision>24</cp:revision>
  <dcterms:created xsi:type="dcterms:W3CDTF">2021-04-15T06:46:00Z</dcterms:created>
  <dcterms:modified xsi:type="dcterms:W3CDTF">2023-03-01T08:39:00Z</dcterms:modified>
</cp:coreProperties>
</file>