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pPr>
        <w:pStyle w:val="NormalWeb"/>
        <w:shd w:val="clear" w:color="auto" w:fill="FFFFFF"/>
        <w:spacing w:before="0" w:beforeAutospacing="0" w:after="0" w:afterAutospacing="0"/>
        <w:jc w:val="center"/>
        <w:rPr>
          <w:rFonts w:ascii="GHEA Grapalat" w:hAnsi="GHEA Grapalat"/>
          <w:b/>
          <w:lang w:val="hy-AM"/>
        </w:rPr>
      </w:pPr>
      <w:r>
        <w:rPr>
          <w:rFonts w:ascii="GHEA Grapalat" w:hAnsi="GHEA Grapalat"/>
          <w:b/>
          <w:lang w:val="hy-AM"/>
        </w:rPr>
        <w:t>«</w:t>
      </w: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ԵՎ</w:t>
      </w:r>
      <w:r>
        <w:rPr>
          <w:rStyle w:val="Strong"/>
          <w:rFonts w:ascii="GHEA Grapalat" w:hAnsi="GHEA Grapalat"/>
          <w:color w:val="000000"/>
          <w:lang w:val="hy-AM"/>
        </w:rPr>
        <w:t xml:space="preserve"> ՀԱՅԱՍՏԱՆԻ ՀԱՆՐԱՊԵՏՈՒԹՅԱՆ ԿԱՌԱՎԱՐՈՒԹՅԱՆ</w:t>
      </w:r>
      <w:r>
        <w:rPr>
          <w:rStyle w:val="Strong"/>
          <w:rFonts w:ascii="GHEA Grapalat" w:hAnsi="GHEA Grapalat"/>
          <w:shd w:val="clear" w:color="auto" w:fill="FFFFFF"/>
          <w:lang w:val="hy-AM"/>
        </w:rPr>
        <w:t xml:space="preserve"> 2022 ԹՎԱԿԱՆԻ ԱՊՐԻԼԻ 7-Ի N 453-Լ ՈՐՈՇՈՒՄՆԵՐՈՒՄ</w:t>
      </w:r>
      <w:r>
        <w:rPr>
          <w:rStyle w:val="Strong"/>
          <w:rFonts w:ascii="GHEA Grapalat" w:hAnsi="GHEA Grapalat" w:cs="Calibri"/>
          <w:color w:val="000000"/>
          <w:lang w:val="hy-AM"/>
        </w:rPr>
        <w:t xml:space="preserve"> ԼՐԱՑՈՒՄՆԵՐ ԵՎ </w:t>
      </w:r>
      <w:r>
        <w:rPr>
          <w:rStyle w:val="Strong"/>
          <w:rFonts w:ascii="GHEA Grapalat" w:hAnsi="GHEA Grapalat" w:cs="GHEA Grapalat"/>
          <w:color w:val="000000"/>
          <w:lang w:val="hy-AM"/>
        </w:rPr>
        <w:t>ՓՈՓՈԽՈՒԹՅՈՒՆՆԵՐ</w:t>
      </w:r>
      <w:r>
        <w:rPr>
          <w:rFonts w:ascii="GHEA Grapalat" w:hAnsi="GHEA Grapalat" w:cs="GHEA Grapalat"/>
          <w:color w:val="000000"/>
          <w:lang w:val="hy-AM"/>
        </w:rPr>
        <w:t xml:space="preserve"> </w:t>
      </w:r>
      <w:r>
        <w:rPr>
          <w:rStyle w:val="Strong"/>
          <w:rFonts w:ascii="GHEA Grapalat" w:hAnsi="GHEA Grapalat" w:cs="GHEA Grapalat"/>
          <w:color w:val="000000"/>
          <w:lang w:val="hy-AM"/>
        </w:rPr>
        <w:t>ԿԱՏԱՐԵԼՈՒ ՄԱՍԻՆ</w:t>
      </w:r>
      <w:r>
        <w:rPr>
          <w:rFonts w:ascii="GHEA Grapalat" w:hAnsi="GHEA Grapalat"/>
          <w:b/>
          <w:lang w:val="hy-AM"/>
        </w:rPr>
        <w:t xml:space="preserve">» ՀԱՅԱՍՏԱՆԻ ՀԱՆՐԱՊԵՏՈՒԹՅԱՆ ԿԱՌԱՎԱՐՈՒԹՅԱՆ ՈՐՈՇՄԱՆ ՆԱԽԱԳԾԻ   </w:t>
      </w:r>
    </w:p>
    <w:p>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430"/>
        <w:gridCol w:w="135"/>
        <w:gridCol w:w="2565"/>
      </w:tblGrid>
      <w:tr>
        <w:trPr>
          <w:trHeight w:val="260"/>
        </w:trP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20</w:t>
            </w:r>
            <w:r>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rPr>
              <w:t>01</w:t>
            </w:r>
            <w:r>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rPr>
              <w:t>3</w:t>
            </w:r>
            <w:r>
              <w:rPr>
                <w:rFonts w:ascii="GHEA Grapalat" w:hAnsi="GHEA Grapalat"/>
                <w:color w:val="000000"/>
                <w:sz w:val="24"/>
                <w:szCs w:val="24"/>
                <w:highlight w:val="lightGray"/>
                <w:shd w:val="clear" w:color="auto" w:fill="FFFFFF"/>
                <w:lang w:val="hy-AM"/>
              </w:rPr>
              <w:t>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06-07/54-23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rPr>
              <w:t xml:space="preserve">1. </w:t>
            </w:r>
            <w:r>
              <w:rPr>
                <w:rFonts w:ascii="GHEA Grapalat" w:hAnsi="GHEA Grapalat"/>
                <w:color w:val="000000"/>
                <w:sz w:val="24"/>
                <w:szCs w:val="24"/>
                <w:lang w:val="hy-AM"/>
              </w:rPr>
              <w:t>Նախագծի 2-րդ կետի 10-րդ նոր ենթակետում տարրընկալումներից խուսափելու նպատակով առաջարկում ենք «հիփոթեքային վարկի պայմանագրի շրջանակներում» բառերի փոխարեն կիրառել «ծրագրի շրջանակներում» բառերը։</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pPr>
              <w:ind w:firstLine="166"/>
              <w:jc w:val="center"/>
              <w:rPr>
                <w:rFonts w:ascii="GHEA Grapalat" w:hAnsi="GHEA Grapalat"/>
                <w:b/>
                <w:color w:val="000000"/>
                <w:sz w:val="24"/>
                <w:szCs w:val="24"/>
                <w:shd w:val="clear" w:color="auto" w:fill="FFFFFF"/>
                <w:lang w:val="hy-AM"/>
              </w:rPr>
            </w:pP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rPr>
              <w:t xml:space="preserve">2. </w:t>
            </w:r>
            <w:r>
              <w:rPr>
                <w:rFonts w:ascii="GHEA Grapalat" w:hAnsi="GHEA Grapalat"/>
                <w:color w:val="000000"/>
                <w:sz w:val="24"/>
                <w:szCs w:val="24"/>
                <w:lang w:val="hy-AM"/>
              </w:rPr>
              <w:t>Միաժամանակ, նույն կետում նշված՝ հողատարածքի ձեռքբերման վարկերի մասով դրույթների կապակցությամբ պետք է նկատի ունենալ նաև այն հանգամանքը, որ Վերաֆինանսավորող ընկերությունները հողատարածքի ձեռքբերման վարկերի վերաֆինանսավորում չեն իրականացնում և Նախագծով առաջարկվող փոփոխությունների պարագայում ֆինանսական կառույցները նման վարկեր պետք է տրամադրեն իրենց սեփական ռեսուրսներով: Վերջինս, մեր կարծիքով, գործնականում խնդրահարույց  կարող է լինել (նման գործարքներ գործնականում բավականին քիչ են իրականացվում, հատկապես ՀՀ մարզերում, ընդ որում հողատարածք ձեռք բերելու համար վարկ տրամադրելիս սովորաբար պահանջվում է այլ գրավի առկայություն, որն արդեն իսկ խնդիր կլինի կոնկրետ այս ծրագրի շահառուների տեսանկյունից), ուստի առաջարկում ենք Նախագծի ներքո որպես առանձին վարկավորման տեսակ չդիտարկել հողատարածքի ձեռքբերմանն ուղղված վարկերը։</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pPr>
              <w:ind w:firstLine="166"/>
              <w:jc w:val="center"/>
              <w:rPr>
                <w:rFonts w:ascii="GHEA Grapalat" w:hAnsi="GHEA Grapalat"/>
                <w:b/>
                <w:color w:val="000000"/>
                <w:sz w:val="24"/>
                <w:szCs w:val="24"/>
                <w:shd w:val="clear" w:color="auto" w:fill="FFFFFF"/>
                <w:lang w:val="hy-AM"/>
              </w:rPr>
            </w:pPr>
          </w:p>
        </w:tc>
      </w:tr>
      <w:t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13.01.2023թ.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01/27.1/1762-2023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1. Նախագծի 1-ին կետում «ենթակետերը» բառն անհրաժեշտ է փոխարինել «ենթակետերում» բառով</w:t>
            </w:r>
            <w:r>
              <w:rPr>
                <w:rFonts w:ascii="GHEA Grapalat" w:hAnsi="GHEA Grapalat"/>
                <w:color w:val="000000"/>
                <w:sz w:val="24"/>
                <w:szCs w:val="24"/>
              </w:rPr>
              <w:t>:</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Նախագծի 2-րդ կետի 1-ին ենթակետի համաձայն. «3-րդ կետի 1-ին ենթակետում «2022 թվականի դեկտեմբերի 30-ը» բառերը փոխարինել «2023 թվականի փետրվարի 20-ը» բառերով.»: </w:t>
            </w:r>
          </w:p>
          <w:p>
            <w:pPr>
              <w:jc w:val="both"/>
              <w:rPr>
                <w:rFonts w:ascii="GHEA Grapalat" w:hAnsi="GHEA Grapalat"/>
                <w:color w:val="000000"/>
                <w:sz w:val="24"/>
                <w:szCs w:val="24"/>
                <w:lang w:val="hy-AM"/>
              </w:rPr>
            </w:pPr>
            <w:r>
              <w:rPr>
                <w:rFonts w:ascii="GHEA Grapalat" w:hAnsi="GHEA Grapalat"/>
                <w:color w:val="000000"/>
                <w:sz w:val="24"/>
                <w:szCs w:val="24"/>
                <w:lang w:val="hy-AM"/>
              </w:rPr>
              <w:t>Այդ առումով հարկ է նշել, որ «Նորմատիվ իրավական ակտերի մասին» օրենքի 30-րդ հոդվածի 2-րդ մասի համաձայն՝ մինչև սահմանված ժամկետի ավարտն ակտն ընդունող մարմինը կարող է երկարաձգել ակտի գործողության ժամկետը կամ դրան հաղորդել անժամկետ բնույթ: Նույն դիտողությունը վերաբերում է նաև նախագծի 2-րդ կետի 3-րդ ենթակետին:</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pPr>
              <w:jc w:val="both"/>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 xml:space="preserve">Նախագծով կարգավորվող խնդիրները հայտնաբերվել են սահմանված ժամկետի ավարտից հետո, ուստի հնարավոր չէր ժամկետի երկարաձգման առաջարկը ներկայացնել նախքան այդ։ </w:t>
            </w:r>
          </w:p>
        </w:tc>
      </w:tr>
      <w:t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19</w:t>
            </w:r>
            <w:r>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rPr>
              <w:t>01</w:t>
            </w:r>
            <w:r>
              <w:rPr>
                <w:rFonts w:ascii="GHEA Grapalat" w:hAnsi="GHEA Grapalat"/>
                <w:color w:val="000000"/>
                <w:sz w:val="24"/>
                <w:szCs w:val="24"/>
                <w:highlight w:val="lightGray"/>
                <w:shd w:val="clear" w:color="auto" w:fill="FFFFFF"/>
                <w:lang w:val="hy-AM"/>
              </w:rPr>
              <w:t>.2023թ.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01/34-2/723-2023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rPr>
              <w:t xml:space="preserve">1. </w:t>
            </w:r>
            <w:r>
              <w:rPr>
                <w:rFonts w:ascii="GHEA Grapalat" w:hAnsi="GHEA Grapalat"/>
                <w:color w:val="000000"/>
                <w:sz w:val="24"/>
                <w:szCs w:val="24"/>
                <w:lang w:val="hy-AM"/>
              </w:rPr>
              <w:t xml:space="preserve">Նախագծով նախատեսվում է «Արցախի Հանրապետության առանձին շրջաններից տեղահանված ընտանիքների համար բնակարանային մատչելիության ապահովման պետական աջակցության ծրագրի (այսուհետ՝ Ծրագիր) իրականացման կարգը հաստատելու մասին» ՀՀ կառավարության 2022 թվականի ապրիլի 7-ի N 453-Լ որոշման հավելվածում կատարել ժամկետի փոփոխություն՝ մինչև 2023 թվականի փետրվարի 20-ը, որը թույլ կտա շահառուների ցուցակում լրացնել կամ շտկել թույլ տրված բացթողումներն ու սխալները, ինչպես նաև այդ փոփոխությունների արդյունքում շահառուների կողմից լրացնել նոր դիմումներ։ </w:t>
            </w:r>
          </w:p>
          <w:p>
            <w:pPr>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Նախագծի հիմնավորման մեջ նշվում է, որ Ծրագրի շրջանակներում 30.12.2022թ. դրությամբ արդեն իսկ հավաստագիր է ստացել 3293 շահառու, որից շուրջ 5 տասնյակ շահառուների հիփոթեքային վարկավորման գործընթացն ընթացքի մեջ է և գտնվում է ավարտական փուլում: Հարկ ենք համարում նշել, որ վերոհիշյալ միջոցառման գծով 2023թ. ՀՀ պետական բյուջեով հաստատված արդյունքային ցուցանիշների (1283 շահառու) և Նախագծի հիմնավորման մեջ նշված շահառուների թվաքանակը զգալի տարբերվում են միմյանցից, ինչը ենթադրում է ոչ միայն շահառուների քանակի, այլ նաև լրացուցիչ ֆինանսական միջոցների ավելացում: Ավելին՝ Նախագծի հիմնավորման մեջ նշվում է, որ որոշման ընդունման կապակցությամբ պետական բյուջեում եկամուտների և ծախսերի ավելացում կամ նվազեցում չի </w:t>
            </w:r>
            <w:r>
              <w:rPr>
                <w:rFonts w:ascii="GHEA Grapalat" w:hAnsi="GHEA Grapalat"/>
                <w:color w:val="000000"/>
                <w:sz w:val="24"/>
                <w:szCs w:val="24"/>
                <w:lang w:val="hy-AM"/>
              </w:rPr>
              <w:lastRenderedPageBreak/>
              <w:t xml:space="preserve">նախատեսվում, որը մեր գնահատմամբ վիճահարույց է (շահառուների թվի ավելացումը չի կարող սպասարկվել առկա ռեսուրսներով):  </w:t>
            </w:r>
          </w:p>
          <w:p>
            <w:pPr>
              <w:jc w:val="both"/>
              <w:rPr>
                <w:rFonts w:ascii="GHEA Grapalat" w:hAnsi="GHEA Grapalat"/>
                <w:color w:val="000000"/>
                <w:sz w:val="24"/>
                <w:szCs w:val="24"/>
                <w:lang w:val="hy-AM"/>
              </w:rPr>
            </w:pPr>
            <w:r>
              <w:rPr>
                <w:rFonts w:ascii="GHEA Grapalat" w:hAnsi="GHEA Grapalat"/>
                <w:color w:val="000000"/>
                <w:sz w:val="24"/>
                <w:szCs w:val="24"/>
                <w:lang w:val="hy-AM"/>
              </w:rPr>
              <w:t xml:space="preserve"> Անհրաժեշտ ենք համարում կից ներկայացնել նաև նշված Ծրագրի շրջանակներում արդեն իսկ տրամադրված 3293 հավաստագրերի գծով իրականացված վերլուծությունները՝ մասնավորապես բանկային համակարգի միջոցով բավարարված դիմումատուներից քանի՞սն են ստացել դրական եզրակացություն, առկա է արդյո՞ք բնակարան կամ բնակելի տան ձեռք բերման վերաբերյալ հստակեցված տեղեկատվություն, ինչպես նաև դրանց բաշխվածությունը ըստ ՀՀ մարզերի և Լեռնային Ղարաբաղի:</w:t>
            </w:r>
          </w:p>
          <w:p>
            <w:pPr>
              <w:jc w:val="both"/>
              <w:rPr>
                <w:rFonts w:ascii="GHEA Grapalat" w:hAnsi="GHEA Grapalat"/>
                <w:color w:val="000000"/>
                <w:sz w:val="24"/>
                <w:szCs w:val="24"/>
                <w:lang w:val="hy-AM"/>
              </w:rPr>
            </w:pPr>
            <w:r>
              <w:rPr>
                <w:rFonts w:ascii="GHEA Grapalat" w:hAnsi="GHEA Grapalat"/>
                <w:color w:val="000000"/>
                <w:sz w:val="24"/>
                <w:szCs w:val="24"/>
                <w:lang w:val="hy-AM"/>
              </w:rPr>
              <w:t>Ելնելով վերոգրյալից՝ հայտնում ենք, որ Նախագծի վերաբերյալ վերջնական դիրքորոշում կարող ենք հայտնել վերը թվարկված դիտարկումների մասով համապատասխան պարզաբանումներ և անհրաժեշտ տեղեկատվությունը տրամադրելուց հետո:</w:t>
            </w:r>
          </w:p>
        </w:tc>
        <w:tc>
          <w:tcPr>
            <w:tcW w:w="5130" w:type="dxa"/>
            <w:gridSpan w:val="3"/>
          </w:tcPr>
          <w:p>
            <w:pPr>
              <w:ind w:firstLine="166"/>
              <w:jc w:val="center"/>
              <w:rPr>
                <w:rFonts w:ascii="GHEA Grapalat" w:hAnsi="GHEA Grapalat"/>
                <w:b/>
                <w:color w:val="000000"/>
                <w:sz w:val="24"/>
                <w:szCs w:val="24"/>
                <w:shd w:val="clear" w:color="auto" w:fill="FFFFFF"/>
                <w:lang w:val="hy-AM"/>
              </w:rPr>
            </w:pP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pPr>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Նախագծով նախատեսված փոփոխությունների արդյունքում լրացուցիչ ֆինանսական միջոցների անհրաժեշտություն չի առաջանում, այնուամենայնիվ, ֆինանսական միջոցների համալրման հնարավոր անհրաժեշտության դեպքում այն կապահովվի նախարարության ներքին ռեսուրսների հաշվին՝ վերաբաշխում կատարելու միջոցով</w:t>
            </w:r>
            <w:bookmarkStart w:id="0" w:name="_GoBack"/>
            <w:bookmarkEnd w:id="0"/>
          </w:p>
        </w:tc>
      </w:tr>
      <w:tr>
        <w:tc>
          <w:tcPr>
            <w:tcW w:w="11610" w:type="dxa"/>
            <w:gridSpan w:val="2"/>
            <w:vMerge w:val="restart"/>
            <w:shd w:val="clear" w:color="auto" w:fill="D9D9D9" w:themeFill="background1" w:themeFillShade="D9"/>
          </w:tcPr>
          <w:p>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4. ՀՀ կադաստրի կոմիտե</w:t>
            </w:r>
          </w:p>
        </w:tc>
        <w:tc>
          <w:tcPr>
            <w:tcW w:w="2700" w:type="dxa"/>
            <w:gridSpan w:val="2"/>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17.01.2023թ.</w:t>
            </w:r>
          </w:p>
        </w:tc>
      </w:tr>
      <w:tr>
        <w:tc>
          <w:tcPr>
            <w:tcW w:w="11610" w:type="dxa"/>
            <w:gridSpan w:val="2"/>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ՍԹ/531-2023</w:t>
            </w:r>
          </w:p>
        </w:tc>
      </w:tr>
      <w:tr>
        <w:tc>
          <w:tcPr>
            <w:tcW w:w="9180" w:type="dxa"/>
          </w:tcPr>
          <w:p>
            <w:pPr>
              <w:jc w:val="both"/>
              <w:rPr>
                <w:rFonts w:ascii="GHEA Grapalat" w:hAnsi="GHEA Grapalat"/>
                <w:sz w:val="24"/>
                <w:szCs w:val="24"/>
                <w:lang w:val="hy-AM"/>
              </w:rPr>
            </w:pPr>
            <w:r>
              <w:rPr>
                <w:rFonts w:ascii="GHEA Grapalat" w:hAnsi="GHEA Grapalat"/>
                <w:color w:val="000000"/>
                <w:sz w:val="24"/>
                <w:szCs w:val="24"/>
                <w:lang w:val="hy-AM"/>
              </w:rPr>
              <w:t xml:space="preserve">1. «Նորմատիվ իրավական ակտերի մասին» ՀՀ օրենքի 21-րդ հոդվածի 4-րդ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Հաշվի առնելով վերոնշյալ հանգամանքը՝ առաջարկում ենք Նախագծի 1-ին կետով ՀՀ կառավարության 2022 թվականի փետրվարի 17-ի N 169-Լ որոշման մեջ նախատեսվող լրացումը որոշման հավելվածի 16-րդ կետի 1-4-րդ ենթակետերի փոխարեն կատարել 6-րդ կետի 1-ին ենթակետում: </w:t>
            </w:r>
          </w:p>
        </w:tc>
        <w:tc>
          <w:tcPr>
            <w:tcW w:w="5130" w:type="dxa"/>
            <w:gridSpan w:val="3"/>
          </w:tcPr>
          <w:p>
            <w:pPr>
              <w:ind w:firstLine="166"/>
              <w:jc w:val="center"/>
              <w:rPr>
                <w:rFonts w:ascii="GHEA Grapalat" w:hAnsi="GHEA Grapalat"/>
                <w:b/>
                <w:color w:val="000000"/>
                <w:sz w:val="24"/>
                <w:szCs w:val="24"/>
                <w:shd w:val="clear" w:color="auto" w:fill="FFFFFF"/>
                <w:lang w:val="hy-AM"/>
              </w:rPr>
            </w:pPr>
          </w:p>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2. 2022 թվականի մայիսի 25-ի N ՀՕ-136-Ն օրենքով փոփոխություններ և լրացումներ են կատարվել ՀՀ քաղաքացիական օրենսգրքում (այդ թվում՝ 170-րդ հոդվածի 1-ին մասի 5-րդ կետում, լրացվել է 224.1-ին հոդվածը), ինչի արդյունքում ընդլայնվել է անշարժ գույք գնելու իրավունքի շրջանակը:</w:t>
            </w:r>
          </w:p>
          <w:p>
            <w:pPr>
              <w:ind w:right="113"/>
              <w:jc w:val="both"/>
              <w:rPr>
                <w:rFonts w:ascii="GHEA Grapalat" w:hAnsi="GHEA Grapalat"/>
                <w:color w:val="000000"/>
                <w:sz w:val="24"/>
                <w:szCs w:val="24"/>
                <w:lang w:val="hy-AM"/>
              </w:rPr>
            </w:pPr>
            <w:r>
              <w:rPr>
                <w:rFonts w:ascii="GHEA Grapalat" w:hAnsi="GHEA Grapalat"/>
                <w:color w:val="000000"/>
                <w:sz w:val="24"/>
                <w:szCs w:val="24"/>
                <w:lang w:val="hy-AM"/>
              </w:rPr>
              <w:lastRenderedPageBreak/>
              <w:t>Առաջարկում ենք 2022 թվականի փետրվարի 17-ի N 169-Լ որոշման հավելվածի 6-րդ կետի 1-ին ենթակետում «Հայաստանի Հանրապետությունում հիփոթեքային վարկով բնակարան կամ անհատական բնակելի տուն» բառերը փոխարինել «Հայաստանի Հանրապետությունում հիփոթեքային վարկով բնակարան, անհատական բնակելի տուն, կառուցվող բազմաբնակարան շենքից բնակարան կամ բնակելի տուն գնելու իրավունք» բառերով:</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3. 2022 թվականի փետրվարի 17-ի N 169-Լ որոշման հավելվածում կատարվող լրացմանը համապատասխան՝ առաջարկում ենք լրացում կատարել նաև ՀՀ կառավարության 2022 թվականի ապրիլի 7-ի N 453-Լ որոշման հավելվածում, մասնավորապես 2-րդ կետի 4-րդ ենթակետում, 3-րդ կետի 3-րդ ենթակետում և քանի որ նշված նորմերով կարգավորվում են միայն բնակելի անշարժ գույքի ձեռքբերման կամ անհատական բնակելի տան կառուցման նպատակով հիփոթեքային վարկի տրամադրմանն առնչվող հարաբերությունները:</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4. Նախագծով նախատեսվում է նաև համապատասխան փոփոխություններ կատարել ՀՀ կառավարության 2022 թվականի ապրիլի 7-ի N 453-Լ որոշման հավելվածում՝ ծրագրից օգտվելու դիմում ներկայացնելու վերջնաժամկետը՝ 2022 թվականի դեկտեմբերի 30-ը փոխարինել 2023 թվականի փետրվարի 20-ով: Սակայն ՀՀ կառավարության 2022 թվականի փետրվարի 17-ի N 169-Լ որոշման հավելվածում համարժեք փոփոխություն չի նախատեսվել: Առաջարկում ենք վերանայել N 169-Լ որոշման հավելվածի 13-րդ կետում նախատեսված դիմում ներկայացնելու վերջնաժամկետը՝ 2022 թվականի դեկտեմբերի 30-ը:</w:t>
            </w:r>
          </w:p>
        </w:tc>
        <w:tc>
          <w:tcPr>
            <w:tcW w:w="5130" w:type="dxa"/>
            <w:gridSpan w:val="3"/>
          </w:tcPr>
          <w:p>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tc>
          <w:tcPr>
            <w:tcW w:w="11745" w:type="dxa"/>
            <w:gridSpan w:val="3"/>
            <w:vMerge w:val="restart"/>
            <w:shd w:val="clear" w:color="auto" w:fill="D9D9D9" w:themeFill="background1" w:themeFillShade="D9"/>
          </w:tcPr>
          <w:p>
            <w:pPr>
              <w:ind w:right="36"/>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t>5</w:t>
            </w:r>
            <w:r>
              <w:rPr>
                <w:rFonts w:ascii="GHEA Grapalat" w:hAnsi="GHEA Grapalat"/>
                <w:b/>
                <w:color w:val="000000"/>
                <w:sz w:val="24"/>
                <w:szCs w:val="24"/>
                <w:highlight w:val="lightGray"/>
                <w:shd w:val="clear" w:color="auto" w:fill="FFFFFF"/>
              </w:rPr>
              <w:t>. ՀՀ քաղաքաշինության կոմիտե</w:t>
            </w:r>
          </w:p>
        </w:tc>
        <w:tc>
          <w:tcPr>
            <w:tcW w:w="2565" w:type="dxa"/>
            <w:shd w:val="clear" w:color="auto" w:fill="D9D9D9" w:themeFill="background1" w:themeFillShade="D9"/>
          </w:tcPr>
          <w:p>
            <w:pPr>
              <w:ind w:right="36"/>
              <w:jc w:val="center"/>
              <w:rPr>
                <w:rFonts w:ascii="GHEA Grapalat" w:hAnsi="GHEA Grapalat" w:cs="Sylfaen"/>
                <w:sz w:val="24"/>
                <w:szCs w:val="24"/>
                <w:lang w:val="hy-AM"/>
              </w:rPr>
            </w:pPr>
            <w:r>
              <w:rPr>
                <w:rFonts w:ascii="GHEA Grapalat" w:hAnsi="GHEA Grapalat" w:cs="Sylfaen"/>
                <w:sz w:val="24"/>
                <w:szCs w:val="24"/>
              </w:rPr>
              <w:t>19</w:t>
            </w:r>
            <w:r>
              <w:rPr>
                <w:rFonts w:ascii="GHEA Grapalat" w:hAnsi="GHEA Grapalat" w:cs="Sylfaen"/>
                <w:sz w:val="24"/>
                <w:szCs w:val="24"/>
                <w:lang w:val="hy-AM"/>
              </w:rPr>
              <w:t>.</w:t>
            </w:r>
            <w:r>
              <w:rPr>
                <w:rFonts w:ascii="GHEA Grapalat" w:hAnsi="GHEA Grapalat" w:cs="Sylfaen"/>
                <w:sz w:val="24"/>
                <w:szCs w:val="24"/>
              </w:rPr>
              <w:t>01</w:t>
            </w:r>
            <w:r>
              <w:rPr>
                <w:rFonts w:ascii="GHEA Grapalat" w:hAnsi="GHEA Grapalat" w:cs="Sylfaen"/>
                <w:sz w:val="24"/>
                <w:szCs w:val="24"/>
                <w:lang w:val="hy-AM"/>
              </w:rPr>
              <w:t>.202</w:t>
            </w:r>
            <w:r>
              <w:rPr>
                <w:rFonts w:ascii="GHEA Grapalat" w:hAnsi="GHEA Grapalat" w:cs="Sylfaen"/>
                <w:sz w:val="24"/>
                <w:szCs w:val="24"/>
              </w:rPr>
              <w:t>3</w:t>
            </w:r>
            <w:r>
              <w:rPr>
                <w:rFonts w:ascii="GHEA Grapalat" w:hAnsi="GHEA Grapalat" w:cs="Sylfaen"/>
                <w:sz w:val="24"/>
                <w:szCs w:val="24"/>
                <w:lang w:val="hy-AM"/>
              </w:rPr>
              <w:t>թ.</w:t>
            </w:r>
          </w:p>
        </w:tc>
      </w:tr>
      <w:tr>
        <w:tc>
          <w:tcPr>
            <w:tcW w:w="11745" w:type="dxa"/>
            <w:gridSpan w:val="3"/>
            <w:vMerge/>
            <w:shd w:val="clear" w:color="auto" w:fill="D9D9D9" w:themeFill="background1" w:themeFillShade="D9"/>
          </w:tcPr>
          <w:p>
            <w:pPr>
              <w:ind w:firstLine="166"/>
              <w:jc w:val="center"/>
              <w:rPr>
                <w:rFonts w:ascii="GHEA Grapalat" w:hAnsi="GHEA Grapalat"/>
                <w:b/>
                <w:color w:val="000000"/>
                <w:sz w:val="24"/>
                <w:szCs w:val="24"/>
                <w:shd w:val="clear" w:color="auto" w:fill="FFFFFF"/>
                <w:lang w:val="hy-AM"/>
              </w:rPr>
            </w:pPr>
          </w:p>
        </w:tc>
        <w:tc>
          <w:tcPr>
            <w:tcW w:w="2565" w:type="dxa"/>
            <w:shd w:val="clear" w:color="auto" w:fill="D9D9D9" w:themeFill="background1" w:themeFillShade="D9"/>
          </w:tcPr>
          <w:p>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01/13/336-2023</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rPr>
              <w:t xml:space="preserve">1. </w:t>
            </w:r>
            <w:r>
              <w:rPr>
                <w:rFonts w:ascii="GHEA Grapalat" w:hAnsi="GHEA Grapalat"/>
                <w:color w:val="000000"/>
                <w:sz w:val="24"/>
                <w:szCs w:val="24"/>
                <w:lang w:val="hy-AM"/>
              </w:rPr>
              <w:t xml:space="preserve">Նախագծի 1-ին կետն առաջարկվող խմբագրությամբ դիտարկելու դեպքում ստացվում է «բնակելի անշարժ գույք (կառուցվող շենքից բնակարան գնելու իրավունք)» ձևակերպումը, որը կարող է տարընթերցման տեղիք տալ, քանի որ կստացվի, որ բնակելի անշարժ գույք ասելով նկատի է առնվում կառուցվող շենքից բնակարան գնելու իրավունքը: Այդ կապակցությամբ, առաջարկվում է նախագծի 1-ին կետում «(կառուցվող շենքից բնակարան գնելու իրավունք)» բառերը </w:t>
            </w:r>
            <w:r>
              <w:rPr>
                <w:rFonts w:ascii="GHEA Grapalat" w:hAnsi="GHEA Grapalat"/>
                <w:color w:val="000000"/>
                <w:sz w:val="24"/>
                <w:szCs w:val="24"/>
                <w:lang w:val="hy-AM"/>
              </w:rPr>
              <w:lastRenderedPageBreak/>
              <w:t>փոխարինել «կամ կառուցվող բազմաբնակարան շենքից բնակարան գնելու իրավունք» բառերով:</w:t>
            </w:r>
          </w:p>
        </w:tc>
        <w:tc>
          <w:tcPr>
            <w:tcW w:w="5130" w:type="dxa"/>
            <w:gridSpan w:val="3"/>
          </w:tcPr>
          <w:p>
            <w:pPr>
              <w:ind w:firstLine="166"/>
              <w:jc w:val="center"/>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tc>
          <w:tcPr>
            <w:tcW w:w="9180" w:type="dxa"/>
          </w:tcPr>
          <w:p>
            <w:pPr>
              <w:jc w:val="both"/>
              <w:rPr>
                <w:rFonts w:ascii="GHEA Grapalat" w:hAnsi="GHEA Grapalat"/>
                <w:color w:val="000000"/>
                <w:sz w:val="24"/>
                <w:szCs w:val="24"/>
                <w:lang w:val="hy-AM"/>
              </w:rPr>
            </w:pPr>
            <w:r>
              <w:rPr>
                <w:rFonts w:ascii="GHEA Grapalat" w:hAnsi="GHEA Grapalat"/>
                <w:color w:val="000000"/>
                <w:sz w:val="24"/>
                <w:szCs w:val="24"/>
                <w:lang w:val="hy-AM"/>
              </w:rPr>
              <w:t xml:space="preserve">2. Միաժամանակ առաջարկվում  է նախագծի 2-րդ կետի 2-րդ ենթակետը շարադրել հետևյալ խմբագրությամբ. </w:t>
            </w:r>
          </w:p>
          <w:p>
            <w:pPr>
              <w:jc w:val="both"/>
              <w:rPr>
                <w:rFonts w:ascii="GHEA Grapalat" w:hAnsi="GHEA Grapalat"/>
                <w:color w:val="000000"/>
                <w:sz w:val="24"/>
                <w:szCs w:val="24"/>
              </w:rPr>
            </w:pPr>
            <w:r>
              <w:rPr>
                <w:rFonts w:ascii="GHEA Grapalat" w:hAnsi="GHEA Grapalat"/>
                <w:color w:val="000000"/>
                <w:sz w:val="24"/>
                <w:szCs w:val="24"/>
                <w:lang w:val="hy-AM"/>
              </w:rPr>
              <w:t>«10) եթե հիփոթեքային վարկի գծով ամսական վճարները (մայր գումար և տոկոսագումար) ավելի ցածր են, քան Հայաստանի Հանրապետության կառավարության 2022 թվականի փետրվարի 17-ի N 169-Լ որոշման հավելվածի 16-րդ կետի 1-5-րդ ենթակետերով նախատեսված պետական աջակցության սահմանաչափերը, ապա պետական աջակցության գումարի մնացորդը կարող է ուղղվել սույն որոշման համաձայն տրամադրված աջակցության միջոցով ձեռք բերվող բնակելի անշարժ գույքի վերանորոգմանը կամ անհատական բնակելի տան կառուցման համար հողատարածքի ձեռքբերմանը՝ հիփոթեքային վարկի պայմանագրի շրջանակներում ձևակերպված վերանորոգման կամ հողատարածքի ձեռքբերման վարկի ստացման միջոցով։»:</w:t>
            </w:r>
          </w:p>
        </w:tc>
        <w:tc>
          <w:tcPr>
            <w:tcW w:w="5130" w:type="dxa"/>
            <w:gridSpan w:val="3"/>
          </w:tcPr>
          <w:p>
            <w:pPr>
              <w:ind w:firstLine="166"/>
              <w:jc w:val="center"/>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bl>
    <w:p>
      <w:pPr>
        <w:spacing w:line="240" w:lineRule="auto"/>
        <w:rPr>
          <w:sz w:val="24"/>
          <w:szCs w:val="24"/>
          <w:lang w:val="hy-AM"/>
        </w:rPr>
      </w:pPr>
    </w:p>
    <w:sectPr>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7"/>
  </w:num>
  <w:num w:numId="4">
    <w:abstractNumId w:val="6"/>
  </w:num>
  <w:num w:numId="5">
    <w:abstractNumId w:val="3"/>
  </w:num>
  <w:num w:numId="6">
    <w:abstractNumId w:val="4"/>
  </w:num>
  <w:num w:numId="7">
    <w:abstractNumId w:val="2"/>
  </w:num>
  <w:num w:numId="8">
    <w:abstractNumId w:val="8"/>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5</Pages>
  <Words>1007</Words>
  <Characters>7044</Characters>
  <Application>Microsoft Office Word</Application>
  <DocSecurity>0</DocSecurity>
  <Lines>170</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https://mul2.gov.am/tasks/752958/oneclick/Ampopatert.docx?token=226f7c72993e7d7ba6384f79598b72f6</cp:keywords>
  <dc:description/>
  <cp:lastModifiedBy>Davit Khachatryan</cp:lastModifiedBy>
  <cp:revision>106</cp:revision>
  <dcterms:created xsi:type="dcterms:W3CDTF">2020-11-20T05:26:00Z</dcterms:created>
  <dcterms:modified xsi:type="dcterms:W3CDTF">2023-02-22T12:21:00Z</dcterms:modified>
</cp:coreProperties>
</file>