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497B" w14:textId="77777777" w:rsidR="001F4F00" w:rsidRDefault="001F4F00" w:rsidP="001F4F00">
      <w:pPr>
        <w:jc w:val="center"/>
        <w:rPr>
          <w:rFonts w:ascii="GHEA Grapalat" w:hAnsi="GHEA Grapalat"/>
          <w:sz w:val="24"/>
          <w:szCs w:val="24"/>
        </w:rPr>
      </w:pPr>
    </w:p>
    <w:p w14:paraId="66E4F2AF" w14:textId="77777777" w:rsidR="001F4F00" w:rsidRDefault="001F4F00" w:rsidP="001F4F00">
      <w:pPr>
        <w:jc w:val="center"/>
        <w:rPr>
          <w:rFonts w:ascii="GHEA Grapalat" w:hAnsi="GHEA Grapalat"/>
          <w:sz w:val="24"/>
          <w:szCs w:val="24"/>
        </w:rPr>
      </w:pPr>
      <w:r w:rsidRPr="008C340E">
        <w:rPr>
          <w:rFonts w:ascii="GHEA Grapalat" w:hAnsi="GHEA Grapalat"/>
          <w:sz w:val="24"/>
          <w:szCs w:val="24"/>
        </w:rPr>
        <w:t>ՀՀ ՀԱՐԿԱՅԻՆ ՕՐԵՆՍԳԻՐՔ</w:t>
      </w:r>
    </w:p>
    <w:p w14:paraId="783F1F47" w14:textId="77777777" w:rsidR="001F4F00" w:rsidRDefault="001F4F00" w:rsidP="001F4F00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493"/>
      </w:tblGrid>
      <w:tr w:rsidR="001F4F00" w:rsidRPr="00030CF1" w14:paraId="0E845A11" w14:textId="77777777" w:rsidTr="00A3128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89FE2BA" w14:textId="77777777" w:rsidR="001F4F00" w:rsidRPr="00030CF1" w:rsidRDefault="001F4F00" w:rsidP="00A3128F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30CF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64.</w:t>
            </w:r>
          </w:p>
        </w:tc>
        <w:tc>
          <w:tcPr>
            <w:tcW w:w="0" w:type="auto"/>
            <w:shd w:val="clear" w:color="auto" w:fill="FFFFFF"/>
            <w:hideMark/>
          </w:tcPr>
          <w:p w14:paraId="18C9BDD5" w14:textId="77777777" w:rsidR="001F4F00" w:rsidRPr="00030CF1" w:rsidRDefault="001F4F00" w:rsidP="00A3128F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30CF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Ավելացված արժեքի հարկից ազատված գործարքներն ու գործառնությունները</w:t>
            </w:r>
          </w:p>
        </w:tc>
      </w:tr>
    </w:tbl>
    <w:p w14:paraId="067FEECF" w14:textId="77777777" w:rsidR="001F4F00" w:rsidRPr="00030CF1" w:rsidRDefault="001F4F00" w:rsidP="001F4F00">
      <w:pPr>
        <w:shd w:val="clear" w:color="auto" w:fill="FFFFFF"/>
        <w:spacing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30C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4F92A40" w14:textId="77777777" w:rsidR="001F4F00" w:rsidRPr="00030CF1" w:rsidRDefault="001F4F00" w:rsidP="001F4F00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30CF1">
        <w:rPr>
          <w:rFonts w:ascii="GHEA Grapalat" w:eastAsia="Times New Roman" w:hAnsi="GHEA Grapalat" w:cs="Times New Roman"/>
          <w:color w:val="000000"/>
          <w:sz w:val="24"/>
          <w:szCs w:val="24"/>
        </w:rPr>
        <w:t>1. ԱԱՀ-ից ազատելը Օրենսգրքի 60-րդ հոդվածով սահմանված՝ ԱԱՀ-ով հարկման օբյեկտ համարվող գործարքների ու գործառնությունների հարկման բազայի նկատմամբ ԱԱՀ չհաշվարկելն է:</w:t>
      </w:r>
    </w:p>
    <w:p w14:paraId="15D6DC27" w14:textId="77777777" w:rsidR="001F4F00" w:rsidRPr="00030CF1" w:rsidRDefault="001F4F00" w:rsidP="001F4F00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30CF1">
        <w:rPr>
          <w:rFonts w:ascii="GHEA Grapalat" w:eastAsia="Times New Roman" w:hAnsi="GHEA Grapalat" w:cs="Times New Roman"/>
          <w:color w:val="000000"/>
          <w:sz w:val="24"/>
          <w:szCs w:val="24"/>
        </w:rPr>
        <w:t>2. ԱԱՀ-ից ազատվում են Օրենսգրքի 60-րդ հոդվածով սահմանված հետևյալ գործարքներն ու գործառնությունները.</w:t>
      </w:r>
    </w:p>
    <w:p w14:paraId="6EC8843B" w14:textId="77777777" w:rsidR="001F4F00" w:rsidRDefault="001F4F00" w:rsidP="001F4F00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3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26) </w:t>
      </w:r>
      <w:r w:rsidRPr="00077552">
        <w:rPr>
          <w:rFonts w:ascii="GHEA Grapalat" w:eastAsia="Times New Roman" w:hAnsi="GHEA Grapalat" w:cs="Times New Roman"/>
          <w:strike/>
          <w:color w:val="FF0000"/>
          <w:sz w:val="24"/>
          <w:szCs w:val="24"/>
        </w:rPr>
        <w:t>թանկարժեք մետաղների և թանկարժեք մետաղներից պատրաստված՝ ԱՏԳ ԱԱ 7106, 7108, 7109 00 000 0, 7110, 7113, 7115 ծածկագրերին դասվող՝ ոսկերչական նշանակության կիսապատրաստուկների օտարումը.</w:t>
      </w:r>
      <w:r w:rsidRPr="00077552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</w:p>
    <w:p w14:paraId="1D85B0E4" w14:textId="77777777" w:rsidR="001F4F00" w:rsidRPr="00077552" w:rsidRDefault="001F4F00" w:rsidP="001F4F00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  <w:r w:rsidRPr="0007755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26) թանկարժեք մետաղների բացառությամբ՝ թանկարժեք մետաղներից պատ</w:t>
      </w:r>
      <w:r w:rsidRPr="0007755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softHyphen/>
        <w:t>րաստ</w:t>
      </w:r>
      <w:r w:rsidRPr="0007755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softHyphen/>
        <w:t>ված արտադրանքի (իրերի), այդ թվում՝ ոսկերչական և այլ իրերի, ինչպես նաև թանկարժեք մետաղներից պատ</w:t>
      </w:r>
      <w:r w:rsidRPr="0007755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softHyphen/>
        <w:t>րաստված՝ ԱՏԳ ԱԱ 7106, 7108, 7109 00 000 0, 7110, 7113, 7115 ծած</w:t>
      </w:r>
      <w:r w:rsidRPr="0007755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softHyphen/>
        <w:t>կագ</w:t>
      </w:r>
      <w:r w:rsidRPr="0007755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softHyphen/>
        <w:t>րերին դասվող՝ ոսկեր</w:t>
      </w:r>
      <w:r w:rsidRPr="0007755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softHyphen/>
        <w:t>չական նշանակության կիսապատրաստուկների օտարումը.</w:t>
      </w:r>
    </w:p>
    <w:p w14:paraId="2CDFCC35" w14:textId="77777777" w:rsidR="001F4F00" w:rsidRPr="00030CF1" w:rsidRDefault="001F4F00" w:rsidP="001F4F00">
      <w:pPr>
        <w:shd w:val="clear" w:color="auto" w:fill="FFFFFF"/>
        <w:spacing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20A9DBA2" w14:textId="77777777" w:rsidR="001F4F00" w:rsidRDefault="001F4F00" w:rsidP="001F4F00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493"/>
      </w:tblGrid>
      <w:tr w:rsidR="001F4F00" w:rsidRPr="0041474A" w14:paraId="5635900B" w14:textId="77777777" w:rsidTr="00A3128F">
        <w:trPr>
          <w:tblCellSpacing w:w="7" w:type="dxa"/>
        </w:trPr>
        <w:tc>
          <w:tcPr>
            <w:tcW w:w="2025" w:type="dxa"/>
            <w:hideMark/>
          </w:tcPr>
          <w:p w14:paraId="2F5B892E" w14:textId="77777777" w:rsidR="001F4F00" w:rsidRPr="0041474A" w:rsidRDefault="001F4F00" w:rsidP="00A3128F">
            <w:pPr>
              <w:spacing w:line="360" w:lineRule="auto"/>
              <w:ind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1474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 72.</w:t>
            </w:r>
          </w:p>
        </w:tc>
        <w:tc>
          <w:tcPr>
            <w:tcW w:w="0" w:type="auto"/>
            <w:hideMark/>
          </w:tcPr>
          <w:p w14:paraId="65AA6D72" w14:textId="77777777" w:rsidR="001F4F00" w:rsidRPr="0041474A" w:rsidRDefault="001F4F00" w:rsidP="00A3128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1474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Հաշվանցումների (պակասեցումների) կատարման սահմանափակումները</w:t>
            </w:r>
          </w:p>
        </w:tc>
      </w:tr>
    </w:tbl>
    <w:p w14:paraId="5FE3E9D5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Calibri" w:eastAsia="Times New Roman" w:hAnsi="Calibri" w:cs="Calibri"/>
          <w:sz w:val="24"/>
          <w:szCs w:val="24"/>
        </w:rPr>
        <w:t> </w:t>
      </w:r>
    </w:p>
    <w:p w14:paraId="458E898A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1. Օրենսգրքի 70-րդ և 74-րդ հոդվածներով սահմանված կարգով բյուջե վճարման ենթակա կամ բյուջեից փոխհատուցման ենթակա ԱԱՀ-ի գումարների հաշվարկման նպատակով ԱԱՀ-ի հաշվանցումներ (պակասեցումներ) չեն կատարում`</w:t>
      </w:r>
    </w:p>
    <w:p w14:paraId="083F41F6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1) ԱԱՀ վճարող չհամարվողները.</w:t>
      </w:r>
    </w:p>
    <w:p w14:paraId="7DD23123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2) եթե ձեռք բերված և (կամ) ներմուծված ապրանքները, ընդունված աշխատանքները և (կամ) ստացված ծառայությունները վերագրվում են ԱԱՀ-ից ազատված գործարքներին, բացա</w:t>
      </w:r>
      <w:r>
        <w:rPr>
          <w:rFonts w:ascii="GHEA Grapalat" w:eastAsia="Times New Roman" w:hAnsi="GHEA Grapalat" w:cs="Times New Roman"/>
          <w:sz w:val="24"/>
          <w:szCs w:val="24"/>
        </w:rPr>
        <w:softHyphen/>
      </w:r>
      <w:r w:rsidRPr="0041474A">
        <w:rPr>
          <w:rFonts w:ascii="GHEA Grapalat" w:eastAsia="Times New Roman" w:hAnsi="GHEA Grapalat" w:cs="Times New Roman"/>
          <w:sz w:val="24"/>
          <w:szCs w:val="24"/>
        </w:rPr>
        <w:t>ռու</w:t>
      </w:r>
      <w:r>
        <w:rPr>
          <w:rFonts w:ascii="GHEA Grapalat" w:eastAsia="Times New Roman" w:hAnsi="GHEA Grapalat" w:cs="Times New Roman"/>
          <w:sz w:val="24"/>
          <w:szCs w:val="24"/>
        </w:rPr>
        <w:softHyphen/>
      </w:r>
      <w:r w:rsidRPr="0041474A">
        <w:rPr>
          <w:rFonts w:ascii="GHEA Grapalat" w:eastAsia="Times New Roman" w:hAnsi="GHEA Grapalat" w:cs="Times New Roman"/>
          <w:sz w:val="24"/>
          <w:szCs w:val="24"/>
        </w:rPr>
        <w:t>թյամբ Օրենսգրքի 64-րդ հոդվածի 2-րդ մասի 19-րդ և 31-րդ կետերով սահմանված դեպքերի</w:t>
      </w:r>
      <w:r w:rsidRPr="008F2A24">
        <w:rPr>
          <w:rFonts w:ascii="GHEA Grapalat" w:hAnsi="GHEA Grapalat"/>
          <w:color w:val="FF0000"/>
          <w:sz w:val="24"/>
          <w:szCs w:val="24"/>
          <w:lang w:val="hy-AM"/>
        </w:rPr>
        <w:t>, ինչպես նաև Օրենս</w:t>
      </w:r>
      <w:r w:rsidRPr="008F2A24">
        <w:rPr>
          <w:rFonts w:ascii="GHEA Grapalat" w:hAnsi="GHEA Grapalat"/>
          <w:color w:val="FF0000"/>
          <w:sz w:val="24"/>
          <w:szCs w:val="24"/>
          <w:lang w:val="hy-AM"/>
        </w:rPr>
        <w:softHyphen/>
        <w:t>գրքի 64-րդ հոդ</w:t>
      </w:r>
      <w:r w:rsidRPr="008F2A24">
        <w:rPr>
          <w:rFonts w:ascii="GHEA Grapalat" w:hAnsi="GHEA Grapalat"/>
          <w:color w:val="FF0000"/>
          <w:sz w:val="24"/>
          <w:szCs w:val="24"/>
          <w:lang w:val="hy-AM"/>
        </w:rPr>
        <w:softHyphen/>
        <w:t>վածի 2-րդ մասի 26-րդ կետով սահմանված՝ ԱՏԳ ԱԱ 7108 խմբի ԱՏԳ ԱԱ 7108 12 000 9 ծած</w:t>
      </w:r>
      <w:r w:rsidRPr="008F2A24">
        <w:rPr>
          <w:rFonts w:ascii="GHEA Grapalat" w:hAnsi="GHEA Grapalat"/>
          <w:color w:val="FF0000"/>
          <w:sz w:val="24"/>
          <w:szCs w:val="24"/>
          <w:lang w:val="hy-AM"/>
        </w:rPr>
        <w:softHyphen/>
        <w:t>կագ</w:t>
      </w:r>
      <w:r w:rsidRPr="008F2A24">
        <w:rPr>
          <w:rFonts w:ascii="GHEA Grapalat" w:hAnsi="GHEA Grapalat"/>
          <w:color w:val="FF0000"/>
          <w:sz w:val="24"/>
          <w:szCs w:val="24"/>
          <w:lang w:val="hy-AM"/>
        </w:rPr>
        <w:softHyphen/>
      </w:r>
      <w:r w:rsidRPr="008F2A24">
        <w:rPr>
          <w:rFonts w:ascii="GHEA Grapalat" w:hAnsi="GHEA Grapalat"/>
          <w:color w:val="FF0000"/>
          <w:sz w:val="24"/>
          <w:szCs w:val="24"/>
          <w:lang w:val="hy-AM"/>
        </w:rPr>
        <w:softHyphen/>
        <w:t>րին դաս</w:t>
      </w:r>
      <w:r w:rsidRPr="008F2A24">
        <w:rPr>
          <w:rFonts w:ascii="GHEA Grapalat" w:hAnsi="GHEA Grapalat"/>
          <w:color w:val="FF0000"/>
          <w:sz w:val="24"/>
          <w:szCs w:val="24"/>
          <w:lang w:val="hy-AM"/>
        </w:rPr>
        <w:softHyphen/>
        <w:t>վող թանկարժեք մետաղների օտարման գործարքների</w:t>
      </w:r>
      <w:r w:rsidRPr="0041474A">
        <w:rPr>
          <w:rFonts w:ascii="GHEA Grapalat" w:eastAsia="Times New Roman" w:hAnsi="GHEA Grapalat" w:cs="Times New Roman"/>
          <w:sz w:val="24"/>
          <w:szCs w:val="24"/>
        </w:rPr>
        <w:t xml:space="preserve">, երբ ԱԱՀ-ի հաշվանցումները (պակասեցումները) կատարվում են Օրենսգրքով </w:t>
      </w:r>
      <w:r w:rsidRPr="0041474A">
        <w:rPr>
          <w:rFonts w:ascii="GHEA Grapalat" w:eastAsia="Times New Roman" w:hAnsi="GHEA Grapalat" w:cs="Times New Roman"/>
          <w:sz w:val="24"/>
          <w:szCs w:val="24"/>
        </w:rPr>
        <w:lastRenderedPageBreak/>
        <w:t>սահմանված կարգով՝ անկախ ձեռք բերված և (կամ) ներմուծված ապրանքները, ընդունված աշխատանքները և (կամ) ստաց</w:t>
      </w:r>
      <w:r>
        <w:rPr>
          <w:rFonts w:ascii="GHEA Grapalat" w:eastAsia="Times New Roman" w:hAnsi="GHEA Grapalat" w:cs="Times New Roman"/>
          <w:sz w:val="24"/>
          <w:szCs w:val="24"/>
        </w:rPr>
        <w:softHyphen/>
      </w:r>
      <w:r w:rsidRPr="0041474A">
        <w:rPr>
          <w:rFonts w:ascii="GHEA Grapalat" w:eastAsia="Times New Roman" w:hAnsi="GHEA Grapalat" w:cs="Times New Roman"/>
          <w:sz w:val="24"/>
          <w:szCs w:val="24"/>
        </w:rPr>
        <w:t>ված ծառայությունները ԱԱՀ-ից ազատված գործարքներին վերագրվելու հանգամանքից.</w:t>
      </w:r>
    </w:p>
    <w:p w14:paraId="03B40374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3) եթե ձեռք բերված և (կամ) ներմուծված ապրանքները, ընդունված աշխատանքները և (կամ) ստացված ծառայությունները վերագրվում են Օրենսգրքի 13-րդ բաժնով սահմանված՝ հարկ</w:t>
      </w:r>
      <w:r>
        <w:rPr>
          <w:rFonts w:ascii="GHEA Grapalat" w:eastAsia="Times New Roman" w:hAnsi="GHEA Grapalat" w:cs="Times New Roman"/>
          <w:sz w:val="24"/>
          <w:szCs w:val="24"/>
        </w:rPr>
        <w:softHyphen/>
      </w:r>
      <w:r w:rsidRPr="0041474A">
        <w:rPr>
          <w:rFonts w:ascii="GHEA Grapalat" w:eastAsia="Times New Roman" w:hAnsi="GHEA Grapalat" w:cs="Times New Roman"/>
          <w:sz w:val="24"/>
          <w:szCs w:val="24"/>
        </w:rPr>
        <w:t>ման հատուկ համակարգերի շրջանակներում հարկման ենթակա գործարքներին.</w:t>
      </w:r>
    </w:p>
    <w:p w14:paraId="2BF536CF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4) եթե ձեռք բերված և (կամ) ներմուծված ապրանքները, ընդունված աշխատանքները և (կամ) ստացված ծառայությունները վերագրվում են այն գործարքներին, որոնք, Օրենսգրքի 60-րդ հոդվածի 2-րդ և 3-րդ մասերի համաձայն, չեն համարվում ԱԱՀ-ով հարկման օբյեկտ.</w:t>
      </w:r>
    </w:p>
    <w:p w14:paraId="7944697B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5) եթե ձեռք բերված և (կամ) ներմուծված ապրանքները, ընդունված աշխատանքները և (կամ) ստացված ծառայությունները վերագրվում են Օրենսգրքի 67-րդ հոդվածով սահմանված սահմանափակումներից որևէ մեկի խախտմամբ դուրս գրված հարկային հաշվին վերաբերող գործարքին.</w:t>
      </w:r>
    </w:p>
    <w:p w14:paraId="508F7C0F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6) եթե հարկային հաշիվը, Օրենսգրքի 4-րդ հոդվածի 1-ին մասի 55-րդ կետի համաձայն, համարվում է անապրանք փաստաթուղթ.</w:t>
      </w:r>
    </w:p>
    <w:p w14:paraId="2B972657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7) եթե հարկային հաշվին վերաբերող գործարքը, Օրենսգրքի 41-րդ հոդվածի համաձայն, ճանաչվել է անվավեր.</w:t>
      </w:r>
    </w:p>
    <w:p w14:paraId="60A697BE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8) եթե ոչ իրացման նպատակով ձեռք են բերվել և (կամ) ներմուծվել են թեթև մարդատար ավտոմեքենաներ, բացառությամբ այն դեպքերի, երբ թեթև մարդատար ավտոմեքենաներն օգտա</w:t>
      </w:r>
      <w:r>
        <w:rPr>
          <w:rFonts w:ascii="GHEA Grapalat" w:eastAsia="Times New Roman" w:hAnsi="GHEA Grapalat" w:cs="Times New Roman"/>
          <w:sz w:val="24"/>
          <w:szCs w:val="24"/>
        </w:rPr>
        <w:softHyphen/>
      </w:r>
      <w:r w:rsidRPr="0041474A">
        <w:rPr>
          <w:rFonts w:ascii="GHEA Grapalat" w:eastAsia="Times New Roman" w:hAnsi="GHEA Grapalat" w:cs="Times New Roman"/>
          <w:sz w:val="24"/>
          <w:szCs w:val="24"/>
        </w:rPr>
        <w:t>գործվում են վարձույթով տրամադրելու համար: Սույն կետի կիրառության իմաստով, համարվում է, որ թեթև մարդատար ավտոմեքենան ձեռք է բերվել և (կամ) ներմուծվել է ոչ իրացման նպատակով, եթե ավտոմեքենայի սեփականության իրավունքը օրենքով սահմանված կարգով ստացել է պետական գրանցում.</w:t>
      </w:r>
    </w:p>
    <w:p w14:paraId="72184071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t>9) լիզինգատուի մոտ լիզինգի առարկայի օտարման գործարքից առաջացած` բյուջե վճարման ենթակա ԱԱՀ-ի և Օրենսգրքի 73-րդ հոդվածի 4-րդ մասով սահմանված կարգով վերաձևակերպված ԱԱՀ-ի գումարների բացասական տարբերության չափով, եթե այդ լիզինգի առարկան մինչև օտարումը տրամադրված է եղել լիզինգի (տարատեսակների) պայմանագրով, որով նախատեսված չի եղել, որ պայմանագրի գործողության ժամկետի ավարտից հետո կամ մինչև դրա ավարտը լիզինգի առարկայի նկատմամբ սեփականության իրավունքը կարող է անցնել լիզինգառուին.</w:t>
      </w:r>
    </w:p>
    <w:p w14:paraId="276D28E3" w14:textId="77777777" w:rsidR="001F4F00" w:rsidRPr="0041474A" w:rsidRDefault="001F4F00" w:rsidP="001F4F00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sz w:val="24"/>
          <w:szCs w:val="24"/>
        </w:rPr>
        <w:lastRenderedPageBreak/>
        <w:t>10) եթե լիզինգի (տարատեսակների) պայմանագրերով ստացվել են թեթև մարդատար ավտոմեքենաներ, բացառությամբ այն դեպքերի, երբ թեթև մարդատար ավտոմեքենաներն օգտագործվում են վարձույթով տրամադրելու համար:</w:t>
      </w:r>
    </w:p>
    <w:p w14:paraId="21C64D6E" w14:textId="77777777" w:rsidR="001F4F00" w:rsidRPr="0041474A" w:rsidRDefault="001F4F00" w:rsidP="001F4F00">
      <w:pPr>
        <w:spacing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(72-րդ հոդվածը</w:t>
      </w:r>
      <w:r w:rsidRPr="0041474A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 </w:t>
      </w:r>
      <w:r w:rsidRPr="0041474A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Pr="0041474A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 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21.12.17 </w:t>
      </w:r>
      <w:r w:rsidRPr="0041474A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-266-</w:t>
      </w:r>
      <w:r w:rsidRPr="0041474A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, 21.06.18 </w:t>
      </w:r>
      <w:r w:rsidRPr="0041474A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-338-</w:t>
      </w:r>
      <w:r w:rsidRPr="0041474A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, </w:t>
      </w:r>
      <w:r w:rsidRPr="0041474A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լրաց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. 18.06.20 </w:t>
      </w:r>
      <w:r w:rsidRPr="0041474A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-321-</w:t>
      </w:r>
      <w:r w:rsidRPr="0041474A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41474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4F953AF1" w14:textId="77777777" w:rsidR="001F4F00" w:rsidRDefault="001F4F00" w:rsidP="001F4F00">
      <w:pPr>
        <w:jc w:val="both"/>
        <w:rPr>
          <w:rFonts w:ascii="GHEA Grapalat" w:hAnsi="GHEA Grapalat"/>
          <w:sz w:val="24"/>
          <w:szCs w:val="24"/>
        </w:rPr>
      </w:pPr>
    </w:p>
    <w:p w14:paraId="2B03226B" w14:textId="77777777" w:rsidR="001F4F00" w:rsidRDefault="001F4F00" w:rsidP="001F4F00">
      <w:pPr>
        <w:spacing w:line="360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324C27CE" w14:textId="77777777" w:rsidR="001F4F00" w:rsidRPr="008F2A24" w:rsidRDefault="001F4F00" w:rsidP="001F4F00">
      <w:pPr>
        <w:spacing w:line="360" w:lineRule="auto"/>
        <w:ind w:firstLine="567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  <w:r w:rsidRPr="008F2A24">
        <w:rPr>
          <w:rFonts w:ascii="GHEA Grapalat" w:hAnsi="GHEA Grapalat"/>
          <w:b/>
          <w:color w:val="FF0000"/>
          <w:sz w:val="24"/>
          <w:szCs w:val="24"/>
          <w:lang w:val="hy-AM"/>
        </w:rPr>
        <w:t>Եզրափակիչ</w:t>
      </w:r>
      <w:r w:rsidRPr="008F2A24">
        <w:rPr>
          <w:rFonts w:ascii="GHEA Grapalat" w:hAnsi="GHEA Grapalat"/>
          <w:b/>
          <w:bCs/>
          <w:color w:val="FF0000"/>
          <w:sz w:val="24"/>
          <w:szCs w:val="24"/>
          <w:shd w:val="clear" w:color="auto" w:fill="FFFFFF"/>
          <w:lang w:val="hy-AM"/>
        </w:rPr>
        <w:t xml:space="preserve"> մաս և անցումային դրույթներ</w:t>
      </w:r>
      <w:r w:rsidRPr="008F2A24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>.</w:t>
      </w:r>
    </w:p>
    <w:p w14:paraId="2E9FE7DF" w14:textId="77777777" w:rsidR="001F4F00" w:rsidRPr="008F2A24" w:rsidRDefault="001F4F00" w:rsidP="001F4F00">
      <w:pPr>
        <w:tabs>
          <w:tab w:val="num" w:pos="1800"/>
        </w:tabs>
        <w:spacing w:line="360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 xml:space="preserve">Սույն օրենքն ուժի մեջ է մտնում 2023 թվականի </w:t>
      </w:r>
      <w:r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>ապրիլի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 xml:space="preserve"> 1-ից</w:t>
      </w:r>
      <w:r w:rsidRPr="00030CF1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 xml:space="preserve"> և 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>կիրառվում է 2023 թվա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 xml:space="preserve">կանի </w:t>
      </w:r>
      <w:r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>ապրիլի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 xml:space="preserve"> 1-ից հետո կատար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 xml:space="preserve">վող՝ ԱՏԳ ԱԱ </w:t>
      </w:r>
      <w:r w:rsidRPr="008F2A24">
        <w:rPr>
          <w:rFonts w:ascii="GHEA Grapalat" w:hAnsi="GHEA Grapalat"/>
          <w:color w:val="FF0000"/>
          <w:sz w:val="24"/>
          <w:szCs w:val="24"/>
          <w:lang w:val="hy-AM"/>
        </w:rPr>
        <w:t>7108 12 000 9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 xml:space="preserve"> ծածկագրին դասվող թանկարժեք մետաղների օտար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>ման գոր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>ծարք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>նե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 xml:space="preserve">րին վերագրվող՝ սույն օրենքն ուժի մեջ մտնելուց հետո </w:t>
      </w:r>
      <w:r w:rsidRPr="008F2A24">
        <w:rPr>
          <w:rFonts w:ascii="GHEA Grapalat" w:hAnsi="GHEA Grapalat" w:cs="Sylfaen"/>
          <w:bCs/>
          <w:color w:val="FF0000"/>
          <w:sz w:val="24"/>
          <w:szCs w:val="24"/>
          <w:lang w:val="hy-AM"/>
        </w:rPr>
        <w:t>կատար</w:t>
      </w:r>
      <w:r w:rsidRPr="008F2A24">
        <w:rPr>
          <w:rFonts w:ascii="GHEA Grapalat" w:hAnsi="GHEA Grapalat" w:cs="Sylfaen"/>
          <w:bCs/>
          <w:color w:val="FF0000"/>
          <w:sz w:val="24"/>
          <w:szCs w:val="24"/>
          <w:lang w:val="hy-AM"/>
        </w:rPr>
        <w:softHyphen/>
        <w:t>ված ձեռքբերումների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 xml:space="preserve"> </w:t>
      </w:r>
      <w:r w:rsidRPr="008F2A24">
        <w:rPr>
          <w:rFonts w:ascii="GHEA Grapalat" w:hAnsi="GHEA Grapalat" w:cs="Sylfaen"/>
          <w:bCs/>
          <w:color w:val="FF0000"/>
          <w:sz w:val="24"/>
          <w:szCs w:val="24"/>
          <w:lang w:val="hy-AM"/>
        </w:rPr>
        <w:t>մասով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 xml:space="preserve"> առաջացած՝ ԱԱՀ-ի հաշ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>վանց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>վող (պակա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>սեցվող) գումար</w:t>
      </w:r>
      <w:r w:rsidRPr="008F2A24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softHyphen/>
        <w:t>ների</w:t>
      </w:r>
      <w:r w:rsidRPr="00030CF1">
        <w:rPr>
          <w:rFonts w:ascii="GHEA Grapalat" w:hAnsi="GHEA Grapalat"/>
          <w:bCs/>
          <w:iCs/>
          <w:color w:val="FF0000"/>
          <w:sz w:val="24"/>
          <w:szCs w:val="24"/>
          <w:lang w:val="hy-AM"/>
        </w:rPr>
        <w:t xml:space="preserve"> մասով:</w:t>
      </w:r>
    </w:p>
    <w:p w14:paraId="5D01C8C4" w14:textId="2A49D0BA" w:rsidR="00C47286" w:rsidRPr="001F4F00" w:rsidRDefault="00C47286" w:rsidP="001F4F00">
      <w:bookmarkStart w:id="0" w:name="_GoBack"/>
      <w:bookmarkEnd w:id="0"/>
    </w:p>
    <w:sectPr w:rsidR="00C47286" w:rsidRPr="001F4F00" w:rsidSect="00321AE3">
      <w:pgSz w:w="12240" w:h="15840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642"/>
    <w:multiLevelType w:val="hybridMultilevel"/>
    <w:tmpl w:val="20C2F7A2"/>
    <w:lvl w:ilvl="0" w:tplc="8018B7A4">
      <w:start w:val="1"/>
      <w:numFmt w:val="decimal"/>
      <w:pStyle w:val="ListParagraph"/>
      <w:lvlText w:val="Հոդված %1."/>
      <w:lvlJc w:val="left"/>
      <w:pPr>
        <w:tabs>
          <w:tab w:val="num" w:pos="5104"/>
        </w:tabs>
        <w:ind w:left="3119" w:firstLine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E6EBAA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b w:val="0"/>
      </w:rPr>
    </w:lvl>
    <w:lvl w:ilvl="2" w:tplc="5C64E93E">
      <w:start w:val="1"/>
      <w:numFmt w:val="decimal"/>
      <w:lvlText w:val="%3)"/>
      <w:lvlJc w:val="left"/>
      <w:pPr>
        <w:tabs>
          <w:tab w:val="num" w:pos="-4109"/>
        </w:tabs>
        <w:ind w:left="-4818" w:firstLine="709"/>
      </w:pPr>
      <w:rPr>
        <w:b w:val="0"/>
        <w:i w:val="0"/>
        <w:sz w:val="24"/>
        <w14:cntxtAlts w14:val="0"/>
      </w:rPr>
    </w:lvl>
    <w:lvl w:ilvl="3" w:tplc="87A8D00C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</w:lvl>
    <w:lvl w:ilvl="4" w:tplc="F216BD96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</w:lvl>
    <w:lvl w:ilvl="5" w:tplc="DDB02E66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</w:lvl>
    <w:lvl w:ilvl="6" w:tplc="57967602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</w:lvl>
    <w:lvl w:ilvl="7" w:tplc="965252BA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</w:lvl>
    <w:lvl w:ilvl="8" w:tplc="3154EB86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7C"/>
    <w:rsid w:val="00007FC3"/>
    <w:rsid w:val="0002265C"/>
    <w:rsid w:val="00042B9E"/>
    <w:rsid w:val="00110292"/>
    <w:rsid w:val="001F4F00"/>
    <w:rsid w:val="00321AE3"/>
    <w:rsid w:val="0041474A"/>
    <w:rsid w:val="0055277C"/>
    <w:rsid w:val="006267D4"/>
    <w:rsid w:val="008C340E"/>
    <w:rsid w:val="008E5051"/>
    <w:rsid w:val="008F2A24"/>
    <w:rsid w:val="008F67B7"/>
    <w:rsid w:val="00950F27"/>
    <w:rsid w:val="00954D76"/>
    <w:rsid w:val="009A3117"/>
    <w:rsid w:val="00C47286"/>
    <w:rsid w:val="00DC28F7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2949"/>
  <w15:chartTrackingRefBased/>
  <w15:docId w15:val="{9EFF8CC1-1EC3-49F9-B3DB-F2BCBA20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C47286"/>
    <w:pPr>
      <w:numPr>
        <w:numId w:val="1"/>
      </w:numPr>
      <w:spacing w:line="360" w:lineRule="auto"/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C47286"/>
    <w:rPr>
      <w:rFonts w:ascii="GHEA Grapalat" w:eastAsia="Calibri" w:hAnsi="GHEA Grapalat" w:cs="Sylfaen"/>
      <w:sz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6267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Avalyan</dc:creator>
  <cp:keywords>https://mul2.gov.am/tasks/738335/oneclick/4.Popoxvox_Hodvacner.docx?token=3e4d5bfe16bb6bccc39f145288da8f39</cp:keywords>
  <dc:description/>
  <cp:lastModifiedBy>Ani Mkrtchyan</cp:lastModifiedBy>
  <cp:revision>12</cp:revision>
  <dcterms:created xsi:type="dcterms:W3CDTF">2022-10-18T08:59:00Z</dcterms:created>
  <dcterms:modified xsi:type="dcterms:W3CDTF">2023-02-15T12:15:00Z</dcterms:modified>
</cp:coreProperties>
</file>