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BA" w:rsidRDefault="00AB02BA" w:rsidP="00AB02BA">
      <w:pPr>
        <w:widowControl w:val="0"/>
        <w:spacing w:line="360" w:lineRule="auto"/>
        <w:ind w:right="-822"/>
        <w:jc w:val="center"/>
        <w:rPr>
          <w:rFonts w:ascii="GHEA Grapalat" w:hAnsi="GHEA Grapalat" w:cs="Sylfaen"/>
          <w:b/>
          <w:lang w:val="hy-AM" w:eastAsia="en-US"/>
        </w:rPr>
      </w:pPr>
      <w:r>
        <w:rPr>
          <w:rFonts w:ascii="GHEA Grapalat" w:hAnsi="GHEA Grapalat" w:cs="Sylfaen"/>
          <w:b/>
          <w:lang w:val="hy-AM" w:eastAsia="en-US"/>
        </w:rPr>
        <w:t>ՀԻՄՆԱՎՈՐՈՒՄ</w:t>
      </w:r>
    </w:p>
    <w:p w:rsidR="00027072" w:rsidRDefault="00027072" w:rsidP="00027072">
      <w:pPr>
        <w:spacing w:line="360" w:lineRule="auto"/>
        <w:jc w:val="center"/>
        <w:rPr>
          <w:rFonts w:ascii="GHEA Grapalat" w:hAnsi="GHEA Grapalat"/>
          <w:b/>
          <w:bCs/>
          <w:lang w:val="hy-AM" w:eastAsia="en-US"/>
        </w:rPr>
      </w:pPr>
      <w:r>
        <w:rPr>
          <w:rFonts w:ascii="GHEA Grapalat" w:hAnsi="GHEA Grapalat"/>
          <w:b/>
          <w:bCs/>
          <w:lang w:val="hy-AM" w:eastAsia="en-US"/>
        </w:rPr>
        <w:t xml:space="preserve">ՀԱՅԱՍՏԱՆԻ ՀԱՆՐԱՊԵՏՈՒԹՅԱՆ ԿԱՌԱՎԱՐՈՒԹՅԱՆ 2022 ԹՎԱԿԱՆԻ ՀՈՒԼԻՍԻ 28-Ի N 1180-Ն, </w:t>
      </w:r>
      <w:r>
        <w:rPr>
          <w:rFonts w:ascii="GHEA Grapalat" w:hAnsi="GHEA Grapalat" w:cs="Cambria Math"/>
          <w:b/>
          <w:color w:val="000000"/>
          <w:shd w:val="clear" w:color="auto" w:fill="FFFFFF"/>
          <w:lang w:val="hy-AM"/>
        </w:rPr>
        <w:t>N 1177-Ն</w:t>
      </w:r>
      <w:r>
        <w:rPr>
          <w:rFonts w:ascii="GHEA Grapalat" w:hAnsi="GHEA Grapalat"/>
          <w:b/>
          <w:bCs/>
          <w:lang w:val="hy-AM" w:eastAsia="en-US"/>
        </w:rPr>
        <w:t xml:space="preserve"> ԵՎ </w:t>
      </w:r>
      <w:r>
        <w:rPr>
          <w:rFonts w:ascii="GHEA Grapalat" w:hAnsi="GHEA Grapalat" w:cs="Cambria Math"/>
          <w:b/>
          <w:color w:val="000000"/>
          <w:shd w:val="clear" w:color="auto" w:fill="FFFFFF"/>
          <w:lang w:val="hy-AM"/>
        </w:rPr>
        <w:t>N</w:t>
      </w:r>
      <w:r>
        <w:rPr>
          <w:rFonts w:ascii="GHEA Grapalat" w:hAnsi="GHEA Grapalat"/>
          <w:b/>
          <w:bCs/>
          <w:lang w:val="hy-AM" w:eastAsia="en-US"/>
        </w:rPr>
        <w:t xml:space="preserve"> 1161</w:t>
      </w:r>
      <w:r>
        <w:rPr>
          <w:rFonts w:ascii="GHEA Grapalat" w:hAnsi="GHEA Grapalat"/>
          <w:b/>
          <w:color w:val="000000"/>
          <w:shd w:val="clear" w:color="auto" w:fill="FFFFFF"/>
          <w:lang w:val="hy-AM"/>
        </w:rPr>
        <w:t>-Ն</w:t>
      </w:r>
      <w:r>
        <w:rPr>
          <w:rFonts w:ascii="GHEA Grapalat" w:hAnsi="GHEA Grapalat"/>
          <w:color w:val="000000"/>
          <w:sz w:val="21"/>
          <w:szCs w:val="21"/>
          <w:shd w:val="clear" w:color="auto" w:fill="FFFFFF"/>
          <w:lang w:val="hy-AM"/>
        </w:rPr>
        <w:t xml:space="preserve"> </w:t>
      </w:r>
      <w:r>
        <w:rPr>
          <w:rFonts w:ascii="GHEA Grapalat" w:hAnsi="GHEA Grapalat"/>
          <w:b/>
          <w:bCs/>
          <w:lang w:val="hy-AM" w:eastAsia="en-US"/>
        </w:rPr>
        <w:t xml:space="preserve">ՈՐՈՇՈՒՄՆԵՐՈՒՄ ՓՈՓՈԽՈՒԹՅՈՒՆՆԵՐ ԵՎ ԼՐԱՑՈՒՄՆԵՐ ԿԱՏԱՐԵԼՈՒ ՄԱՍԻՆ </w:t>
      </w:r>
    </w:p>
    <w:p w:rsidR="00AB02BA" w:rsidRDefault="00AB02BA" w:rsidP="00AB02BA">
      <w:pPr>
        <w:widowControl w:val="0"/>
        <w:spacing w:line="360" w:lineRule="auto"/>
        <w:jc w:val="both"/>
        <w:rPr>
          <w:rFonts w:ascii="GHEA Grapalat" w:hAnsi="GHEA Grapalat" w:cs="Sylfaen"/>
          <w:b/>
          <w:lang w:val="hy-AM" w:eastAsia="en-US"/>
        </w:rPr>
      </w:pPr>
      <w:bookmarkStart w:id="0" w:name="_GoBack"/>
      <w:bookmarkEnd w:id="0"/>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10089"/>
        <w:gridCol w:w="14"/>
      </w:tblGrid>
      <w:tr w:rsidR="00AB02BA" w:rsidTr="00AB02BA">
        <w:tc>
          <w:tcPr>
            <w:tcW w:w="10793" w:type="dxa"/>
            <w:gridSpan w:val="3"/>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t>Իրավական ակտի հիմնավորումը</w:t>
            </w:r>
          </w:p>
        </w:tc>
      </w:tr>
      <w:tr w:rsidR="00AB02BA" w:rsidTr="00AB02BA">
        <w:trPr>
          <w:gridAfter w:val="1"/>
          <w:wAfter w:w="14" w:type="dxa"/>
          <w:trHeight w:val="350"/>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t>1.</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t>Անհրաժեշտությունը</w:t>
            </w:r>
          </w:p>
        </w:tc>
      </w:tr>
      <w:tr w:rsidR="00AB02BA" w:rsidRPr="00027072" w:rsidTr="00AB02BA">
        <w:trPr>
          <w:gridAfter w:val="1"/>
          <w:wAfter w:w="14" w:type="dxa"/>
          <w:trHeight w:val="454"/>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en-US"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tabs>
                <w:tab w:val="left" w:pos="1395"/>
              </w:tabs>
              <w:spacing w:line="360" w:lineRule="auto"/>
              <w:ind w:firstLine="356"/>
              <w:jc w:val="both"/>
              <w:rPr>
                <w:rFonts w:ascii="GHEA Grapalat" w:hAnsi="GHEA Grapalat" w:cs="Sylfaen"/>
                <w:lang w:val="hy-AM" w:eastAsia="en-US" w:bidi="ne-NP"/>
              </w:rPr>
            </w:pPr>
            <w:r>
              <w:rPr>
                <w:rFonts w:ascii="GHEA Grapalat" w:hAnsi="GHEA Grapalat" w:cs="Sylfaen"/>
                <w:lang w:val="hy-AM" w:bidi="ne-NP"/>
              </w:rPr>
              <w:t>ՀՀ կառավարության 2022 թվականի նոյեմբերի 17-ին կայացած կառավարության նիստում հավանության է արժանացել «Անձի ֆունկցիոնալության գնահատման մասին» օրենքում փոփոխություններ և լրացումներ կատարելու մասին նախագիծը։ Օրենքի նախագիծը ընդունվել է ՀՀ Ազգային ժողովի կողմից սույն թվականի դեկտեմբերի 8-ին, իսկ դեկտեմբերի 23-ին ստորագրվել է ՀՀ նախագահի կողմից: Օրենքի նախագծով սահմանվել են անցումային դրույթներ, որոնք անհրաժեշտ է նախատեսել նաև առնչվող ենթաօրենսդրական իրավական ակտերում։</w:t>
            </w:r>
          </w:p>
        </w:tc>
      </w:tr>
      <w:tr w:rsidR="00AB02BA" w:rsidTr="00AB02BA">
        <w:trPr>
          <w:gridAfter w:val="1"/>
          <w:wAfter w:w="14" w:type="dxa"/>
          <w:trHeight w:val="409"/>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t>2.</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hy-AM" w:eastAsia="en-US"/>
              </w:rPr>
              <w:t>Առկա</w:t>
            </w:r>
            <w:r>
              <w:rPr>
                <w:rFonts w:ascii="GHEA Grapalat" w:hAnsi="GHEA Grapalat"/>
                <w:b/>
                <w:lang w:val="en-US" w:eastAsia="en-US"/>
              </w:rPr>
              <w:t xml:space="preserve"> իրավիճակը և խնդիրները</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en-US"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spacing w:line="360" w:lineRule="auto"/>
              <w:ind w:firstLine="708"/>
              <w:jc w:val="both"/>
              <w:rPr>
                <w:rFonts w:ascii="GHEA Grapalat" w:hAnsi="GHEA Grapalat" w:cs="Cambria Math"/>
                <w:shd w:val="clear" w:color="auto" w:fill="FFFFFF"/>
                <w:lang w:val="hy-AM"/>
              </w:rPr>
            </w:pPr>
            <w:r>
              <w:rPr>
                <w:rFonts w:ascii="GHEA Grapalat" w:hAnsi="GHEA Grapalat"/>
                <w:lang w:val="hy-AM"/>
              </w:rPr>
              <w:t xml:space="preserve">    Անձի ֆունկցիոնալության գնահատման համակարգի ներդրման շրջանակներում աշխատանքի և սոցիալական հարցերի նախարարությունն իրականացրել է ռետրոսպեկտիվ պիլոտային ծրագիր։ Այդ նպատակով Միասնական սոցիալական ծառայության Մալաթիա-Սեբաստիայի տարածքային կենտրոնում ստեղծվել է անձի ֆունկցիոնալության գնահատման համար սահմանված պահանջներին համապատասխան միջավայր (համապատասխան սարքավորումներով և կահույքով զինված սենյակ, գնահատող մասնագետներ՝ բժիշկներ և հարբժշկական ծառայություններ մատուցող մասնագետներ), որտեղ սահմանված ընթացակարգին, գործիքներին համապատասխան և մեթոդական ուղեցույցերի կիրառմամբ գնահատվել են նախկինում հաշմանդամություն ունեցող անձ ճանաչված անձինք։ Պիլոտ ծրագրի նպատակն էր փորձարկել անձի ֆունկցիոնալության գնահատման համար սահմանված գործընթացները, գործիքները, </w:t>
            </w:r>
            <w:r>
              <w:rPr>
                <w:rFonts w:ascii="GHEA Grapalat" w:hAnsi="GHEA Grapalat"/>
                <w:lang w:val="hy-AM"/>
              </w:rPr>
              <w:lastRenderedPageBreak/>
              <w:t>մեթոդական ուղեցույցերը, վեր հանել խնդիրները և շտկել դրանք՝ մինչ ամբողջական համակարգի ներդրումը։  Բացի այդ, վերոնշյալ օրենքներում սահմանվել են անցումային դրույթներ, մասնավորապես՝ առանձնահատկություններ առաջին անգամ դիմողների և վերափորձաքննությամ համար դիմողների համար։ Առաջնակի դիմողների հաշմանդամությունը 2023 թվականի փետրվարի 1-ից գնահատվելու է նոր ընթացակարգերով, իսկ վերափորձաքննության համար դիմողները շարունակելու են գործող ընթացակարգերով մինչև 2023 թվականի դեկտեմբերի 31-ը ներառյալ։ Միաժամանակ,  անհրաժեշտ է համապատասխանեցնել գործող իրավակարգավորումներին։ Նախագծով նախատեսված փոփոխություններն ու լրացումներ նպատակ ունեն նաև կարգավորելու պիլոտային ծրագրի արդյունքում վեր հանված խնդիրներն ու բացերը։</w:t>
            </w:r>
          </w:p>
        </w:tc>
      </w:tr>
      <w:tr w:rsidR="00AB02BA"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lastRenderedPageBreak/>
              <w:t>3.</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cs="IRTEK Courier"/>
                <w:b/>
                <w:lang w:val="af-ZA" w:eastAsia="en-US"/>
              </w:rPr>
            </w:pPr>
            <w:r>
              <w:rPr>
                <w:rFonts w:ascii="GHEA Grapalat" w:hAnsi="GHEA Grapalat" w:cs="IRTEK Courier"/>
                <w:b/>
                <w:lang w:val="af-ZA" w:eastAsia="en-US"/>
              </w:rPr>
              <w:t>Կարգավորման նպատակը և բնույթը</w:t>
            </w:r>
          </w:p>
        </w:tc>
      </w:tr>
      <w:tr w:rsidR="00AB02BA" w:rsidRPr="00027072" w:rsidTr="00AB02BA">
        <w:trPr>
          <w:gridAfter w:val="1"/>
          <w:wAfter w:w="14" w:type="dxa"/>
          <w:trHeight w:val="710"/>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hy-AM"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spacing w:line="360" w:lineRule="auto"/>
              <w:jc w:val="both"/>
              <w:rPr>
                <w:rFonts w:ascii="GHEA Grapalat" w:hAnsi="GHEA Grapalat"/>
                <w:bCs/>
                <w:lang w:val="hy-AM" w:eastAsia="en-US"/>
              </w:rPr>
            </w:pPr>
            <w:r>
              <w:rPr>
                <w:rFonts w:ascii="GHEA Grapalat" w:hAnsi="GHEA Grapalat"/>
                <w:lang w:val="hy-AM"/>
              </w:rPr>
              <w:t xml:space="preserve">      Ամփոփելով՝ պիլոտ ծրագրի արդյունքները անհրաժեշտություն է առաջացել որոշակի փոփոխություններ կատարել ՀՀ </w:t>
            </w:r>
            <w:r>
              <w:rPr>
                <w:rFonts w:ascii="GHEA Grapalat" w:hAnsi="GHEA Grapalat"/>
                <w:bCs/>
                <w:lang w:val="hy-AM" w:eastAsia="en-US"/>
              </w:rPr>
              <w:t>կառավարության 2022 թվականի հուլիսի 28-ի N 1180-ն որոշման մեջ։ Մասնավորապես,</w:t>
            </w:r>
            <w:r>
              <w:rPr>
                <w:rFonts w:ascii="GHEA Grapalat" w:hAnsi="GHEA Grapalat"/>
                <w:lang w:val="hy-AM"/>
              </w:rPr>
              <w:t xml:space="preserve"> նախագծով առաջարկվում է՝</w:t>
            </w:r>
          </w:p>
          <w:p w:rsidR="00AB02BA" w:rsidRDefault="00AB02BA" w:rsidP="00AB02BA">
            <w:pPr>
              <w:pStyle w:val="ListParagraph"/>
              <w:numPr>
                <w:ilvl w:val="0"/>
                <w:numId w:val="4"/>
              </w:numPr>
              <w:spacing w:line="360" w:lineRule="auto"/>
              <w:ind w:left="0" w:firstLine="158"/>
              <w:jc w:val="both"/>
              <w:rPr>
                <w:rFonts w:ascii="GHEA Grapalat" w:hAnsi="GHEA Grapalat"/>
                <w:lang w:val="hy-AM"/>
              </w:rPr>
            </w:pPr>
            <w:r>
              <w:rPr>
                <w:rFonts w:ascii="GHEA Grapalat" w:hAnsi="GHEA Grapalat"/>
                <w:lang w:val="hy-AM"/>
              </w:rPr>
              <w:t>սահմանել, որ «e-disability» էլեկտրոնային համակարգին հասանելիություն են ունենում նաև ՀՀ պաշտպանության նախարարությունը, ՀՀ արդարադատության նախարարությունը, ՀՀ ոստիկանությունը և ՀՀ ազգային անվտանգության ծառայությունը։ Նշված մարմինները առնչվում են ֆունկցիոնալության գնահատման համակարգին և նպատակարմար է որոշմամբ սահմանել այդ կարգավորումները։</w:t>
            </w:r>
          </w:p>
          <w:p w:rsidR="00AB02BA" w:rsidRDefault="00AB02BA" w:rsidP="00AB02BA">
            <w:pPr>
              <w:pStyle w:val="ListParagraph"/>
              <w:numPr>
                <w:ilvl w:val="0"/>
                <w:numId w:val="4"/>
              </w:numPr>
              <w:spacing w:line="360" w:lineRule="auto"/>
              <w:ind w:left="0" w:firstLine="158"/>
              <w:jc w:val="both"/>
              <w:rPr>
                <w:rFonts w:ascii="GHEA Grapalat" w:hAnsi="GHEA Grapalat"/>
                <w:lang w:val="hy-AM"/>
              </w:rPr>
            </w:pPr>
            <w:r>
              <w:rPr>
                <w:rFonts w:ascii="GHEA Grapalat" w:hAnsi="GHEA Grapalat"/>
                <w:lang w:val="hy-AM"/>
              </w:rPr>
              <w:t xml:space="preserve">որոշման հավելվածի 7-րդ կետի աղյուսակում առաջարկվող փոփոխությունները բխում են որոշ մասնագիտություններ հայերեն լեզվով գրելու հրամայականից, մյուսները՝ մոդելի ներդրման շրջանակում կազմակերպված իրազեկման աշխատանքների արդյունքներից։ Մասնավորապես, ընտանեկան բժիշկները ցանկում ներառվել են մարզերում ֆունկցիոնալության գնահատման ռեեստրի համալրման նպատակով բժիշկների և հարբժշկական ծառայություններ մատուցող մասնագետների  հետ հանդիպումների ժամանակ տրված առաջարկների հիման վրա։   </w:t>
            </w:r>
          </w:p>
          <w:p w:rsidR="00AB02BA" w:rsidRDefault="00AB02BA" w:rsidP="00AB02BA">
            <w:pPr>
              <w:pStyle w:val="ListParagraph"/>
              <w:numPr>
                <w:ilvl w:val="0"/>
                <w:numId w:val="4"/>
              </w:numPr>
              <w:spacing w:line="360" w:lineRule="auto"/>
              <w:ind w:left="0" w:firstLine="158"/>
              <w:jc w:val="both"/>
              <w:rPr>
                <w:rFonts w:ascii="GHEA Grapalat" w:hAnsi="GHEA Grapalat"/>
                <w:lang w:val="hy-AM"/>
              </w:rPr>
            </w:pPr>
            <w:r>
              <w:rPr>
                <w:rFonts w:ascii="GHEA Grapalat" w:hAnsi="GHEA Grapalat"/>
                <w:lang w:val="hy-AM"/>
              </w:rPr>
              <w:lastRenderedPageBreak/>
              <w:t>որոշման հավելվածի 24-րդ կետի 3-րդ և 5-ր ենթակետերը ու 25-րդ կետը ուժը կորցրած են ճանաչվում, քանի որ դրանցով ստացված  տեղեկատվությունը ֆունկցիոնալության գնահատման համար որևէ էական նշանակություն չունի։ Անհրաժեշտ տեղեկատվությունը կհավաքագրվի միջավայրային գործոնների գնահատման ժամանակ։</w:t>
            </w:r>
          </w:p>
          <w:p w:rsidR="00AB02BA" w:rsidRDefault="00AB02BA" w:rsidP="00AB02BA">
            <w:pPr>
              <w:pStyle w:val="ListParagraph"/>
              <w:numPr>
                <w:ilvl w:val="0"/>
                <w:numId w:val="4"/>
              </w:numPr>
              <w:spacing w:line="360" w:lineRule="auto"/>
              <w:ind w:left="0" w:firstLine="158"/>
              <w:jc w:val="both"/>
              <w:rPr>
                <w:rFonts w:ascii="GHEA Grapalat" w:hAnsi="GHEA Grapalat"/>
                <w:lang w:val="hy-AM"/>
              </w:rPr>
            </w:pPr>
            <w:r>
              <w:rPr>
                <w:rFonts w:ascii="GHEA Grapalat" w:hAnsi="GHEA Grapalat"/>
                <w:lang w:val="hy-AM"/>
              </w:rPr>
              <w:t>ուժը կորցրած ճանաչել 28-րդ կետը, համաձայն որի՝ անձի ֆունկցիոնալության փաստաթղթային գնահատում, այն էլ միայն բժշկական փաստաթղթերի հիման վրա։ Այնինչ նոր մոդելով գնահատումը ենթադրում է ոչ միայն բժշկական բաղադրիչի գնահատում, այլև՝ սոցիալական, մասնավորապես անձի գործունեությունն ու մասնակցությունը։ Վերջին բաղադրիչները գնահատելու համար պարտադիր է անձի ներկայությունը, իսկ հեռակա կարգով անձի այս բաղադրիչի գնահատում իրականացնելը գործնականորեն անհնար է։ Անձի սոցիալական բաղադրիչը (կարողությունը և կատարողականությունը) գնահատելու համար ՄՍԾ տարածքային կենտրոնները ապահովված են (ապահովելու են) համապատասխան սարքավորումներով,միջավայրային գործոնները գնահատելու համար մշակվել է համապատասխան գործիքակազմ։</w:t>
            </w:r>
          </w:p>
          <w:p w:rsidR="00AB02BA" w:rsidRDefault="00AB02BA" w:rsidP="00AB02BA">
            <w:pPr>
              <w:pStyle w:val="ListParagraph"/>
              <w:widowControl w:val="0"/>
              <w:numPr>
                <w:ilvl w:val="0"/>
                <w:numId w:val="4"/>
              </w:numPr>
              <w:tabs>
                <w:tab w:val="left" w:pos="993"/>
              </w:tabs>
              <w:spacing w:line="360" w:lineRule="auto"/>
              <w:ind w:left="0" w:firstLine="158"/>
              <w:jc w:val="both"/>
              <w:rPr>
                <w:rFonts w:ascii="GHEA Grapalat" w:hAnsi="GHEA Grapalat" w:cs="Cambria Math"/>
                <w:shd w:val="clear" w:color="auto" w:fill="FFFFFF"/>
                <w:lang w:val="hy-AM"/>
              </w:rPr>
            </w:pPr>
            <w:r>
              <w:rPr>
                <w:rFonts w:ascii="GHEA Grapalat" w:hAnsi="GHEA Grapalat" w:cs="Cambria Math"/>
                <w:color w:val="000000"/>
                <w:shd w:val="clear" w:color="auto" w:fill="FFFFFF"/>
                <w:lang w:val="hy-AM"/>
              </w:rPr>
              <w:t>Հավելվածի</w:t>
            </w:r>
            <w:r>
              <w:rPr>
                <w:rFonts w:ascii="GHEA Grapalat" w:hAnsi="GHEA Grapalat"/>
                <w:color w:val="000000"/>
                <w:shd w:val="clear" w:color="auto" w:fill="FFFFFF"/>
                <w:lang w:val="hy-AM"/>
              </w:rPr>
              <w:t xml:space="preserve"> 41-</w:t>
            </w:r>
            <w:r>
              <w:rPr>
                <w:rFonts w:ascii="GHEA Grapalat" w:hAnsi="GHEA Grapalat" w:cs="Cambria Math"/>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 xml:space="preserve">կետից հետո լրացնել </w:t>
            </w:r>
            <w:r>
              <w:rPr>
                <w:rFonts w:ascii="GHEA Grapalat" w:hAnsi="GHEA Grapalat"/>
                <w:color w:val="000000"/>
                <w:shd w:val="clear" w:color="auto" w:fill="FFFFFF"/>
                <w:lang w:val="hy-AM"/>
              </w:rPr>
              <w:t xml:space="preserve">նոր՝ 41.1 </w:t>
            </w:r>
            <w:r>
              <w:rPr>
                <w:rFonts w:ascii="GHEA Grapalat" w:hAnsi="GHEA Grapalat" w:cs="GHEA Grapalat"/>
                <w:color w:val="000000"/>
                <w:shd w:val="clear" w:color="auto" w:fill="FFFFFF"/>
                <w:lang w:val="hy-AM"/>
              </w:rPr>
              <w:t>կետով։ Հաշվի առնելով ռեսուրսների սղությունը, մ</w:t>
            </w:r>
            <w:r>
              <w:rPr>
                <w:rFonts w:ascii="GHEA Grapalat" w:hAnsi="GHEA Grapalat"/>
                <w:color w:val="000000"/>
                <w:shd w:val="clear" w:color="auto" w:fill="FFFFFF"/>
                <w:lang w:val="hy-AM"/>
              </w:rPr>
              <w:t xml:space="preserve">իջավայրային գործոնների «e» </w:t>
            </w:r>
            <w:r>
              <w:rPr>
                <w:rFonts w:ascii="GHEA Grapalat" w:hAnsi="GHEA Grapalat" w:cs="Cambria Math"/>
                <w:color w:val="000000"/>
                <w:shd w:val="clear" w:color="auto" w:fill="FFFFFF"/>
                <w:lang w:val="hy-AM"/>
              </w:rPr>
              <w:t>ծածկագրերի վերաբերյալ տեղեկատվությունը կհավաքագրվի</w:t>
            </w:r>
            <w:r>
              <w:rPr>
                <w:rFonts w:ascii="GHEA Grapalat" w:hAnsi="GHEA Grapalat"/>
                <w:color w:val="000000"/>
                <w:shd w:val="clear" w:color="auto" w:fill="FFFFFF"/>
                <w:lang w:val="hy-AM"/>
              </w:rPr>
              <w:t xml:space="preserve"> տունայցի միջոցով ծառայության կողմից՝ </w:t>
            </w:r>
            <w:r>
              <w:rPr>
                <w:rFonts w:ascii="GHEA Grapalat" w:hAnsi="GHEA Grapalat" w:cs="Cambria Math"/>
                <w:color w:val="000000"/>
                <w:shd w:val="clear" w:color="auto" w:fill="FFFFFF"/>
                <w:lang w:val="hy-AM"/>
              </w:rPr>
              <w:t>մինչև 18 տարեկան անձանց համար։ Եթե</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գնահատումը</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կատարվում</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գնահատվողի</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գտնվելու</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վայր</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այց</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կատարելու</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միջոցով</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ապա</w:t>
            </w:r>
            <w:r>
              <w:rPr>
                <w:rFonts w:ascii="GHEA Grapalat" w:hAnsi="GHEA Grapalat"/>
                <w:color w:val="000000"/>
                <w:shd w:val="clear" w:color="auto" w:fill="FFFFFF"/>
                <w:lang w:val="hy-AM"/>
              </w:rPr>
              <w:t xml:space="preserve"> «e» </w:t>
            </w:r>
            <w:r>
              <w:rPr>
                <w:rFonts w:ascii="GHEA Grapalat" w:hAnsi="GHEA Grapalat" w:cs="Cambria Math"/>
                <w:color w:val="000000"/>
                <w:shd w:val="clear" w:color="auto" w:fill="FFFFFF"/>
                <w:lang w:val="hy-AM"/>
              </w:rPr>
              <w:t>ծածկագրերը</w:t>
            </w:r>
            <w:r>
              <w:rPr>
                <w:rFonts w:ascii="GHEA Grapalat" w:hAnsi="GHEA Grapalat"/>
                <w:color w:val="000000"/>
                <w:shd w:val="clear" w:color="auto" w:fill="FFFFFF"/>
                <w:lang w:val="hy-AM"/>
              </w:rPr>
              <w:t xml:space="preserve"> կ</w:t>
            </w:r>
            <w:r>
              <w:rPr>
                <w:rFonts w:ascii="GHEA Grapalat" w:hAnsi="GHEA Grapalat" w:cs="Cambria Math"/>
                <w:color w:val="000000"/>
                <w:shd w:val="clear" w:color="auto" w:fill="FFFFFF"/>
                <w:lang w:val="hy-AM"/>
              </w:rPr>
              <w:t>գնահատեն</w:t>
            </w:r>
            <w:r>
              <w:rPr>
                <w:rFonts w:ascii="GHEA Grapalat" w:hAnsi="GHEA Grapalat"/>
                <w:color w:val="000000"/>
                <w:shd w:val="clear" w:color="auto" w:fill="FFFFFF"/>
                <w:lang w:val="hy-AM"/>
              </w:rPr>
              <w:t xml:space="preserve"> </w:t>
            </w:r>
            <w:r>
              <w:rPr>
                <w:rFonts w:ascii="GHEA Grapalat" w:hAnsi="GHEA Grapalat" w:cs="Cambria Math"/>
                <w:color w:val="000000"/>
                <w:shd w:val="clear" w:color="auto" w:fill="FFFFFF"/>
                <w:lang w:val="hy-AM"/>
              </w:rPr>
              <w:t>հարբժշկական</w:t>
            </w:r>
            <w:r>
              <w:rPr>
                <w:rFonts w:ascii="GHEA Grapalat" w:hAnsi="GHEA Grapalat"/>
                <w:color w:val="000000"/>
                <w:shd w:val="clear" w:color="auto" w:fill="FFFFFF"/>
                <w:lang w:val="hy-AM"/>
              </w:rPr>
              <w:t xml:space="preserve"> </w:t>
            </w:r>
            <w:r>
              <w:rPr>
                <w:rFonts w:ascii="GHEA Grapalat" w:hAnsi="GHEA Grapalat"/>
                <w:lang w:val="hy-AM"/>
              </w:rPr>
              <w:t xml:space="preserve">ծառայություններ մատուցող </w:t>
            </w:r>
            <w:r>
              <w:rPr>
                <w:rFonts w:ascii="GHEA Grapalat" w:hAnsi="GHEA Grapalat" w:cs="Cambria Math"/>
                <w:color w:val="000000"/>
                <w:shd w:val="clear" w:color="auto" w:fill="FFFFFF"/>
                <w:lang w:val="hy-AM"/>
              </w:rPr>
              <w:t>մասնագետները՝ նաև 18 տարեկանից բարձր տարիքի անձանց համար։ Մնացած դեպքերում միջավայրային գործոնները կգնահատվեն գնահատվողի կամ ներկայացուցչի հետ հարցազրույցի միջոցով։</w:t>
            </w:r>
          </w:p>
          <w:p w:rsidR="00AB02BA" w:rsidRDefault="00AB02BA" w:rsidP="00AB02BA">
            <w:pPr>
              <w:pStyle w:val="ListParagraph"/>
              <w:widowControl w:val="0"/>
              <w:numPr>
                <w:ilvl w:val="0"/>
                <w:numId w:val="4"/>
              </w:numPr>
              <w:tabs>
                <w:tab w:val="left" w:pos="993"/>
              </w:tabs>
              <w:spacing w:line="360" w:lineRule="auto"/>
              <w:ind w:left="0" w:firstLine="158"/>
              <w:jc w:val="both"/>
              <w:rPr>
                <w:rFonts w:ascii="GHEA Grapalat" w:hAnsi="GHEA Grapalat"/>
                <w:color w:val="000000"/>
                <w:shd w:val="clear" w:color="auto" w:fill="FFFFFF"/>
                <w:lang w:val="hy-AM"/>
              </w:rPr>
            </w:pPr>
            <w:r>
              <w:rPr>
                <w:rFonts w:ascii="GHEA Grapalat" w:hAnsi="GHEA Grapalat" w:cs="Cambria Math"/>
                <w:color w:val="000000"/>
                <w:shd w:val="clear" w:color="auto" w:fill="FFFFFF"/>
                <w:lang w:val="hy-AM"/>
              </w:rPr>
              <w:t xml:space="preserve">մահվան պատճառական կապը որոշելու համար </w:t>
            </w:r>
            <w:r>
              <w:rPr>
                <w:rFonts w:ascii="GHEA Grapalat" w:hAnsi="GHEA Grapalat"/>
                <w:color w:val="000000"/>
                <w:lang w:val="hy-AM"/>
              </w:rPr>
              <w:t xml:space="preserve">ԽՍՀՄ զինված ուժերում զինվորական ծառայության ընթացքում հաշմանդամ դարձած շարքային կազմի զինծառայողներին կուղեգրի Ծառայության համապատասխան ստորաբաժանումը, իսկ  Պաշտպանության նախարարության, Արդարադատության նախարարության, Արտակարգ իրավիճակների նախարարության կենսաթոշակ նշանակող ստորաբաժանումները՝ իրենց համակարգերի  զինծառայողների մահվան դեպքում։ </w:t>
            </w:r>
            <w:r>
              <w:rPr>
                <w:rFonts w:ascii="GHEA Grapalat" w:hAnsi="GHEA Grapalat" w:cs="Cambria Math"/>
                <w:color w:val="000000"/>
                <w:shd w:val="clear" w:color="auto" w:fill="FFFFFF"/>
                <w:lang w:val="hy-AM"/>
              </w:rPr>
              <w:t xml:space="preserve">ՀՀ կառավարության 2020 թվականի  դեկտեմբերի 10-ի N 2049-Ն որոշմամբ սահմանված  կարգով Ոստիկանության բժշկական հանձնաժողովը, իսկ  ՀՀ կառավարության 2003 թվականի դեկտեմբերի 18-ի N 1749-Ն որոշմամբ սահմանված կարգով ազգային անվտանգության ծառայության ռազմաբժշկական հանձնաժողովը ընդունում են իրենց համակարգերի զինծառայողների մահվան պատճառական կապի վերաբերյալ որոշումներ, ինչը հիմք է հանդիսացել կարգավորումը նախատեսելու համար։ </w:t>
            </w:r>
          </w:p>
          <w:p w:rsidR="00AB02BA" w:rsidRDefault="00AB02BA" w:rsidP="00AB02BA">
            <w:pPr>
              <w:pStyle w:val="ListParagraph"/>
              <w:widowControl w:val="0"/>
              <w:numPr>
                <w:ilvl w:val="0"/>
                <w:numId w:val="4"/>
              </w:numPr>
              <w:tabs>
                <w:tab w:val="left" w:pos="993"/>
              </w:tabs>
              <w:spacing w:line="360" w:lineRule="auto"/>
              <w:ind w:left="0" w:firstLine="15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որոշման հավելվածի 76-րդ կետի 1-ին ենթակետը ուժը կորցրած ճանաչել։ Հաշվի առնելով բժշկագիտության նվաճումները, նորագույն բժշկական մոտեցումները՝ նպատակահարմար է պատվաստված օրգանները առողջական վիճակի վերականգնման հեռանկարի բացակայություն ունեցող հիվանդությունների շարքից հանել։ </w:t>
            </w:r>
          </w:p>
          <w:p w:rsidR="00AB02BA" w:rsidRDefault="00AB02BA" w:rsidP="00AB02BA">
            <w:pPr>
              <w:pStyle w:val="ListParagraph"/>
              <w:widowControl w:val="0"/>
              <w:numPr>
                <w:ilvl w:val="0"/>
                <w:numId w:val="4"/>
              </w:numPr>
              <w:tabs>
                <w:tab w:val="left" w:pos="993"/>
              </w:tabs>
              <w:spacing w:line="360" w:lineRule="auto"/>
              <w:ind w:left="0" w:firstLine="158"/>
              <w:jc w:val="both"/>
              <w:rPr>
                <w:rFonts w:ascii="GHEA Grapalat" w:hAnsi="GHEA Grapalat"/>
                <w:color w:val="000000"/>
                <w:shd w:val="clear" w:color="auto" w:fill="FFFFFF"/>
                <w:lang w:val="hy-AM"/>
              </w:rPr>
            </w:pPr>
            <w:r>
              <w:rPr>
                <w:rFonts w:ascii="GHEA Grapalat" w:hAnsi="GHEA Grapalat" w:cs="GHEA Grapalat"/>
                <w:color w:val="000000"/>
                <w:shd w:val="clear" w:color="auto" w:fill="FFFFFF"/>
                <w:lang w:val="hy-AM"/>
              </w:rPr>
              <w:t>որոշման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հավելվածը</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լրացնել</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նոր</w:t>
            </w:r>
            <w:r>
              <w:rPr>
                <w:rFonts w:ascii="GHEA Grapalat" w:hAnsi="GHEA Grapalat"/>
                <w:color w:val="000000"/>
                <w:shd w:val="clear" w:color="auto" w:fill="FFFFFF"/>
                <w:lang w:val="hy-AM"/>
              </w:rPr>
              <w:t xml:space="preserve"> 79-</w:t>
            </w:r>
            <w:r>
              <w:rPr>
                <w:rFonts w:ascii="GHEA Grapalat" w:hAnsi="GHEA Grapalat" w:cs="GHEA Grapalat"/>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կետով։</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Որոշման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հավելվածի</w:t>
            </w:r>
            <w:r>
              <w:rPr>
                <w:rFonts w:ascii="GHEA Grapalat" w:hAnsi="GHEA Grapalat"/>
                <w:color w:val="000000"/>
                <w:shd w:val="clear" w:color="auto" w:fill="FFFFFF"/>
                <w:lang w:val="hy-AM"/>
              </w:rPr>
              <w:t xml:space="preserve"> 73-78-</w:t>
            </w:r>
            <w:r>
              <w:rPr>
                <w:rFonts w:ascii="GHEA Grapalat" w:hAnsi="GHEA Grapalat" w:cs="GHEA Grapalat"/>
                <w:color w:val="000000"/>
                <w:shd w:val="clear" w:color="auto" w:fill="FFFFFF"/>
                <w:lang w:val="hy-AM"/>
              </w:rPr>
              <w:t>րդ</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կետերում</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հիվանդությունները</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թվարկված</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են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ստորակետներով</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մինչդեռ</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դրանցից</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որևէ</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մեկի</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առկայությունը</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բավարար</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է</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անձի</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առողջական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վիճակը</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որպես</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վերականգնման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հեռա</w:t>
            </w:r>
            <w:r>
              <w:rPr>
                <w:rFonts w:ascii="GHEA Grapalat" w:hAnsi="GHEA Grapalat"/>
                <w:color w:val="000000"/>
                <w:shd w:val="clear" w:color="auto" w:fill="FFFFFF"/>
                <w:lang w:val="hy-AM"/>
              </w:rPr>
              <w:t xml:space="preserve">նկար չունեցող որակելու և անձի ֆունկցիոնալության գնահատման՝ առանց եռամսյա ժամկետի պահպանման, ուղեգրելու համար։ </w:t>
            </w:r>
          </w:p>
          <w:p w:rsidR="00AB02BA" w:rsidRDefault="00AB02BA" w:rsidP="00AB02BA">
            <w:pPr>
              <w:pStyle w:val="ListParagraph"/>
              <w:widowControl w:val="0"/>
              <w:numPr>
                <w:ilvl w:val="0"/>
                <w:numId w:val="4"/>
              </w:numPr>
              <w:tabs>
                <w:tab w:val="left" w:pos="993"/>
              </w:tabs>
              <w:spacing w:line="360" w:lineRule="auto"/>
              <w:ind w:left="0" w:firstLine="158"/>
              <w:jc w:val="both"/>
              <w:rPr>
                <w:rFonts w:ascii="GHEA Grapalat" w:hAnsi="GHEA Grapalat"/>
                <w:color w:val="000000"/>
                <w:shd w:val="clear" w:color="auto" w:fill="FFFFFF"/>
                <w:lang w:val="hy-AM"/>
              </w:rPr>
            </w:pPr>
            <w:r>
              <w:rPr>
                <w:rFonts w:ascii="GHEA Grapalat" w:hAnsi="GHEA Grapalat"/>
                <w:lang w:val="hy-AM"/>
              </w:rPr>
              <w:t xml:space="preserve">Իրականացված ռետրոսպեկտիվ պիլոտային ծրագրի արդյունքների հիման վրա վերանայվում են նաև </w:t>
            </w:r>
            <w:r>
              <w:rPr>
                <w:rFonts w:ascii="GHEA Grapalat" w:hAnsi="GHEA Grapalat"/>
                <w:color w:val="000000"/>
                <w:lang w:val="hy-AM"/>
              </w:rPr>
              <w:t xml:space="preserve">անձի ֆունկցիոնալության արձանագրությունների տարիքային խմբերը և </w:t>
            </w:r>
            <w:r>
              <w:rPr>
                <w:rFonts w:ascii="GHEA Grapalat" w:hAnsi="GHEA Grapalat"/>
                <w:bCs/>
                <w:color w:val="000000"/>
                <w:shd w:val="clear" w:color="auto" w:fill="FFFFFF"/>
                <w:lang w:val="hy-AM"/>
              </w:rPr>
              <w:t>անձի ֆունկցիոնալության գնահատման և հաշմանդամություն ունեցող անձ (երեխա) ճանաչելու շեմերը։</w:t>
            </w:r>
          </w:p>
          <w:p w:rsidR="00AB02BA" w:rsidRDefault="00AB02BA">
            <w:pPr>
              <w:pStyle w:val="NormalWeb"/>
              <w:shd w:val="clear" w:color="auto" w:fill="FFFFFF"/>
              <w:spacing w:before="0" w:beforeAutospacing="0" w:after="0" w:afterAutospacing="0" w:line="360" w:lineRule="auto"/>
              <w:jc w:val="both"/>
              <w:rPr>
                <w:rFonts w:ascii="GHEA Grapalat" w:hAnsi="GHEA Grapalat" w:cs="Sylfaen"/>
                <w:lang w:val="hy-AM"/>
              </w:rPr>
            </w:pPr>
            <w:r>
              <w:rPr>
                <w:rFonts w:ascii="GHEA Grapalat" w:hAnsi="GHEA Grapalat" w:cs="Sylfaen"/>
                <w:lang w:val="hy-AM"/>
              </w:rPr>
              <w:t xml:space="preserve">     Բացի այդ, որոշումներում առաջարկվում է սահմանել անցումային դրույթներ առաջին անգամ և վերափորձաքննությամ համար դիմողների համար, իսկ</w:t>
            </w:r>
            <w:r>
              <w:rPr>
                <w:rFonts w:ascii="GHEA Grapalat" w:hAnsi="GHEA Grapalat"/>
                <w:shd w:val="clear" w:color="auto" w:fill="FFFFFF"/>
                <w:lang w:val="hy-AM"/>
              </w:rPr>
              <w:t xml:space="preserve"> ՀՀ կառավարության 2022 թվականի հուլիսի 28-ի </w:t>
            </w:r>
            <w:r>
              <w:rPr>
                <w:rFonts w:ascii="GHEA Grapalat" w:hAnsi="GHEA Grapalat"/>
                <w:bCs/>
                <w:lang w:val="hy-AM"/>
              </w:rPr>
              <w:t>N 1177-Ն որոշման մեջ նաև հստակեցվում են հաշմանդամության սահմանման շեմերը, իսկ տարիքային տարանջատման սանդղակը համապատասխանեցվում է կրթության ոլորտում կիրառվող սանդղակին</w:t>
            </w:r>
            <w:r>
              <w:rPr>
                <w:rFonts w:ascii="GHEA Grapalat" w:hAnsi="GHEA Grapalat" w:cs="Sylfaen"/>
                <w:lang w:val="hy-AM"/>
              </w:rPr>
              <w:t xml:space="preserve">։ Անձի ֆունկցիոնալության գնահատման նոր համակարգին սահում անցումը կատարելու նպատակով՝ օրենքներում սահմանվել են համապատասխան դրույթներ։ Հաջորդ քայլը ենթադրում է կիրարկումն ապահովող իրավական ակտերի համապատասխանեցում՝ ինչի համար և մշակվել է սույն նախագիծը։ Նախագծով առաջարկվում է նաև ուժը կորցրած ճանաչել Հայաստանի Հանրապետության կառավարության 2004 թվականի սեպտեմբերի 23-ի N 1456-Ն որոշումը, իսկ մահվան պատճառական կապին վերաբերող սահմանումները նախատեսել </w:t>
            </w:r>
            <w:r>
              <w:rPr>
                <w:rFonts w:ascii="GHEA Grapalat" w:hAnsi="GHEA Grapalat"/>
                <w:lang w:val="hy-AM"/>
              </w:rPr>
              <w:t xml:space="preserve">ՀՀ </w:t>
            </w:r>
            <w:r>
              <w:rPr>
                <w:rFonts w:ascii="GHEA Grapalat" w:hAnsi="GHEA Grapalat"/>
                <w:bCs/>
                <w:lang w:val="hy-AM" w:eastAsia="en-US"/>
              </w:rPr>
              <w:t>կառավարության 2022 թվականի հուլիսի 28-ի N 1180-ն որոշմամբ</w:t>
            </w:r>
            <w:r>
              <w:rPr>
                <w:rFonts w:ascii="GHEA Grapalat" w:hAnsi="GHEA Grapalat" w:cs="Sylfaen"/>
                <w:lang w:val="hy-AM"/>
              </w:rPr>
              <w:t xml:space="preserve">։ </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hy-AM" w:eastAsia="en-US"/>
              </w:rPr>
            </w:pPr>
            <w:r>
              <w:rPr>
                <w:rFonts w:ascii="GHEA Grapalat" w:hAnsi="GHEA Grapalat"/>
                <w:b/>
                <w:lang w:val="hy-AM" w:eastAsia="en-US"/>
              </w:rPr>
              <w:lastRenderedPageBreak/>
              <w:t xml:space="preserve"> 4</w:t>
            </w:r>
            <w:r>
              <w:rPr>
                <w:rFonts w:eastAsia="MS Mincho"/>
                <w:b/>
                <w:lang w:val="hy-AM" w:eastAsia="en-US"/>
              </w:rPr>
              <w:t>․</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cs="IRTEK Courier"/>
                <w:b/>
                <w:lang w:val="af-ZA" w:eastAsia="en-US"/>
              </w:rPr>
            </w:pPr>
            <w:r>
              <w:rPr>
                <w:rFonts w:ascii="GHEA Grapalat" w:hAnsi="GHEA Grapalat" w:cs="IRTEK Courier"/>
                <w:b/>
                <w:lang w:val="af-ZA" w:eastAsia="en-US"/>
              </w:rPr>
              <w:t>Նախագծի մշակման գործընթացում ներգրավված ինստիտուտները և անձինք</w:t>
            </w:r>
          </w:p>
        </w:tc>
      </w:tr>
      <w:tr w:rsidR="00AB02BA" w:rsidRPr="00027072" w:rsidTr="00AB02BA">
        <w:trPr>
          <w:gridAfter w:val="1"/>
          <w:wAfter w:w="14" w:type="dxa"/>
          <w:trHeight w:val="411"/>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hy-AM"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ind w:firstLine="356"/>
              <w:jc w:val="both"/>
              <w:rPr>
                <w:rFonts w:ascii="GHEA Grapalat" w:hAnsi="GHEA Grapalat" w:cs="IRTEK Courier"/>
                <w:lang w:val="af-ZA" w:eastAsia="en-US"/>
              </w:rPr>
            </w:pPr>
            <w:r>
              <w:rPr>
                <w:rFonts w:ascii="GHEA Grapalat" w:hAnsi="GHEA Grapalat" w:cs="IRTEK Courier"/>
                <w:lang w:val="af-ZA" w:eastAsia="en-US"/>
              </w:rPr>
              <w:t>Աշխատանքի և սոցիալական հարցերի նախարարությ</w:t>
            </w:r>
            <w:r>
              <w:rPr>
                <w:rFonts w:ascii="GHEA Grapalat" w:hAnsi="GHEA Grapalat" w:cs="IRTEK Courier"/>
                <w:lang w:val="hy-AM" w:eastAsia="en-US"/>
              </w:rPr>
              <w:t>ուն</w:t>
            </w:r>
          </w:p>
        </w:tc>
      </w:tr>
      <w:tr w:rsidR="00AB02BA" w:rsidTr="00AB02BA">
        <w:trPr>
          <w:gridAfter w:val="1"/>
          <w:wAfter w:w="14" w:type="dxa"/>
          <w:trHeight w:val="431"/>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hy-AM" w:eastAsia="en-US"/>
              </w:rPr>
            </w:pPr>
            <w:r>
              <w:rPr>
                <w:rFonts w:ascii="GHEA Grapalat" w:hAnsi="GHEA Grapalat"/>
                <w:b/>
                <w:lang w:val="hy-AM" w:eastAsia="en-US"/>
              </w:rPr>
              <w:t>5.</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cs="IRTEK Courier"/>
                <w:b/>
                <w:lang w:val="af-ZA" w:eastAsia="en-US"/>
              </w:rPr>
            </w:pPr>
            <w:r>
              <w:rPr>
                <w:rFonts w:ascii="GHEA Grapalat" w:hAnsi="GHEA Grapalat" w:cs="IRTEK Courier"/>
                <w:b/>
                <w:lang w:val="af-ZA" w:eastAsia="en-US"/>
              </w:rPr>
              <w:t>Ակնկալվող արդյունքը</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en-US"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hd w:val="clear" w:color="auto" w:fill="FFFFFF"/>
              <w:spacing w:line="360" w:lineRule="auto"/>
              <w:ind w:firstLine="356"/>
              <w:jc w:val="both"/>
              <w:textAlignment w:val="baseline"/>
              <w:rPr>
                <w:rFonts w:ascii="GHEA Grapalat" w:hAnsi="GHEA Grapalat"/>
                <w:lang w:val="hy-AM" w:eastAsia="en-US"/>
              </w:rPr>
            </w:pPr>
            <w:r>
              <w:rPr>
                <w:rFonts w:ascii="GHEA Grapalat" w:hAnsi="GHEA Grapalat" w:cs="Sylfaen"/>
                <w:lang w:val="hy-AM"/>
              </w:rPr>
              <w:t>Նախագծի ընդունման արդյունքում ակնկալվում է լավարկել օրենսդրական դաշտը։</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hy-AM" w:eastAsia="en-US"/>
              </w:rPr>
            </w:pPr>
            <w:r>
              <w:rPr>
                <w:rFonts w:ascii="GHEA Grapalat" w:hAnsi="GHEA Grapalat"/>
                <w:b/>
                <w:lang w:val="hy-AM" w:eastAsia="en-US"/>
              </w:rPr>
              <w:t>6.</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tabs>
                <w:tab w:val="left" w:pos="10620"/>
              </w:tabs>
              <w:spacing w:line="360" w:lineRule="auto"/>
              <w:jc w:val="both"/>
              <w:rPr>
                <w:rFonts w:ascii="GHEA Grapalat" w:eastAsia="Calibri" w:hAnsi="GHEA Grapalat"/>
                <w:b/>
                <w:bCs/>
                <w:lang w:val="hy-AM" w:eastAsia="en-US"/>
              </w:rPr>
            </w:pPr>
            <w:r>
              <w:rPr>
                <w:rFonts w:ascii="GHEA Grapalat" w:eastAsia="Calibri" w:hAnsi="GHEA Grapalat"/>
                <w:b/>
                <w:bCs/>
                <w:lang w:val="hy-AM" w:eastAsia="en-US"/>
              </w:rPr>
              <w:t>Հայաստանի Հանրապետության պետական բյուջեի եկամուտների և ծախսերի փոփոխությունները</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hy-AM"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tabs>
                <w:tab w:val="left" w:pos="10620"/>
              </w:tabs>
              <w:spacing w:line="360" w:lineRule="auto"/>
              <w:ind w:firstLine="356"/>
              <w:jc w:val="both"/>
              <w:rPr>
                <w:rFonts w:ascii="GHEA Grapalat" w:hAnsi="GHEA Grapalat"/>
                <w:lang w:val="hy-AM" w:eastAsia="en-US"/>
              </w:rPr>
            </w:pPr>
            <w:r>
              <w:rPr>
                <w:rFonts w:ascii="GHEA Grapalat" w:hAnsi="GHEA Grapalat" w:cs="Arial Unicode"/>
                <w:bCs/>
                <w:lang w:val="hy-AM"/>
              </w:rPr>
              <w:t xml:space="preserve">Նախագծի ընդունման դեպքում  </w:t>
            </w:r>
            <w:r>
              <w:rPr>
                <w:rFonts w:ascii="GHEA Grapalat" w:hAnsi="GHEA Grapalat"/>
                <w:bCs/>
                <w:lang w:val="hy-AM"/>
              </w:rPr>
              <w:t>Հայաստանի Հանրապետության պետական բյուջեի եկամուտներում և ծախսերում լրացուցիչ փոփոխությունների անհրաժեշտություն չկա։</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jc w:val="both"/>
              <w:rPr>
                <w:rFonts w:ascii="GHEA Grapalat" w:hAnsi="GHEA Grapalat"/>
                <w:b/>
                <w:lang w:val="en-US" w:eastAsia="en-US"/>
              </w:rPr>
            </w:pPr>
            <w:r>
              <w:rPr>
                <w:rFonts w:ascii="GHEA Grapalat" w:hAnsi="GHEA Grapalat"/>
                <w:b/>
                <w:lang w:val="en-US" w:eastAsia="en-US"/>
              </w:rPr>
              <w:t>7.</w:t>
            </w: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tabs>
                <w:tab w:val="left" w:pos="10620"/>
              </w:tabs>
              <w:spacing w:line="360" w:lineRule="auto"/>
              <w:jc w:val="both"/>
              <w:rPr>
                <w:rFonts w:ascii="GHEA Grapalat" w:hAnsi="GHEA Grapalat" w:cs="Arial Unicode"/>
                <w:b/>
                <w:bCs/>
                <w:lang w:val="hy-AM"/>
              </w:rPr>
            </w:pPr>
            <w:r>
              <w:rPr>
                <w:rFonts w:ascii="GHEA Grapalat" w:hAnsi="GHEA Grapalat" w:cs="Arial Unicode"/>
                <w:b/>
                <w:bCs/>
                <w:lang w:val="hy-AM"/>
              </w:rPr>
              <w:t>Կապը ռազմավարական փաստաթղթերի հետ. Հայաստանի վերափոխման ռազմավարություն 2050, Կառավարության 2021-2026 թթ. ծրագիր, ոլորտային և/կամ այլ ռազմավարություններ</w:t>
            </w:r>
          </w:p>
        </w:tc>
      </w:tr>
      <w:tr w:rsidR="00AB02BA" w:rsidRPr="00027072" w:rsidTr="00AB02BA">
        <w:trPr>
          <w:gridAfter w:val="1"/>
          <w:wAfter w:w="14" w:type="dxa"/>
        </w:trPr>
        <w:tc>
          <w:tcPr>
            <w:tcW w:w="697" w:type="dxa"/>
            <w:tcBorders>
              <w:top w:val="single" w:sz="4" w:space="0" w:color="000000"/>
              <w:left w:val="single" w:sz="4" w:space="0" w:color="000000"/>
              <w:bottom w:val="single" w:sz="4" w:space="0" w:color="000000"/>
              <w:right w:val="single" w:sz="4" w:space="0" w:color="000000"/>
            </w:tcBorders>
          </w:tcPr>
          <w:p w:rsidR="00AB02BA" w:rsidRDefault="00AB02BA">
            <w:pPr>
              <w:widowControl w:val="0"/>
              <w:spacing w:line="360" w:lineRule="auto"/>
              <w:jc w:val="both"/>
              <w:rPr>
                <w:rFonts w:ascii="GHEA Grapalat" w:hAnsi="GHEA Grapalat"/>
                <w:lang w:val="en-US" w:eastAsia="en-US"/>
              </w:rPr>
            </w:pPr>
          </w:p>
        </w:tc>
        <w:tc>
          <w:tcPr>
            <w:tcW w:w="10082" w:type="dxa"/>
            <w:tcBorders>
              <w:top w:val="single" w:sz="4" w:space="0" w:color="000000"/>
              <w:left w:val="single" w:sz="4" w:space="0" w:color="000000"/>
              <w:bottom w:val="single" w:sz="4" w:space="0" w:color="000000"/>
              <w:right w:val="single" w:sz="4" w:space="0" w:color="000000"/>
            </w:tcBorders>
            <w:hideMark/>
          </w:tcPr>
          <w:p w:rsidR="00AB02BA" w:rsidRDefault="00AB02BA">
            <w:pPr>
              <w:widowControl w:val="0"/>
              <w:spacing w:line="360" w:lineRule="auto"/>
              <w:ind w:firstLine="356"/>
              <w:jc w:val="both"/>
              <w:rPr>
                <w:rFonts w:ascii="GHEA Grapalat" w:hAnsi="GHEA Grapalat" w:cs="Arial Unicode"/>
                <w:bCs/>
                <w:lang w:val="de-DE"/>
              </w:rPr>
            </w:pPr>
            <w:r>
              <w:rPr>
                <w:rFonts w:ascii="GHEA Grapalat" w:hAnsi="GHEA Grapalat" w:cs="Arial Unicode"/>
                <w:bCs/>
                <w:lang w:val="hy-AM"/>
              </w:rPr>
              <w:t xml:space="preserve"> Նախագիծը մասամբ փոխկապակցված է Հայաստանի Հանրապետության Կառավարության 2021-2026 թվականների ծրագրի հետ և բխում է 4.6 կետի 24-րդ պարբերությունից ` «</w:t>
            </w:r>
            <w:r>
              <w:rPr>
                <w:rFonts w:ascii="GHEA Grapalat" w:hAnsi="GHEA Grapalat"/>
                <w:color w:val="000000"/>
                <w:lang w:val="hy-AM"/>
              </w:rPr>
              <w:t>Ներդրվելու է հաշմանդամության գնահատման նոր մոդել՝ հիմնված անձի կարիքների բազմակողմանի գնահատման վրա</w:t>
            </w:r>
            <w:r>
              <w:rPr>
                <w:rFonts w:ascii="GHEA Grapalat" w:hAnsi="GHEA Grapalat" w:cs="Arial Unicode"/>
                <w:bCs/>
                <w:lang w:val="hy-AM"/>
              </w:rPr>
              <w:t>»։</w:t>
            </w:r>
          </w:p>
        </w:tc>
      </w:tr>
    </w:tbl>
    <w:p w:rsidR="00AB02BA" w:rsidRDefault="00AB02BA" w:rsidP="00AB02BA">
      <w:pPr>
        <w:widowControl w:val="0"/>
        <w:spacing w:line="360" w:lineRule="auto"/>
        <w:rPr>
          <w:rFonts w:ascii="GHEA Grapalat" w:hAnsi="GHEA Grapalat"/>
          <w:lang w:val="hy-AM"/>
        </w:rPr>
      </w:pPr>
    </w:p>
    <w:p w:rsidR="00383262" w:rsidRPr="00AB02BA" w:rsidRDefault="00383262" w:rsidP="00AB02BA">
      <w:pPr>
        <w:rPr>
          <w:lang w:val="hy-AM"/>
        </w:rPr>
      </w:pPr>
    </w:p>
    <w:sectPr w:rsidR="00383262" w:rsidRPr="00AB02B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RTEK Courier">
    <w:altName w:val="Courier New"/>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w:altName w:val="Arial"/>
    <w:charset w:val="CC"/>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00315"/>
    <w:multiLevelType w:val="hybridMultilevel"/>
    <w:tmpl w:val="C598F23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F715D"/>
    <w:multiLevelType w:val="hybridMultilevel"/>
    <w:tmpl w:val="B1FC821A"/>
    <w:lvl w:ilvl="0" w:tplc="913894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3AAF"/>
    <w:multiLevelType w:val="hybridMultilevel"/>
    <w:tmpl w:val="2176F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62"/>
    <w:rsid w:val="00027072"/>
    <w:rsid w:val="000D4550"/>
    <w:rsid w:val="00383262"/>
    <w:rsid w:val="00AB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A4BB1-9B66-4E8D-98D1-2A62438E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eastAsia="Times New Roman" w:hAnsi="Arial Armenian" w:cs="Times New Roman"/>
      <w:szCs w:val="24"/>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ru-RU"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pPr>
      <w:spacing w:before="100" w:beforeAutospacing="1" w:after="100" w:afterAutospacing="1"/>
    </w:p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Normal bullet 2"/>
    <w:basedOn w:val="Normal"/>
    <w:link w:val="ListParagraphChar"/>
    <w:uiPriority w:val="34"/>
    <w:qFormat/>
    <w:pPr>
      <w:ind w:left="720"/>
      <w:contextualSpacing/>
    </w:pPr>
  </w:style>
  <w:style w:type="paragraph" w:customStyle="1" w:styleId="norm">
    <w:name w:val="norm"/>
    <w:basedOn w:val="Normal"/>
    <w:link w:val="normChar"/>
    <w:pPr>
      <w:spacing w:line="480" w:lineRule="auto"/>
      <w:ind w:firstLine="709"/>
      <w:jc w:val="both"/>
    </w:pPr>
    <w:rPr>
      <w:rFonts w:ascii="Arial Armenian" w:hAnsi="Arial Armenian"/>
      <w:sz w:val="22"/>
      <w:szCs w:val="20"/>
      <w:lang w:val="en-US"/>
    </w:rPr>
  </w:style>
  <w:style w:type="character" w:customStyle="1" w:styleId="normChar">
    <w:name w:val="norm Char"/>
    <w:link w:val="norm"/>
    <w:locked/>
    <w:rPr>
      <w:rFonts w:ascii="Arial Armenian" w:eastAsia="Times New Roman" w:hAnsi="Arial Armenian" w:cs="Times New Roman"/>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4703">
      <w:bodyDiv w:val="1"/>
      <w:marLeft w:val="0"/>
      <w:marRight w:val="0"/>
      <w:marTop w:val="0"/>
      <w:marBottom w:val="0"/>
      <w:divBdr>
        <w:top w:val="none" w:sz="0" w:space="0" w:color="auto"/>
        <w:left w:val="none" w:sz="0" w:space="0" w:color="auto"/>
        <w:bottom w:val="none" w:sz="0" w:space="0" w:color="auto"/>
        <w:right w:val="none" w:sz="0" w:space="0" w:color="auto"/>
      </w:divBdr>
    </w:div>
    <w:div w:id="954482006">
      <w:bodyDiv w:val="1"/>
      <w:marLeft w:val="0"/>
      <w:marRight w:val="0"/>
      <w:marTop w:val="0"/>
      <w:marBottom w:val="0"/>
      <w:divBdr>
        <w:top w:val="none" w:sz="0" w:space="0" w:color="auto"/>
        <w:left w:val="none" w:sz="0" w:space="0" w:color="auto"/>
        <w:bottom w:val="none" w:sz="0" w:space="0" w:color="auto"/>
        <w:right w:val="none" w:sz="0" w:space="0" w:color="auto"/>
      </w:divBdr>
    </w:div>
    <w:div w:id="1371299109">
      <w:bodyDiv w:val="1"/>
      <w:marLeft w:val="0"/>
      <w:marRight w:val="0"/>
      <w:marTop w:val="0"/>
      <w:marBottom w:val="0"/>
      <w:divBdr>
        <w:top w:val="none" w:sz="0" w:space="0" w:color="auto"/>
        <w:left w:val="none" w:sz="0" w:space="0" w:color="auto"/>
        <w:bottom w:val="none" w:sz="0" w:space="0" w:color="auto"/>
        <w:right w:val="none" w:sz="0" w:space="0" w:color="auto"/>
      </w:divBdr>
    </w:div>
    <w:div w:id="1438913880">
      <w:bodyDiv w:val="1"/>
      <w:marLeft w:val="0"/>
      <w:marRight w:val="0"/>
      <w:marTop w:val="0"/>
      <w:marBottom w:val="0"/>
      <w:divBdr>
        <w:top w:val="none" w:sz="0" w:space="0" w:color="auto"/>
        <w:left w:val="none" w:sz="0" w:space="0" w:color="auto"/>
        <w:bottom w:val="none" w:sz="0" w:space="0" w:color="auto"/>
        <w:right w:val="none" w:sz="0" w:space="0" w:color="auto"/>
      </w:divBdr>
    </w:div>
    <w:div w:id="17832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921</Words>
  <Characters>7130</Characters>
  <Application>Microsoft Office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Rima.Yeganyan</dc:creator>
  <cp:keywords>https://mul2.gov.am/tasks/734804/oneclick/Himnavorum.docx?token=6dca2d17d641bbc5f2bcd5fd237c87b9</cp:keywords>
  <dc:description/>
  <cp:lastModifiedBy>Tatevik Stepanyan</cp:lastModifiedBy>
  <cp:revision>25</cp:revision>
  <dcterms:created xsi:type="dcterms:W3CDTF">2022-12-23T12:47:00Z</dcterms:created>
  <dcterms:modified xsi:type="dcterms:W3CDTF">2023-02-01T13:08:00Z</dcterms:modified>
</cp:coreProperties>
</file>