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7" w:rsidRPr="00D34A6D" w:rsidRDefault="00251897" w:rsidP="00251897">
      <w:pPr>
        <w:jc w:val="center"/>
        <w:rPr>
          <w:rFonts w:ascii="GHEA Grapalat" w:hAnsi="GHEA Grapalat" w:cs="Sylfaen"/>
          <w:b/>
          <w:lang w:val="af-ZA"/>
        </w:rPr>
      </w:pPr>
      <w:r w:rsidRPr="00D34A6D">
        <w:rPr>
          <w:rFonts w:ascii="GHEA Grapalat" w:hAnsi="GHEA Grapalat" w:cs="Sylfaen"/>
          <w:b/>
        </w:rPr>
        <w:t>ՀԻՄՆԱՎՈՐՈՒՄ</w:t>
      </w:r>
    </w:p>
    <w:p w:rsidR="00251897" w:rsidRPr="00A41089" w:rsidRDefault="00251897" w:rsidP="00251897">
      <w:pPr>
        <w:spacing w:before="480"/>
        <w:jc w:val="center"/>
        <w:rPr>
          <w:rStyle w:val="Strong"/>
          <w:rFonts w:ascii="GHEA Grapalat" w:hAnsi="GHEA Grapalat"/>
          <w:bCs w:val="0"/>
          <w:lang w:val="af-ZA"/>
        </w:rPr>
      </w:pPr>
      <w:r w:rsidRPr="00CA54CE">
        <w:rPr>
          <w:rStyle w:val="Strong"/>
          <w:rFonts w:ascii="Arial Armenian" w:hAnsi="Arial Armenian" w:cs="Sylfaen"/>
          <w:lang w:val="af-ZA"/>
        </w:rPr>
        <w:t>§</w:t>
      </w:r>
      <w:r w:rsidRPr="00A41089">
        <w:rPr>
          <w:rFonts w:ascii="GHEA Grapalat" w:hAnsi="GHEA Grapalat"/>
          <w:b/>
          <w:lang w:val="af-ZA"/>
        </w:rPr>
        <w:t>«ՀԱՅԱՍՏԱՆԻ ՀԱՆՐԱՊԵՏՈՒԹՅԱՆ 202</w:t>
      </w:r>
      <w:r w:rsidR="00F56EA7">
        <w:rPr>
          <w:rFonts w:ascii="GHEA Grapalat" w:hAnsi="GHEA Grapalat"/>
          <w:b/>
          <w:lang w:val="hy-AM"/>
        </w:rPr>
        <w:t>3</w:t>
      </w:r>
      <w:r w:rsidRPr="00A41089">
        <w:rPr>
          <w:rFonts w:ascii="GHEA Grapalat" w:hAnsi="GHEA Grapalat"/>
          <w:b/>
          <w:lang w:val="af-ZA"/>
        </w:rPr>
        <w:t xml:space="preserve"> ԹՎԱԿԱՆԻ ՊԵՏԱԿԱՆ ԲՅՈՒՋԵԻ ՄԱՍԻՆ» ՕՐԵՆՔՈՒՄ ՓՈՓՈԽՈՒԹՅՈՒՆ, ՀԱՅԱՍՏԱՆԻ ՀԱՆՐԱՊԵՏՈՒԹՅԱՆ ԿԱՌԱՎԱՐՈՒԹՅԱՆ 20</w:t>
      </w:r>
      <w:r w:rsidR="00F56EA7">
        <w:rPr>
          <w:rFonts w:ascii="GHEA Grapalat" w:hAnsi="GHEA Grapalat"/>
          <w:b/>
          <w:lang w:val="hy-AM"/>
        </w:rPr>
        <w:t>22</w:t>
      </w:r>
      <w:r w:rsidRPr="00A41089">
        <w:rPr>
          <w:rFonts w:ascii="GHEA Grapalat" w:hAnsi="GHEA Grapalat"/>
          <w:b/>
          <w:lang w:val="af-ZA"/>
        </w:rPr>
        <w:t xml:space="preserve"> ԹՎԱԿԱՆԻ ԴԵԿՏԵՄԲԵՐԻ 2</w:t>
      </w:r>
      <w:r w:rsidR="00F56EA7">
        <w:rPr>
          <w:rFonts w:ascii="GHEA Grapalat" w:hAnsi="GHEA Grapalat"/>
          <w:b/>
          <w:lang w:val="hy-AM"/>
        </w:rPr>
        <w:t>9</w:t>
      </w:r>
      <w:r w:rsidRPr="00A41089">
        <w:rPr>
          <w:rFonts w:ascii="GHEA Grapalat" w:hAnsi="GHEA Grapalat"/>
          <w:b/>
          <w:lang w:val="af-ZA"/>
        </w:rPr>
        <w:t>-Ի N 21</w:t>
      </w:r>
      <w:r w:rsidR="00F56EA7">
        <w:rPr>
          <w:rFonts w:ascii="GHEA Grapalat" w:hAnsi="GHEA Grapalat"/>
          <w:b/>
          <w:lang w:val="hy-AM"/>
        </w:rPr>
        <w:t>1</w:t>
      </w:r>
      <w:r w:rsidRPr="00A41089">
        <w:rPr>
          <w:rFonts w:ascii="GHEA Grapalat" w:hAnsi="GHEA Grapalat"/>
          <w:b/>
          <w:lang w:val="af-ZA"/>
        </w:rPr>
        <w:t>1-Ն ՈՐՈՇՄԱՆ ՄԵՋ ՓՈՓՈԽՈՒԹՅՈՒՆՆԵՐ ԵՎ ԼՐԱՑՈՒՄՆԵՐ ԿԱՏԱՐԵԼՈՒ ՄԱՍԻՆ</w:t>
      </w:r>
      <w:r w:rsidRPr="00CA54CE">
        <w:rPr>
          <w:rStyle w:val="Strong"/>
          <w:rFonts w:ascii="Arial Armenian" w:hAnsi="Arial Armenian" w:cs="Sylfaen"/>
          <w:lang w:val="af-ZA"/>
        </w:rPr>
        <w:t>¦</w:t>
      </w:r>
      <w:r w:rsidRPr="00CA54CE" w:rsidDel="004A24AB">
        <w:rPr>
          <w:rStyle w:val="Strong"/>
          <w:rFonts w:ascii="GHEA Grapalat" w:hAnsi="GHEA Grapalat" w:cs="Sylfaen"/>
          <w:lang w:val="af-ZA"/>
        </w:rPr>
        <w:t xml:space="preserve"> </w:t>
      </w:r>
      <w:r w:rsidRPr="00F14D62">
        <w:rPr>
          <w:rStyle w:val="Strong"/>
          <w:rFonts w:ascii="GHEA Grapalat" w:hAnsi="GHEA Grapalat"/>
        </w:rPr>
        <w:t>ՀԱՅԱՍՏԱՆԻ</w:t>
      </w:r>
      <w:r w:rsidRPr="00AC17E0">
        <w:rPr>
          <w:rStyle w:val="Strong"/>
          <w:rFonts w:ascii="GHEA Grapalat" w:hAnsi="GHEA Grapalat"/>
          <w:lang w:val="af-ZA"/>
        </w:rPr>
        <w:t xml:space="preserve"> </w:t>
      </w:r>
      <w:r w:rsidRPr="00F14D62">
        <w:rPr>
          <w:rStyle w:val="Strong"/>
          <w:rFonts w:ascii="GHEA Grapalat" w:hAnsi="GHEA Grapalat"/>
        </w:rPr>
        <w:t>ՀԱՆՐԱՊԵՏՈՒԹՅԱՆ</w:t>
      </w:r>
      <w:r w:rsidRPr="00AC17E0">
        <w:rPr>
          <w:rStyle w:val="Strong"/>
          <w:rFonts w:ascii="GHEA Grapalat" w:hAnsi="GHEA Grapalat"/>
          <w:lang w:val="af-ZA"/>
        </w:rPr>
        <w:t xml:space="preserve"> </w:t>
      </w:r>
      <w:r w:rsidRPr="00CA54CE">
        <w:rPr>
          <w:rStyle w:val="Strong"/>
          <w:rFonts w:ascii="GHEA Grapalat" w:hAnsi="GHEA Grapalat" w:cs="Sylfaen"/>
        </w:rPr>
        <w:t>ԿԱՌԱՎԱՐՈՒԹՅԱՆ</w:t>
      </w:r>
      <w:r w:rsidRPr="00AC17E0">
        <w:rPr>
          <w:rStyle w:val="Strong"/>
          <w:rFonts w:ascii="GHEA Grapalat" w:hAnsi="GHEA Grapalat"/>
          <w:lang w:val="af-ZA"/>
        </w:rPr>
        <w:t xml:space="preserve"> </w:t>
      </w:r>
      <w:r w:rsidRPr="00D34A6D">
        <w:rPr>
          <w:rStyle w:val="Strong"/>
          <w:rFonts w:ascii="GHEA Grapalat" w:hAnsi="GHEA Grapalat"/>
        </w:rPr>
        <w:t>ՈՐՈՇՄԱՆ</w:t>
      </w:r>
      <w:r w:rsidRPr="00D34A6D">
        <w:rPr>
          <w:rStyle w:val="Strong"/>
          <w:rFonts w:ascii="GHEA Grapalat" w:hAnsi="GHEA Grapalat"/>
          <w:lang w:val="af-ZA"/>
        </w:rPr>
        <w:t xml:space="preserve"> </w:t>
      </w:r>
      <w:r w:rsidRPr="00D34A6D">
        <w:rPr>
          <w:rStyle w:val="Strong"/>
          <w:rFonts w:ascii="GHEA Grapalat" w:hAnsi="GHEA Grapalat"/>
        </w:rPr>
        <w:t>ՆԱԽԱԳԾԻ</w:t>
      </w:r>
      <w:r w:rsidRPr="00D34A6D">
        <w:rPr>
          <w:rStyle w:val="Strong"/>
          <w:rFonts w:ascii="GHEA Grapalat" w:hAnsi="GHEA Grapalat" w:cs="Sylfaen"/>
          <w:lang w:val="af-ZA"/>
        </w:rPr>
        <w:t xml:space="preserve"> </w:t>
      </w:r>
      <w:r w:rsidRPr="00D34A6D">
        <w:rPr>
          <w:rStyle w:val="Strong"/>
          <w:rFonts w:ascii="GHEA Grapalat" w:hAnsi="GHEA Grapalat" w:cs="Sylfaen"/>
        </w:rPr>
        <w:t>ԸՆԴՈՒՆՄԱՆ</w:t>
      </w:r>
    </w:p>
    <w:p w:rsidR="00251897" w:rsidRDefault="00251897" w:rsidP="00251897">
      <w:pPr>
        <w:pStyle w:val="NormalWeb"/>
        <w:numPr>
          <w:ilvl w:val="0"/>
          <w:numId w:val="14"/>
        </w:numPr>
        <w:spacing w:before="600" w:beforeAutospacing="0" w:after="0" w:afterAutospacing="0" w:line="360" w:lineRule="auto"/>
        <w:ind w:left="924" w:hanging="357"/>
        <w:jc w:val="both"/>
        <w:rPr>
          <w:rFonts w:ascii="GHEA Grapalat" w:hAnsi="GHEA Grapalat" w:cs="Sylfaen"/>
          <w:b/>
          <w:lang w:val="fr-FR" w:eastAsia="x-none"/>
        </w:rPr>
      </w:pPr>
      <w:proofErr w:type="spellStart"/>
      <w:r w:rsidRPr="00D34A6D">
        <w:rPr>
          <w:rFonts w:ascii="GHEA Grapalat" w:hAnsi="GHEA Grapalat" w:cs="Sylfaen"/>
          <w:b/>
          <w:u w:val="single"/>
          <w:lang w:val="fr-FR" w:eastAsia="x-none"/>
        </w:rPr>
        <w:t>Իրավական</w:t>
      </w:r>
      <w:proofErr w:type="spellEnd"/>
      <w:r w:rsidRPr="00D34A6D">
        <w:rPr>
          <w:rFonts w:ascii="GHEA Grapalat" w:hAnsi="GHEA Grapalat" w:cs="Sylfaen"/>
          <w:b/>
          <w:u w:val="single"/>
          <w:lang w:val="fr-FR" w:eastAsia="x-none"/>
        </w:rPr>
        <w:t xml:space="preserve"> </w:t>
      </w:r>
      <w:proofErr w:type="spellStart"/>
      <w:r w:rsidRPr="00D34A6D">
        <w:rPr>
          <w:rFonts w:ascii="GHEA Grapalat" w:hAnsi="GHEA Grapalat" w:cs="Sylfaen"/>
          <w:b/>
          <w:u w:val="single"/>
          <w:lang w:val="fr-FR" w:eastAsia="x-none"/>
        </w:rPr>
        <w:t>ակտի</w:t>
      </w:r>
      <w:proofErr w:type="spellEnd"/>
      <w:r w:rsidRPr="00D34A6D">
        <w:rPr>
          <w:rFonts w:ascii="GHEA Grapalat" w:hAnsi="GHEA Grapalat" w:cs="Sylfaen"/>
          <w:b/>
          <w:u w:val="single"/>
          <w:lang w:val="fr-FR" w:eastAsia="x-none"/>
        </w:rPr>
        <w:t xml:space="preserve"> </w:t>
      </w:r>
      <w:proofErr w:type="spellStart"/>
      <w:r w:rsidRPr="00D34A6D">
        <w:rPr>
          <w:rFonts w:ascii="GHEA Grapalat" w:hAnsi="GHEA Grapalat" w:cs="Sylfaen"/>
          <w:b/>
          <w:u w:val="single"/>
          <w:lang w:val="fr-FR" w:eastAsia="x-none"/>
        </w:rPr>
        <w:t>անհրաժեշտությունը</w:t>
      </w:r>
      <w:proofErr w:type="spellEnd"/>
      <w:r w:rsidRPr="00D34A6D">
        <w:rPr>
          <w:rFonts w:ascii="GHEA Grapalat" w:hAnsi="GHEA Grapalat" w:cs="Sylfaen"/>
          <w:b/>
          <w:u w:val="single"/>
          <w:lang w:val="fr-FR" w:eastAsia="x-none"/>
        </w:rPr>
        <w:t xml:space="preserve"> (</w:t>
      </w:r>
      <w:proofErr w:type="spellStart"/>
      <w:r w:rsidRPr="00D34A6D">
        <w:rPr>
          <w:rFonts w:ascii="GHEA Grapalat" w:hAnsi="GHEA Grapalat" w:cs="Sylfaen"/>
          <w:b/>
          <w:u w:val="single"/>
          <w:lang w:val="fr-FR" w:eastAsia="x-none"/>
        </w:rPr>
        <w:t>նպատակը</w:t>
      </w:r>
      <w:proofErr w:type="spellEnd"/>
      <w:r w:rsidRPr="00D34A6D">
        <w:rPr>
          <w:rFonts w:ascii="GHEA Grapalat" w:hAnsi="GHEA Grapalat" w:cs="Sylfaen"/>
          <w:b/>
          <w:u w:val="single"/>
          <w:lang w:val="fr-FR" w:eastAsia="x-none"/>
        </w:rPr>
        <w:t>).</w:t>
      </w:r>
      <w:r w:rsidRPr="00D34A6D">
        <w:rPr>
          <w:rFonts w:ascii="GHEA Grapalat" w:hAnsi="GHEA Grapalat" w:cs="Sylfaen"/>
          <w:b/>
          <w:lang w:val="fr-FR" w:eastAsia="x-none"/>
        </w:rPr>
        <w:t xml:space="preserve"> </w:t>
      </w:r>
    </w:p>
    <w:p w:rsidR="00E906C0" w:rsidRDefault="00E906C0" w:rsidP="00E906C0">
      <w:pPr>
        <w:spacing w:before="120" w:line="360" w:lineRule="auto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Tahoma"/>
          <w:lang w:val="hy-AM"/>
        </w:rPr>
        <w:t>Ներկայացվող ն</w:t>
      </w:r>
      <w:r w:rsidRPr="00705AFA">
        <w:rPr>
          <w:rFonts w:ascii="GHEA Grapalat" w:hAnsi="GHEA Grapalat" w:cs="Tahoma"/>
          <w:lang w:val="hy-AM"/>
        </w:rPr>
        <w:t>ախագծի նպատակն է</w:t>
      </w:r>
      <w:r w:rsidRPr="00B567BA">
        <w:rPr>
          <w:rFonts w:ascii="GHEA Grapalat" w:hAnsi="GHEA Grapalat" w:cs="Tahoma"/>
          <w:lang w:val="fr-FR"/>
        </w:rPr>
        <w:t xml:space="preserve"> </w:t>
      </w:r>
      <w:r w:rsidR="00251897">
        <w:rPr>
          <w:rFonts w:ascii="GHEA Grapalat" w:hAnsi="GHEA Grapalat" w:cs="Tahoma"/>
          <w:lang w:val="hy-AM"/>
        </w:rPr>
        <w:t>Հայաստանի Հանրապետության կառավարության 202</w:t>
      </w:r>
      <w:r w:rsidR="009967DC">
        <w:rPr>
          <w:rFonts w:ascii="GHEA Grapalat" w:hAnsi="GHEA Grapalat" w:cs="Tahoma"/>
          <w:lang w:val="hy-AM"/>
        </w:rPr>
        <w:t>2</w:t>
      </w:r>
      <w:r w:rsidR="00251897">
        <w:rPr>
          <w:rFonts w:ascii="GHEA Grapalat" w:hAnsi="GHEA Grapalat" w:cs="Tahoma"/>
          <w:lang w:val="hy-AM"/>
        </w:rPr>
        <w:t xml:space="preserve"> թվականի դեկտեմբերի 2</w:t>
      </w:r>
      <w:r w:rsidR="009967DC">
        <w:rPr>
          <w:rFonts w:ascii="GHEA Grapalat" w:hAnsi="GHEA Grapalat" w:cs="Tahoma"/>
          <w:lang w:val="hy-AM"/>
        </w:rPr>
        <w:t>9-ի թիվ 211</w:t>
      </w:r>
      <w:r w:rsidR="00251897">
        <w:rPr>
          <w:rFonts w:ascii="GHEA Grapalat" w:hAnsi="GHEA Grapalat" w:cs="Tahoma"/>
          <w:lang w:val="hy-AM"/>
        </w:rPr>
        <w:t>1-Ն որոշման 1-ին կետի 1</w:t>
      </w:r>
      <w:r w:rsidR="009967DC">
        <w:rPr>
          <w:rFonts w:ascii="GHEA Grapalat" w:hAnsi="GHEA Grapalat" w:cs="Tahoma"/>
          <w:lang w:val="hy-AM"/>
        </w:rPr>
        <w:t>7</w:t>
      </w:r>
      <w:r w:rsidR="00251897">
        <w:rPr>
          <w:rFonts w:ascii="GHEA Grapalat" w:hAnsi="GHEA Grapalat" w:cs="Tahoma"/>
          <w:lang w:val="hy-AM"/>
        </w:rPr>
        <w:t xml:space="preserve">-րդ ենթակետի համաձայն՝ </w:t>
      </w:r>
      <w:r w:rsidR="00251897" w:rsidRPr="008B40BC">
        <w:rPr>
          <w:rFonts w:ascii="GHEA Grapalat" w:hAnsi="GHEA Grapalat" w:cs="Tahoma"/>
          <w:lang w:val="hy-AM"/>
        </w:rPr>
        <w:t>Եվրոպական միությունից ստացված «Աջակցություն Հայաստանում դա</w:t>
      </w:r>
      <w:r w:rsidR="00251897">
        <w:rPr>
          <w:rFonts w:ascii="GHEA Grapalat" w:hAnsi="GHEA Grapalat" w:cs="Tahoma"/>
          <w:lang w:val="hy-AM"/>
        </w:rPr>
        <w:t>տական ոլորտի բարեփոխումների իրա</w:t>
      </w:r>
      <w:r w:rsidR="00251897" w:rsidRPr="008B40BC">
        <w:rPr>
          <w:rFonts w:ascii="GHEA Grapalat" w:hAnsi="GHEA Grapalat" w:cs="Tahoma"/>
          <w:lang w:val="hy-AM"/>
        </w:rPr>
        <w:t xml:space="preserve">կանացմանը» դրամաշնորհային ծրագրի </w:t>
      </w:r>
      <w:r>
        <w:rPr>
          <w:rFonts w:ascii="GHEA Grapalat" w:hAnsi="GHEA Grapalat" w:cs="Tahoma"/>
          <w:lang w:val="hy-AM"/>
        </w:rPr>
        <w:t>202</w:t>
      </w:r>
      <w:r w:rsidRPr="00E906C0">
        <w:rPr>
          <w:rFonts w:ascii="GHEA Grapalat" w:hAnsi="GHEA Grapalat" w:cs="Tahoma"/>
          <w:lang w:val="hy-AM"/>
        </w:rPr>
        <w:t>3</w:t>
      </w:r>
      <w:r>
        <w:rPr>
          <w:rFonts w:ascii="GHEA Grapalat" w:hAnsi="GHEA Grapalat" w:cs="Tahoma"/>
          <w:lang w:val="hy-AM"/>
        </w:rPr>
        <w:t xml:space="preserve"> թվականի հունվարի 1-ի դրությամբ չօգտագործված մնացորդի հաշվին Պրոբացիայի ծառայության էլեկտրոնային հսկողության համակարգի և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«էլեկտրոնային դատարան հարթակի» հետ կապված խորհրդատվական ծառայությունների ձեռքբերման ծախսերի փոխհատուցումը։ </w:t>
      </w:r>
    </w:p>
    <w:p w:rsidR="00251897" w:rsidRPr="00E906C0" w:rsidRDefault="00E906C0" w:rsidP="00E906C0">
      <w:pPr>
        <w:spacing w:before="120" w:line="360" w:lineRule="auto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2․ </w:t>
      </w:r>
      <w:r w:rsidR="00251897" w:rsidRPr="00A12B74">
        <w:rPr>
          <w:rFonts w:ascii="GHEA Grapalat" w:hAnsi="GHEA Grapalat"/>
          <w:b/>
          <w:color w:val="000000"/>
          <w:u w:val="single"/>
          <w:lang w:val="hy-AM"/>
        </w:rPr>
        <w:t>Ընթացիկ</w:t>
      </w:r>
      <w:r w:rsidR="00251897" w:rsidRPr="00A12B74">
        <w:rPr>
          <w:rFonts w:ascii="GHEA Grapalat" w:hAnsi="GHEA Grapalat"/>
          <w:b/>
          <w:color w:val="000000"/>
          <w:u w:val="single"/>
          <w:lang w:val="af-ZA"/>
        </w:rPr>
        <w:t xml:space="preserve"> </w:t>
      </w:r>
      <w:r w:rsidR="00251897" w:rsidRPr="00A12B74">
        <w:rPr>
          <w:rFonts w:ascii="GHEA Grapalat" w:hAnsi="GHEA Grapalat"/>
          <w:b/>
          <w:color w:val="000000"/>
          <w:u w:val="single"/>
          <w:lang w:val="hy-AM"/>
        </w:rPr>
        <w:t>իրավիճակը</w:t>
      </w:r>
      <w:r w:rsidR="00251897" w:rsidRPr="0035185A">
        <w:rPr>
          <w:rFonts w:ascii="GHEA Grapalat" w:hAnsi="GHEA Grapalat"/>
          <w:b/>
          <w:color w:val="000000"/>
          <w:u w:val="single"/>
          <w:lang w:val="hy-AM"/>
        </w:rPr>
        <w:t>,</w:t>
      </w:r>
      <w:r w:rsidR="00251897" w:rsidRPr="00A12B74">
        <w:rPr>
          <w:rFonts w:ascii="GHEA Grapalat" w:hAnsi="GHEA Grapalat"/>
          <w:b/>
          <w:color w:val="000000"/>
          <w:u w:val="single"/>
          <w:lang w:val="af-ZA"/>
        </w:rPr>
        <w:t xml:space="preserve"> </w:t>
      </w:r>
      <w:r w:rsidR="00251897" w:rsidRPr="00A12B74">
        <w:rPr>
          <w:rFonts w:ascii="GHEA Grapalat" w:hAnsi="GHEA Grapalat"/>
          <w:b/>
          <w:color w:val="000000"/>
          <w:u w:val="single"/>
          <w:lang w:val="hy-AM"/>
        </w:rPr>
        <w:t>խնդիրները</w:t>
      </w:r>
      <w:r w:rsidR="00251897" w:rsidRPr="0035185A">
        <w:rPr>
          <w:rFonts w:ascii="GHEA Grapalat" w:hAnsi="GHEA Grapalat"/>
          <w:b/>
          <w:color w:val="000000"/>
          <w:u w:val="single"/>
          <w:lang w:val="hy-AM"/>
        </w:rPr>
        <w:t xml:space="preserve"> և առաջարկվող կարգավորման բնույթը</w:t>
      </w:r>
    </w:p>
    <w:p w:rsidR="00E906C0" w:rsidRDefault="00E906C0" w:rsidP="00E906C0">
      <w:pPr>
        <w:spacing w:before="120" w:line="360" w:lineRule="auto"/>
        <w:ind w:firstLine="709"/>
        <w:jc w:val="both"/>
        <w:rPr>
          <w:rFonts w:ascii="GHEA Grapalat" w:hAnsi="GHEA Grapalat" w:cs="Tahoma"/>
          <w:lang w:val="hy-AM"/>
        </w:rPr>
      </w:pPr>
      <w:r w:rsidRPr="00E906C0">
        <w:rPr>
          <w:rFonts w:ascii="GHEA Grapalat" w:hAnsi="GHEA Grapalat" w:cs="Tahoma"/>
          <w:lang w:val="hy-AM"/>
        </w:rPr>
        <w:t>Էլեկտրոնային արդարադատության (e-Justice) միասնական հարթակի բացակայության պայմաններում ՀՀ դատարանների կողմից որոշակի տիպի գործերի քննության և լուծման ընթացքում օգտագործվում է «էլեկտրոնային դատարան հարթակը»:</w:t>
      </w:r>
      <w:r w:rsidR="00E60DC2" w:rsidRPr="00E60DC2">
        <w:rPr>
          <w:lang w:val="hy-AM"/>
        </w:rPr>
        <w:t xml:space="preserve"> </w:t>
      </w:r>
      <w:r w:rsidR="00E60DC2" w:rsidRPr="00E60DC2">
        <w:rPr>
          <w:rFonts w:ascii="GHEA Grapalat" w:hAnsi="GHEA Grapalat" w:cs="Tahoma"/>
          <w:lang w:val="hy-AM"/>
        </w:rPr>
        <w:t>Այն մշակվել է 19.03.2018 թ. թիվ ԴԾԻԳ-ԲՄԾՁԲ-18/1 պայմանագրի հիման վրա, որը կնքվել է ՀՀ ԱՆ «ԴԱՏԱԻՐԱՎԱԿԱՆ ԾԻԳ»-ի և ՄԵՅՍԻՍ ԻՆՖՈՐՄԵՅՇՆ ՍԻՍԹԵՄՍ ՍՊԸ-ի միջև: Հարթակի նկատմամբ մտավոր սեփականության իրավունքները (գույքային բացառիկ իրավունքները) ներկայումս պատկանում են Հայաստանի Հանրապետությանը։</w:t>
      </w:r>
    </w:p>
    <w:p w:rsidR="00E60DC2" w:rsidRPr="00E60DC2" w:rsidRDefault="00E60DC2" w:rsidP="00E60DC2">
      <w:pPr>
        <w:spacing w:line="360" w:lineRule="auto"/>
        <w:ind w:firstLine="709"/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Tahoma"/>
          <w:lang w:val="hy-AM"/>
        </w:rPr>
        <w:t>Հարթակի վերաբերյալ գո</w:t>
      </w:r>
      <w:r w:rsidRPr="00E60DC2">
        <w:rPr>
          <w:rFonts w:ascii="GHEA Grapalat" w:hAnsi="GHEA Grapalat" w:cs="Tahoma"/>
          <w:lang w:val="hy-AM"/>
        </w:rPr>
        <w:t>յություն ունեցող տեխնիկական և այլ փաստաթղթերը հն</w:t>
      </w:r>
      <w:r>
        <w:rPr>
          <w:rFonts w:ascii="GHEA Grapalat" w:hAnsi="GHEA Grapalat" w:cs="Tahoma"/>
          <w:lang w:val="hy-AM"/>
        </w:rPr>
        <w:t>արավորություն չեն տալիս ամբողջա</w:t>
      </w:r>
      <w:r w:rsidRPr="00E60DC2">
        <w:rPr>
          <w:rFonts w:ascii="GHEA Grapalat" w:hAnsi="GHEA Grapalat" w:cs="Tahoma"/>
          <w:lang w:val="hy-AM"/>
        </w:rPr>
        <w:t xml:space="preserve">կան պատկերացում կազմել Հարթակի հնարավորությունների և տեխնիկական բնութագրի մասին։ Հարթակը դեռևս չի ենթարկվել բազմակողմանի գնահատման և աուդիտի, ինչը խոչընդոտում է քաղաքականությունը վարող մարմնի կողմից ոլորտային ուղվածության որոշումների կայացմանը։ </w:t>
      </w:r>
    </w:p>
    <w:p w:rsidR="00E60DC2" w:rsidRPr="00E906C0" w:rsidRDefault="00E60DC2" w:rsidP="00E906C0">
      <w:pPr>
        <w:spacing w:before="120" w:line="360" w:lineRule="auto"/>
        <w:ind w:firstLine="709"/>
        <w:jc w:val="both"/>
        <w:rPr>
          <w:rFonts w:ascii="GHEA Grapalat" w:hAnsi="GHEA Grapalat" w:cs="Tahoma"/>
          <w:lang w:val="hy-AM"/>
        </w:rPr>
      </w:pPr>
    </w:p>
    <w:p w:rsidR="00E906C0" w:rsidRPr="00E906C0" w:rsidRDefault="00E906C0" w:rsidP="00E906C0">
      <w:pPr>
        <w:spacing w:line="360" w:lineRule="auto"/>
        <w:ind w:firstLine="709"/>
        <w:jc w:val="both"/>
        <w:rPr>
          <w:rFonts w:ascii="GHEA Grapalat" w:hAnsi="GHEA Grapalat" w:cs="Tahoma"/>
          <w:lang w:val="hy-AM"/>
        </w:rPr>
      </w:pPr>
      <w:r w:rsidRPr="00E906C0">
        <w:rPr>
          <w:rFonts w:ascii="GHEA Grapalat" w:hAnsi="GHEA Grapalat" w:cs="Tahoma"/>
          <w:lang w:val="hy-AM"/>
        </w:rPr>
        <w:t>Ներկայումս Հարթակի հնարավորությունները ՀՀ դատական համակարգի կողմից օգտագործվում են միայն մասնակի, այն է՝ Հարթակը հնարավորություն է տալիս ունենալ տարբեր տեսակի դատական գործերի քննության համար նախատեսված մոդուլներ, սակայն դատարաններում տեղակայված է և օգտագործվում է դեռևս միայն վճարման կարգադրություն</w:t>
      </w:r>
      <w:r>
        <w:rPr>
          <w:rFonts w:ascii="GHEA Grapalat" w:hAnsi="GHEA Grapalat" w:cs="Tahoma"/>
          <w:lang w:val="hy-AM"/>
        </w:rPr>
        <w:t xml:space="preserve"> արձակելու գործերի քննության հա</w:t>
      </w:r>
      <w:r w:rsidRPr="00E906C0">
        <w:rPr>
          <w:rFonts w:ascii="GHEA Grapalat" w:hAnsi="GHEA Grapalat" w:cs="Tahoma"/>
          <w:lang w:val="hy-AM"/>
        </w:rPr>
        <w:t>մար նախատեսված մոդուլը։</w:t>
      </w:r>
    </w:p>
    <w:p w:rsidR="00E906C0" w:rsidRPr="00E906C0" w:rsidRDefault="00E906C0" w:rsidP="00E906C0">
      <w:pPr>
        <w:spacing w:line="360" w:lineRule="auto"/>
        <w:ind w:firstLine="709"/>
        <w:jc w:val="both"/>
        <w:rPr>
          <w:rFonts w:ascii="GHEA Grapalat" w:hAnsi="GHEA Grapalat" w:cs="Tahoma"/>
          <w:lang w:val="hy-AM"/>
        </w:rPr>
      </w:pPr>
      <w:r w:rsidRPr="00E906C0">
        <w:rPr>
          <w:rFonts w:ascii="GHEA Grapalat" w:hAnsi="GHEA Grapalat" w:cs="Tahoma"/>
          <w:lang w:val="hy-AM"/>
        </w:rPr>
        <w:t xml:space="preserve">Ելնելով վերոնշյալից՝ անհրաժեշտություն է </w:t>
      </w:r>
      <w:r>
        <w:rPr>
          <w:rFonts w:ascii="GHEA Grapalat" w:hAnsi="GHEA Grapalat" w:cs="Tahoma"/>
          <w:lang w:val="hy-AM"/>
        </w:rPr>
        <w:t>առաջացել գնահատել Հարթակը տեխնի</w:t>
      </w:r>
      <w:r w:rsidRPr="00E906C0">
        <w:rPr>
          <w:rFonts w:ascii="GHEA Grapalat" w:hAnsi="GHEA Grapalat" w:cs="Tahoma"/>
          <w:lang w:val="hy-AM"/>
        </w:rPr>
        <w:t>կական և ֆունկցիոնալ տեսանկյուններից, ինչպես նաև՝ գնահատել Հարթակի որակական հատկանիշները և դրա հետագա զարգացման ներուժը: Արդյունքում՝ մշակված փաստաթուղթը թույլ կտա գնահատել Հարթակի որակը և առավել ճշգրտորեն ուրվագծել դրա զարգացման, իսկ անհրաժեշտության դեպքում նաև՝ փոխարինման տեսլականը։</w:t>
      </w:r>
    </w:p>
    <w:p w:rsidR="00E906C0" w:rsidRDefault="00E906C0" w:rsidP="00E906C0">
      <w:pPr>
        <w:spacing w:line="360" w:lineRule="auto"/>
        <w:ind w:firstLine="709"/>
        <w:jc w:val="both"/>
        <w:rPr>
          <w:rFonts w:ascii="GHEA Grapalat" w:hAnsi="GHEA Grapalat" w:cs="Tahoma"/>
          <w:lang w:val="hy-AM"/>
        </w:rPr>
      </w:pPr>
      <w:r w:rsidRPr="00E906C0">
        <w:rPr>
          <w:rFonts w:ascii="GHEA Grapalat" w:hAnsi="GHEA Grapalat" w:cs="Tahoma"/>
          <w:lang w:val="hy-AM"/>
        </w:rPr>
        <w:t>Գնահատման հեռահար նպատակն է էլեկտրոնային արդարադատության ոլորտում քաղաքականությունը մշակող և որոշումները կայացնող մարմնին հնարավո</w:t>
      </w:r>
      <w:r>
        <w:rPr>
          <w:rFonts w:ascii="GHEA Grapalat" w:hAnsi="GHEA Grapalat" w:cs="Tahoma"/>
          <w:lang w:val="hy-AM"/>
        </w:rPr>
        <w:t>րութ</w:t>
      </w:r>
      <w:r w:rsidRPr="00E906C0">
        <w:rPr>
          <w:rFonts w:ascii="GHEA Grapalat" w:hAnsi="GHEA Grapalat" w:cs="Tahoma"/>
          <w:lang w:val="hy-AM"/>
        </w:rPr>
        <w:t>յուն տալ արդյունավետ որոշումներ կայացնել՝ Հարթակի հետագա ճակատագրի և Հարթակի օգտագործման և զարգացման հետագա տեսլականի վերաբերյալ։</w:t>
      </w:r>
    </w:p>
    <w:p w:rsidR="00E60DC2" w:rsidRPr="00E60DC2" w:rsidRDefault="00E60DC2" w:rsidP="00E60DC2">
      <w:pPr>
        <w:spacing w:line="360" w:lineRule="auto"/>
        <w:ind w:firstLine="709"/>
        <w:jc w:val="both"/>
        <w:rPr>
          <w:rFonts w:ascii="GHEA Grapalat" w:hAnsi="GHEA Grapalat" w:cs="Tahoma"/>
          <w:lang w:val="hy-AM"/>
        </w:rPr>
      </w:pPr>
      <w:r w:rsidRPr="00E60DC2">
        <w:rPr>
          <w:rFonts w:ascii="GHEA Grapalat" w:hAnsi="GHEA Grapalat" w:cs="Tahoma"/>
          <w:lang w:val="hy-AM"/>
        </w:rPr>
        <w:t>Վերը նշվածից ելնելով, ինչպես նաև ՀՀ դատական և իրավական բարեփոխումների 2022-2026 թթ. ռազմավարության ուղղություն հանդիսացող՝ «Էլեկտրոնային դատարան» դատական գործերի էլեկտրոնային կառավարման միասնական համակարգի ամբողջական մշակման, ներդրման և գործարկման նպատակ հետապնդելով՝ Հայաստանի Հանրապետության արդարադատության նախարարությունը 15.11.2022 թվականին հայտարարել է «էլեկտրոնային դատարան հարթակի» հետ կապված խորհրդատվական ծառայությունների ձեռքբերման՝ պայմանով մրցույթ, որում հաղթող է ճանաչվել «Գրանթ Թորնթոն Քնսալթինգ» ՓԲ ընկերությունը, որը ներկայացրել է 16.800.000 ՀՀ դրամի գնառաջարկ: Մրցույթի տեխնիկական առաջադրանքը մշակվել է ԵՄ կողմից ֆինանսավորվող «Ադ հոկ աջակցություն Հայաստանում արդարադատության ոլորտի բարեփոխումներին» ծրագրի փորձագետների կողմից և ԱՆ ՏՏ ոլորտի խորհրդատուների խմբագրման արդյունքում դրվել է մրցույթի:</w:t>
      </w:r>
    </w:p>
    <w:p w:rsidR="009C7BED" w:rsidRPr="00E906C0" w:rsidRDefault="009C7BED" w:rsidP="009C7BED">
      <w:pPr>
        <w:spacing w:line="360" w:lineRule="auto"/>
        <w:ind w:firstLine="709"/>
        <w:jc w:val="both"/>
        <w:rPr>
          <w:rFonts w:ascii="GHEA Grapalat" w:hAnsi="GHEA Grapalat" w:cs="Tahoma"/>
          <w:lang w:val="hy-AM"/>
        </w:rPr>
      </w:pPr>
      <w:bookmarkStart w:id="0" w:name="_GoBack"/>
      <w:bookmarkEnd w:id="0"/>
      <w:r w:rsidRPr="00CA54CE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Պրոբացիայի մասին</w:t>
      </w:r>
      <w:r w:rsidRPr="00CA54CE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օրենքի համաձայն դ</w:t>
      </w:r>
      <w:r w:rsidRPr="00226340">
        <w:rPr>
          <w:rFonts w:ascii="GHEA Grapalat" w:hAnsi="GHEA Grapalat" w:cs="Sylfaen"/>
          <w:lang w:val="hy-AM"/>
        </w:rPr>
        <w:t xml:space="preserve">ատական ակտի հիման վրա այլընտրանքային խափանման միջոցների կատարումն իրականացվում է էլեկտրոնային </w:t>
      </w:r>
      <w:r w:rsidRPr="00226340">
        <w:rPr>
          <w:rFonts w:ascii="GHEA Grapalat" w:hAnsi="GHEA Grapalat" w:cs="Sylfaen"/>
          <w:lang w:val="hy-AM"/>
        </w:rPr>
        <w:lastRenderedPageBreak/>
        <w:t>հսկողության միջոցների կիրառմամբ՝ Հայաստանի Հանրապետության քրեական դատավարության օրենսգրքի պահանջներին համապատասխա</w:t>
      </w:r>
      <w:r>
        <w:rPr>
          <w:rFonts w:ascii="GHEA Grapalat" w:hAnsi="GHEA Grapalat" w:cs="Sylfaen"/>
          <w:lang w:val="hy-AM"/>
        </w:rPr>
        <w:t xml:space="preserve">ն։ </w:t>
      </w:r>
      <w:r w:rsidRPr="00742FCF">
        <w:rPr>
          <w:rFonts w:ascii="GHEA Grapalat" w:hAnsi="GHEA Grapalat" w:cs="Sylfaen"/>
          <w:lang w:val="hy-AM"/>
        </w:rPr>
        <w:t>Էլեկտրոնային հսկողությունն իրականացվում է Գլոբալ տեղորոշման համակարգով (GPS) աշխատող կամ ռադիոալիքային, կենսաչափական, արբանյակային կամ այլ տեխնիկական սարքերի և էլեկտրոնային ծրագրերի կիրառմամբ, որոնք հնարավորություն են տալիս պարզել պրոբացիայի շահառուի գտնվելու վայրը, տեղաշարժը, վարքագիծը և դատական ակտով սահմանված սահմանափակումների պահպանումը:</w:t>
      </w:r>
      <w:r>
        <w:rPr>
          <w:rFonts w:ascii="GHEA Grapalat" w:hAnsi="GHEA Grapalat" w:cs="Sylfaen"/>
          <w:lang w:val="hy-AM"/>
        </w:rPr>
        <w:t xml:space="preserve"> </w:t>
      </w:r>
      <w:r w:rsidRPr="00742FCF">
        <w:rPr>
          <w:rFonts w:ascii="GHEA Grapalat" w:hAnsi="GHEA Grapalat" w:cs="Sylfaen"/>
          <w:lang w:val="hy-AM"/>
        </w:rPr>
        <w:t>Էլեկտրոնային հսկողության կիրառման համար օգտագործվող սարքավորումներն ամրացվում են պրոբացիայի շահառուին կամ տեղադրվում են վերջինիս բնակության կամ գտնվելու վայրում։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 xml:space="preserve">Պրոբացիայի շահառուների նկատմամբ էլեկտրոնային միջոցներով հսկողություն կիրառելու նպատակով 2022 թվականին </w:t>
      </w:r>
      <w:r w:rsidR="00525018">
        <w:rPr>
          <w:rFonts w:ascii="GHEA Grapalat" w:hAnsi="GHEA Grapalat" w:cs="Tahoma"/>
          <w:lang w:val="hy-AM"/>
        </w:rPr>
        <w:t xml:space="preserve">2022 թվականի ապրիլի 4-ին կնքվել է  </w:t>
      </w:r>
      <w:r>
        <w:rPr>
          <w:rFonts w:ascii="GHEA Grapalat" w:hAnsi="GHEA Grapalat" w:cs="Tahoma"/>
          <w:lang w:val="hy-AM"/>
        </w:rPr>
        <w:t>պայմանագիր</w:t>
      </w:r>
      <w:r w:rsidR="00525018">
        <w:rPr>
          <w:rFonts w:ascii="GHEA Grapalat" w:hAnsi="GHEA Grapalat" w:cs="Tahoma"/>
          <w:lang w:val="hy-AM"/>
        </w:rPr>
        <w:t xml:space="preserve"> </w:t>
      </w:r>
      <w:r w:rsidR="00525018" w:rsidRPr="00E906C0">
        <w:rPr>
          <w:rFonts w:ascii="GHEA Grapalat" w:hAnsi="GHEA Grapalat" w:cs="Tahoma"/>
          <w:lang w:val="hy-AM"/>
        </w:rPr>
        <w:t>«</w:t>
      </w:r>
      <w:r w:rsidR="00525018" w:rsidRPr="00525018">
        <w:rPr>
          <w:rFonts w:ascii="GHEA Grapalat" w:hAnsi="GHEA Grapalat" w:cs="Tahoma"/>
          <w:lang w:val="hy-AM"/>
        </w:rPr>
        <w:t>ENIGMA information protection Systems</w:t>
      </w:r>
      <w:r w:rsidR="00525018" w:rsidRPr="00E906C0">
        <w:rPr>
          <w:rFonts w:ascii="GHEA Grapalat" w:hAnsi="GHEA Grapalat" w:cs="Tahoma"/>
          <w:lang w:val="hy-AM"/>
        </w:rPr>
        <w:t>»</w:t>
      </w:r>
      <w:r w:rsidR="00525018">
        <w:rPr>
          <w:rFonts w:ascii="GHEA Grapalat" w:hAnsi="GHEA Grapalat" w:cs="Tahoma"/>
          <w:lang w:val="hy-AM"/>
        </w:rPr>
        <w:t xml:space="preserve"> ՍՊԸ հետ։ Հարկ է նշել, որ էլեկտրոնային հսկողության սարքերը պետք է մատակարարվեին Լեհաստանից և մինչև տարեվերջ  եղանակային, տրանսպորտային </w:t>
      </w:r>
      <w:r w:rsidR="00EA26B8">
        <w:rPr>
          <w:rFonts w:ascii="GHEA Grapalat" w:hAnsi="GHEA Grapalat" w:cs="Tahoma"/>
          <w:lang w:val="hy-AM"/>
        </w:rPr>
        <w:t xml:space="preserve">և մի շարք այլ </w:t>
      </w:r>
      <w:r w:rsidR="00525018">
        <w:rPr>
          <w:rFonts w:ascii="GHEA Grapalat" w:hAnsi="GHEA Grapalat" w:cs="Tahoma"/>
          <w:lang w:val="hy-AM"/>
        </w:rPr>
        <w:t>պայմաններով պայմանավորված չեն մատակարավել և դրանց դիմաց վճարումներ չեն իրական</w:t>
      </w:r>
      <w:r w:rsidR="00EA26B8">
        <w:rPr>
          <w:rFonts w:ascii="GHEA Grapalat" w:hAnsi="GHEA Grapalat" w:cs="Tahoma"/>
          <w:lang w:val="hy-AM"/>
        </w:rPr>
        <w:t>ա</w:t>
      </w:r>
      <w:r w:rsidR="00525018">
        <w:rPr>
          <w:rFonts w:ascii="GHEA Grapalat" w:hAnsi="GHEA Grapalat" w:cs="Tahoma"/>
          <w:lang w:val="hy-AM"/>
        </w:rPr>
        <w:t xml:space="preserve">ցվել։ Ներկայումս դրանց առաջին խմբաքանակն արդեն հանձնվել է Արդարադատության նախարարությանը։ Մինչև հունվարի վերջ նախատեսվում է ամբողջությամբ ընդունել </w:t>
      </w:r>
      <w:r w:rsidR="00E73DDC">
        <w:rPr>
          <w:rFonts w:ascii="GHEA Grapalat" w:hAnsi="GHEA Grapalat" w:cs="Tahoma"/>
          <w:lang w:val="hy-AM"/>
        </w:rPr>
        <w:t>սարքերն ու ծառայությունը։</w:t>
      </w:r>
    </w:p>
    <w:p w:rsidR="00251897" w:rsidRDefault="00251897" w:rsidP="00251897">
      <w:pPr>
        <w:spacing w:before="48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3</w:t>
      </w:r>
      <w:r w:rsidRPr="003756C0">
        <w:rPr>
          <w:rFonts w:ascii="GHEA Grapalat" w:hAnsi="GHEA Grapalat"/>
          <w:b/>
          <w:color w:val="000000"/>
          <w:lang w:val="hy-AM"/>
        </w:rPr>
        <w:t>.</w:t>
      </w:r>
      <w:r>
        <w:rPr>
          <w:rFonts w:ascii="GHEA Grapalat" w:hAnsi="GHEA Grapalat"/>
          <w:b/>
          <w:color w:val="000000"/>
          <w:lang w:val="hy-AM"/>
        </w:rPr>
        <w:t>Ակնկալվող արդյունքը</w:t>
      </w:r>
    </w:p>
    <w:p w:rsidR="00251897" w:rsidRPr="00E73DDC" w:rsidRDefault="00251897" w:rsidP="00E73DDC">
      <w:pPr>
        <w:spacing w:before="120" w:line="360" w:lineRule="auto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noProof/>
          <w:color w:val="000000"/>
          <w:lang w:val="hy-AM"/>
        </w:rPr>
        <w:t xml:space="preserve">Նախագծի ընդունման արդյունքում կապահովվի </w:t>
      </w:r>
      <w:r w:rsidRPr="008B40BC">
        <w:rPr>
          <w:rFonts w:ascii="GHEA Grapalat" w:hAnsi="GHEA Grapalat" w:cs="Tahoma"/>
          <w:lang w:val="hy-AM"/>
        </w:rPr>
        <w:t>Եվրոպական միությունից</w:t>
      </w:r>
      <w:r w:rsidR="007C2590" w:rsidRPr="007C2590">
        <w:rPr>
          <w:rFonts w:ascii="GHEA Grapalat" w:hAnsi="GHEA Grapalat" w:cs="Tahoma"/>
          <w:lang w:val="hy-AM"/>
        </w:rPr>
        <w:t xml:space="preserve"> </w:t>
      </w:r>
      <w:r w:rsidR="007C2590" w:rsidRPr="008B40BC">
        <w:rPr>
          <w:rFonts w:ascii="GHEA Grapalat" w:hAnsi="GHEA Grapalat" w:cs="Tahoma"/>
          <w:lang w:val="hy-AM"/>
        </w:rPr>
        <w:t>ստացված  դրամաշնորհային ծրագրի շրջանակներում</w:t>
      </w:r>
      <w:r w:rsidRPr="008B40BC">
        <w:rPr>
          <w:rFonts w:ascii="GHEA Grapalat" w:hAnsi="GHEA Grapalat" w:cs="Tahoma"/>
          <w:lang w:val="hy-AM"/>
        </w:rPr>
        <w:t xml:space="preserve"> մինչև 202</w:t>
      </w:r>
      <w:r w:rsidR="00E73DDC">
        <w:rPr>
          <w:rFonts w:ascii="GHEA Grapalat" w:hAnsi="GHEA Grapalat" w:cs="Tahoma"/>
          <w:lang w:val="hy-AM"/>
        </w:rPr>
        <w:t>3</w:t>
      </w:r>
      <w:r w:rsidRPr="008B40BC">
        <w:rPr>
          <w:rFonts w:ascii="GHEA Grapalat" w:hAnsi="GHEA Grapalat" w:cs="Tahoma"/>
          <w:lang w:val="hy-AM"/>
        </w:rPr>
        <w:t xml:space="preserve"> թվականի հունվարի 1-ը միջոցների չօգտագործված մնացորդի հաշվին</w:t>
      </w:r>
      <w:r w:rsidRPr="00D95EB7">
        <w:rPr>
          <w:rFonts w:ascii="GHEA Grapalat" w:hAnsi="GHEA Grapalat" w:cs="GHEA Grapalat"/>
          <w:noProof/>
          <w:lang w:val="hy-AM"/>
        </w:rPr>
        <w:t xml:space="preserve"> </w:t>
      </w:r>
      <w:r w:rsidR="00E73DDC">
        <w:rPr>
          <w:rFonts w:ascii="GHEA Grapalat" w:hAnsi="GHEA Grapalat" w:cs="GHEA Grapalat"/>
          <w:noProof/>
          <w:lang w:val="hy-AM"/>
        </w:rPr>
        <w:t xml:space="preserve">էլեկտրոնային հսկողության սարքերի  և </w:t>
      </w:r>
      <w:r w:rsidR="00E73DDC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«էլեկտրոնային դատարան հարթակի» հետ կապված խորհրդատվական ծառայությունների ձեռքբերման նպատակով </w:t>
      </w:r>
      <w:r w:rsidRPr="00D95EB7">
        <w:rPr>
          <w:rFonts w:ascii="GHEA Grapalat" w:hAnsi="GHEA Grapalat" w:cs="GHEA Grapalat"/>
          <w:noProof/>
          <w:lang w:val="hy-AM"/>
        </w:rPr>
        <w:t>«</w:t>
      </w:r>
      <w:r w:rsidRPr="00F926A5">
        <w:rPr>
          <w:rFonts w:ascii="GHEA Grapalat" w:hAnsi="GHEA Grapalat" w:cs="GHEA Grapalat"/>
          <w:noProof/>
          <w:lang w:val="hy-AM"/>
        </w:rPr>
        <w:t xml:space="preserve">Գնումների մասին ՀՀ օրենքի 15-րդ հոդվածի 6-րդ մասի </w:t>
      </w:r>
      <w:r>
        <w:rPr>
          <w:rFonts w:ascii="GHEA Grapalat" w:hAnsi="GHEA Grapalat" w:cs="GHEA Grapalat"/>
          <w:noProof/>
          <w:lang w:val="hy-AM"/>
        </w:rPr>
        <w:t xml:space="preserve">համաձայն կնքված պայմանագրերով նախատեսված գումարների վճարումը։ </w:t>
      </w:r>
    </w:p>
    <w:p w:rsidR="00251897" w:rsidRPr="00691E90" w:rsidRDefault="00251897" w:rsidP="00251897">
      <w:pPr>
        <w:spacing w:before="480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4</w:t>
      </w:r>
      <w:r w:rsidRPr="003756C0">
        <w:rPr>
          <w:rFonts w:ascii="GHEA Grapalat" w:hAnsi="GHEA Grapalat"/>
          <w:b/>
          <w:color w:val="000000"/>
          <w:lang w:val="hy-AM"/>
        </w:rPr>
        <w:t>.</w:t>
      </w:r>
      <w:r>
        <w:rPr>
          <w:rFonts w:ascii="GHEA Grapalat" w:hAnsi="GHEA Grapalat"/>
          <w:b/>
          <w:color w:val="000000"/>
          <w:lang w:val="hy-AM"/>
        </w:rPr>
        <w:t>Նախագիծը մշակող պատասխանատու մարմինը</w:t>
      </w:r>
    </w:p>
    <w:p w:rsidR="00251897" w:rsidRPr="00691E90" w:rsidRDefault="00251897" w:rsidP="00251897">
      <w:pPr>
        <w:spacing w:before="12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նախագիծը մշակվել է </w:t>
      </w:r>
      <w:r w:rsidRPr="003756C0">
        <w:rPr>
          <w:rFonts w:ascii="GHEA Grapalat" w:hAnsi="GHEA Grapalat"/>
          <w:lang w:val="hy-AM"/>
        </w:rPr>
        <w:t xml:space="preserve">Հայաստանի Հանրապետության արդարադատության նախարարության </w:t>
      </w:r>
      <w:r>
        <w:rPr>
          <w:rFonts w:ascii="GHEA Grapalat" w:hAnsi="GHEA Grapalat"/>
          <w:lang w:val="hy-AM"/>
        </w:rPr>
        <w:t>կողմից:</w:t>
      </w:r>
    </w:p>
    <w:p w:rsidR="00251897" w:rsidRDefault="00251897" w:rsidP="00251897">
      <w:pPr>
        <w:spacing w:line="360" w:lineRule="auto"/>
        <w:ind w:firstLine="567"/>
        <w:rPr>
          <w:rFonts w:ascii="GHEA Grapalat" w:hAnsi="GHEA Grapalat" w:cs="Sylfaen"/>
          <w:b/>
          <w:noProof/>
          <w:color w:val="000000"/>
          <w:lang w:val="hy-AM"/>
        </w:rPr>
      </w:pPr>
    </w:p>
    <w:p w:rsidR="00251897" w:rsidRPr="00691E90" w:rsidRDefault="00251897" w:rsidP="00251897">
      <w:pPr>
        <w:spacing w:line="360" w:lineRule="auto"/>
        <w:ind w:firstLine="567"/>
        <w:rPr>
          <w:rFonts w:ascii="GHEA Grapalat" w:hAnsi="GHEA Grapalat" w:cs="Sylfaen"/>
          <w:b/>
          <w:noProof/>
          <w:color w:val="000000"/>
          <w:lang w:val="hy-AM"/>
        </w:rPr>
      </w:pPr>
      <w:r>
        <w:rPr>
          <w:rFonts w:ascii="GHEA Grapalat" w:hAnsi="GHEA Grapalat" w:cs="Sylfaen"/>
          <w:b/>
          <w:noProof/>
          <w:color w:val="000000"/>
          <w:lang w:val="hy-AM"/>
        </w:rPr>
        <w:t>5.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251897" w:rsidRDefault="00251897" w:rsidP="00251897">
      <w:pPr>
        <w:spacing w:before="12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կառավարության սույն որոշման նախագծի ընդունումը ՀՀ 202</w:t>
      </w:r>
      <w:r w:rsidR="00E73DDC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թվականի պետական բյուջեի եկամուտների և ծախսերի փոփոխության չի հանգեցնի:</w:t>
      </w:r>
    </w:p>
    <w:p w:rsidR="00251897" w:rsidRPr="002E0C33" w:rsidRDefault="00251897" w:rsidP="00251897">
      <w:pPr>
        <w:pStyle w:val="ListParagraph"/>
        <w:spacing w:after="160" w:line="360" w:lineRule="auto"/>
        <w:ind w:left="360" w:firstLine="36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2E0C33">
        <w:rPr>
          <w:rFonts w:ascii="GHEA Grapalat" w:hAnsi="GHEA Grapalat" w:cs="Sylfaen"/>
          <w:b/>
          <w:sz w:val="24"/>
          <w:szCs w:val="24"/>
          <w:lang w:val="hy-AM"/>
        </w:rPr>
        <w:t>6. Նախագծի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/>
          <w:b/>
          <w:sz w:val="24"/>
          <w:szCs w:val="24"/>
          <w:lang w:val="hy-AM"/>
        </w:rPr>
        <w:t>նախագծերը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51897" w:rsidRPr="002E0C33" w:rsidRDefault="00251897" w:rsidP="00251897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2E0C33">
        <w:rPr>
          <w:rFonts w:ascii="GHEA Grapalat" w:hAnsi="GHEA Grapalat"/>
          <w:lang w:val="hy-AM"/>
        </w:rPr>
        <w:t>Որոշման նախագծի ընդունմամբ այլ իրավական ակտերում փոփոխություններ և/կամ լրացումներ կատարելու անհրաժեշտություն չկա։</w:t>
      </w:r>
    </w:p>
    <w:p w:rsidR="00251897" w:rsidRDefault="00251897" w:rsidP="00251897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:rsidR="00251897" w:rsidRDefault="00251897" w:rsidP="00251897">
      <w:pPr>
        <w:spacing w:line="36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AB6580">
        <w:rPr>
          <w:rFonts w:ascii="GHEA Grapalat" w:hAnsi="GHEA Grapalat"/>
          <w:b/>
          <w:lang w:val="hy-AM"/>
        </w:rPr>
        <w:t xml:space="preserve">7. </w:t>
      </w:r>
      <w:r w:rsidRPr="006A08D3">
        <w:rPr>
          <w:rFonts w:ascii="GHEA Grapalat" w:hAnsi="GHEA Grapalat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 </w:t>
      </w:r>
    </w:p>
    <w:p w:rsidR="00E73DDC" w:rsidRPr="004C68D9" w:rsidRDefault="00E73DDC" w:rsidP="00E73DDC">
      <w:pPr>
        <w:spacing w:line="360" w:lineRule="auto"/>
        <w:ind w:firstLine="709"/>
        <w:jc w:val="both"/>
        <w:rPr>
          <w:rFonts w:ascii="GHEA Grapalat" w:hAnsi="GHEA Grapalat" w:cs="Sylfaen"/>
          <w:szCs w:val="40"/>
          <w:lang w:val="hy-AM"/>
        </w:rPr>
      </w:pPr>
      <w:r w:rsidRPr="004C68D9">
        <w:rPr>
          <w:rFonts w:ascii="GHEA Grapalat" w:hAnsi="GHEA Grapalat" w:cs="Sylfaen"/>
          <w:szCs w:val="40"/>
          <w:lang w:val="hy-AM"/>
        </w:rPr>
        <w:t>Նախագծի ընդունումը բխում է Կառավարության «Հայաստանի Հանրապետության դատական և իրավական բարեփոխումների 2022-2026 թվականների ռազմավարությունը և դրանից բխող գործողությունների ծրագիրը հաստատելու և Հայաստանի Հանրապետության կառավարության 2019 թվականի հոկտեմբերի 10-ի N 1441-Լ որոշումն ուժը կորցրած ճանաչելու մասին» 2022 թվականի հուլիսի 21-ի թիվ 1133-Լ որոշման հավելված N 1-ի «Էլեկտրոնային արդարադատություն» միասնական կառավարման համակարգի ստեղծում և տվյալների էլեկտրոնային բազաների մատչելիության ապահովում ու արդիականացում» նպատակի իրագործման ապահովման անհրաժեշտությունից:</w:t>
      </w:r>
    </w:p>
    <w:p w:rsidR="00E73DDC" w:rsidRPr="004C68D9" w:rsidRDefault="00E73DDC" w:rsidP="00E73DDC">
      <w:pPr>
        <w:spacing w:line="360" w:lineRule="auto"/>
        <w:ind w:firstLine="709"/>
        <w:jc w:val="both"/>
        <w:rPr>
          <w:rFonts w:ascii="GHEA Grapalat" w:hAnsi="GHEA Grapalat" w:cs="Sylfaen"/>
          <w:szCs w:val="40"/>
          <w:lang w:val="hy-AM"/>
        </w:rPr>
      </w:pPr>
      <w:r w:rsidRPr="004C68D9">
        <w:rPr>
          <w:rFonts w:ascii="GHEA Grapalat" w:hAnsi="GHEA Grapalat" w:cs="Sylfaen"/>
          <w:szCs w:val="40"/>
          <w:lang w:val="hy-AM"/>
        </w:rPr>
        <w:t>Նախագծի ընդունման անհրաժեշտությունը պայմանավորված է նաև ՀՀ կառավարության 2021 թվականի նոյեմբերի 18-ի N 1902-Լ որոշմամբ հաստատված՝ Հայաստանի Հանրապետության կառավարության 2021-2026 թվականների գործունեության միջոցառումների ծրագրի 4-րդ կետով սահմանված՝ Էլեկտրոնային արդարադատության միասնական հարթակի (e-justice.am) մշակում և ներդնում միջոցառման իրականացումից։</w:t>
      </w:r>
    </w:p>
    <w:p w:rsidR="007B7BA3" w:rsidRPr="00142D60" w:rsidRDefault="007B7BA3" w:rsidP="007B7BA3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Նախագիծն </w:t>
      </w:r>
      <w:r w:rsidRPr="002E0C33">
        <w:rPr>
          <w:rFonts w:ascii="GHEA Grapalat" w:hAnsi="GHEA Grapalat"/>
          <w:lang w:val="hy-AM"/>
        </w:rPr>
        <w:t>առնչվում</w:t>
      </w:r>
      <w:r>
        <w:rPr>
          <w:rFonts w:ascii="GHEA Grapalat" w:hAnsi="GHEA Grapalat"/>
          <w:lang w:val="hy-AM"/>
        </w:rPr>
        <w:t xml:space="preserve"> է </w:t>
      </w:r>
      <w:r w:rsidRPr="002E0C33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Pr="00B13157">
        <w:rPr>
          <w:rFonts w:ascii="GHEA Grapalat" w:hAnsi="GHEA Grapalat"/>
          <w:lang w:val="hy-AM"/>
        </w:rPr>
        <w:t xml:space="preserve"> </w:t>
      </w:r>
      <w:r w:rsidRPr="002E0C33">
        <w:rPr>
          <w:rFonts w:ascii="GHEA Grapalat" w:hAnsi="GHEA Grapalat"/>
          <w:lang w:val="hy-AM"/>
        </w:rPr>
        <w:t xml:space="preserve">2021-2026թթ. </w:t>
      </w:r>
      <w:r>
        <w:rPr>
          <w:rFonts w:ascii="GHEA Grapalat" w:hAnsi="GHEA Grapalat"/>
          <w:lang w:val="hy-AM"/>
        </w:rPr>
        <w:t>ծ</w:t>
      </w:r>
      <w:r w:rsidRPr="002E0C33">
        <w:rPr>
          <w:rFonts w:ascii="GHEA Grapalat" w:hAnsi="GHEA Grapalat"/>
          <w:lang w:val="hy-AM"/>
        </w:rPr>
        <w:t>րագրի</w:t>
      </w:r>
      <w:r w:rsidRPr="00AF7C76">
        <w:rPr>
          <w:rFonts w:ascii="GHEA Grapalat" w:hAnsi="GHEA Grapalat"/>
          <w:lang w:val="hy-AM"/>
        </w:rPr>
        <w:t xml:space="preserve"> 5.3</w:t>
      </w:r>
      <w:r>
        <w:rPr>
          <w:rFonts w:ascii="GHEA Grapalat" w:hAnsi="GHEA Grapalat"/>
          <w:lang w:val="hy-AM"/>
        </w:rPr>
        <w:t xml:space="preserve"> և 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6</w:t>
      </w:r>
      <w:r w:rsidRPr="0011442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կետերին, մասնավորապես</w:t>
      </w:r>
      <w:r w:rsidRPr="002E0C33">
        <w:rPr>
          <w:rFonts w:ascii="GHEA Grapalat" w:hAnsi="GHEA Grapalat"/>
          <w:lang w:val="hy-AM"/>
        </w:rPr>
        <w:t>,</w:t>
      </w:r>
      <w:r w:rsidRPr="00444286">
        <w:rPr>
          <w:rFonts w:ascii="GHEA Grapalat" w:hAnsi="GHEA Grapalat"/>
          <w:lang w:val="hy-AM"/>
        </w:rPr>
        <w:t xml:space="preserve"> </w:t>
      </w:r>
      <w:r w:rsidRPr="00142D60">
        <w:rPr>
          <w:rFonts w:ascii="GHEA Grapalat" w:hAnsi="GHEA Grapalat"/>
          <w:lang w:val="hy-AM"/>
        </w:rPr>
        <w:t>Քրեական և Քրեական դ</w:t>
      </w:r>
      <w:r>
        <w:rPr>
          <w:rFonts w:ascii="GHEA Grapalat" w:hAnsi="GHEA Grapalat"/>
          <w:lang w:val="hy-AM"/>
        </w:rPr>
        <w:t xml:space="preserve">ատավարության </w:t>
      </w:r>
      <w:r>
        <w:rPr>
          <w:rFonts w:ascii="GHEA Grapalat" w:hAnsi="GHEA Grapalat"/>
          <w:lang w:val="hy-AM"/>
        </w:rPr>
        <w:lastRenderedPageBreak/>
        <w:t xml:space="preserve">օրենսգրքերի հենքով </w:t>
      </w:r>
      <w:r w:rsidRPr="00142D60">
        <w:rPr>
          <w:rFonts w:ascii="GHEA Grapalat" w:hAnsi="GHEA Grapalat"/>
          <w:lang w:val="hy-AM"/>
        </w:rPr>
        <w:t>իրավական համակարգում ներդրված՝ ազ</w:t>
      </w:r>
      <w:r>
        <w:rPr>
          <w:rFonts w:ascii="GHEA Grapalat" w:hAnsi="GHEA Grapalat"/>
          <w:lang w:val="hy-AM"/>
        </w:rPr>
        <w:t xml:space="preserve">ատությունից զրկելուն այլընտրանք </w:t>
      </w:r>
      <w:r w:rsidRPr="00142D60">
        <w:rPr>
          <w:rFonts w:ascii="GHEA Grapalat" w:hAnsi="GHEA Grapalat"/>
          <w:lang w:val="hy-AM"/>
        </w:rPr>
        <w:t>հանդիսացող նոր պատժատեսակների և խափանման միջոցների արդյունավետ</w:t>
      </w:r>
    </w:p>
    <w:p w:rsidR="00E73DDC" w:rsidRDefault="007B7BA3" w:rsidP="007C2590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142D60">
        <w:rPr>
          <w:rFonts w:ascii="GHEA Grapalat" w:hAnsi="GHEA Grapalat"/>
          <w:lang w:val="hy-AM"/>
        </w:rPr>
        <w:t>կիրառման նպատակով Պրոբացիայի ծառայությունը զինվ</w:t>
      </w:r>
      <w:r>
        <w:rPr>
          <w:rFonts w:ascii="GHEA Grapalat" w:hAnsi="GHEA Grapalat"/>
          <w:lang w:val="hy-AM"/>
        </w:rPr>
        <w:t xml:space="preserve">ում է էլեկտրոնային </w:t>
      </w:r>
      <w:r w:rsidRPr="00142D60">
        <w:rPr>
          <w:rFonts w:ascii="GHEA Grapalat" w:hAnsi="GHEA Grapalat"/>
          <w:lang w:val="hy-AM"/>
        </w:rPr>
        <w:t>հսկողության համար անհրաժեշտ միջոցներով</w:t>
      </w:r>
      <w:r>
        <w:rPr>
          <w:rFonts w:ascii="GHEA Grapalat" w:hAnsi="GHEA Grapalat"/>
          <w:lang w:val="hy-AM"/>
        </w:rPr>
        <w:t xml:space="preserve">, անմիջականորեն առնչվում է </w:t>
      </w:r>
      <w:r w:rsidRPr="00444286">
        <w:rPr>
          <w:rFonts w:ascii="GHEA Grapalat" w:hAnsi="GHEA Grapalat" w:cs="Tahoma"/>
          <w:lang w:val="hy-AM"/>
        </w:rPr>
        <w:t xml:space="preserve">Հայաստանի Հանրապետության </w:t>
      </w:r>
      <w:r w:rsidRPr="008A2F5F">
        <w:rPr>
          <w:rFonts w:ascii="GHEA Grapalat" w:hAnsi="GHEA Grapalat"/>
          <w:lang w:val="hy-AM"/>
        </w:rPr>
        <w:t xml:space="preserve">քրեակատարողական </w:t>
      </w:r>
      <w:r w:rsidRPr="003D551D">
        <w:rPr>
          <w:rFonts w:ascii="GHEA Grapalat" w:hAnsi="GHEA Grapalat"/>
          <w:lang w:val="hy-AM"/>
        </w:rPr>
        <w:t>և</w:t>
      </w:r>
      <w:r w:rsidRPr="008A2F5F">
        <w:rPr>
          <w:rFonts w:ascii="GHEA Grapalat" w:hAnsi="GHEA Grapalat"/>
          <w:lang w:val="hy-AM"/>
        </w:rPr>
        <w:t xml:space="preserve"> պրոբացիայի ոլորտի 2019-2023 թվականների </w:t>
      </w:r>
      <w:r>
        <w:rPr>
          <w:rFonts w:ascii="GHEA Grapalat" w:hAnsi="GHEA Grapalat"/>
          <w:lang w:val="hy-AM"/>
        </w:rPr>
        <w:t>ռազմավարության</w:t>
      </w:r>
      <w:r w:rsidRPr="00444286">
        <w:rPr>
          <w:rFonts w:ascii="GHEA Grapalat" w:hAnsi="GHEA Grapalat" w:cs="Tahoma"/>
          <w:lang w:val="hy-AM"/>
        </w:rPr>
        <w:t xml:space="preserve"> միջոցառումների ծրագրի</w:t>
      </w:r>
      <w:r>
        <w:rPr>
          <w:rFonts w:ascii="GHEA Grapalat" w:hAnsi="GHEA Grapalat" w:cs="Tahoma"/>
          <w:lang w:val="hy-AM"/>
        </w:rPr>
        <w:t xml:space="preserve">ն։ </w:t>
      </w:r>
    </w:p>
    <w:sectPr w:rsidR="00E73DDC" w:rsidSect="00527F53">
      <w:pgSz w:w="12240" w:h="15840"/>
      <w:pgMar w:top="851" w:right="72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</w:lvl>
    <w:lvl w:ilvl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126"/>
        </w:tabs>
        <w:ind w:left="3126" w:hanging="180"/>
      </w:pPr>
    </w:lvl>
    <w:lvl w:ilvl="3">
      <w:start w:val="1"/>
      <w:numFmt w:val="decimal"/>
      <w:lvlText w:val="%4."/>
      <w:lvlJc w:val="left"/>
      <w:pPr>
        <w:tabs>
          <w:tab w:val="num" w:pos="3846"/>
        </w:tabs>
        <w:ind w:left="3846" w:hanging="360"/>
      </w:pPr>
    </w:lvl>
    <w:lvl w:ilvl="4">
      <w:start w:val="1"/>
      <w:numFmt w:val="lowerLetter"/>
      <w:lvlText w:val="%5."/>
      <w:lvlJc w:val="left"/>
      <w:pPr>
        <w:tabs>
          <w:tab w:val="num" w:pos="4566"/>
        </w:tabs>
        <w:ind w:left="4566" w:hanging="360"/>
      </w:pPr>
    </w:lvl>
    <w:lvl w:ilvl="5">
      <w:start w:val="1"/>
      <w:numFmt w:val="lowerRoman"/>
      <w:lvlText w:val="%6."/>
      <w:lvlJc w:val="right"/>
      <w:pPr>
        <w:tabs>
          <w:tab w:val="num" w:pos="5286"/>
        </w:tabs>
        <w:ind w:left="5286" w:hanging="180"/>
      </w:pPr>
    </w:lvl>
    <w:lvl w:ilvl="6">
      <w:start w:val="1"/>
      <w:numFmt w:val="decimal"/>
      <w:lvlText w:val="%7."/>
      <w:lvlJc w:val="left"/>
      <w:pPr>
        <w:tabs>
          <w:tab w:val="num" w:pos="6006"/>
        </w:tabs>
        <w:ind w:left="6006" w:hanging="360"/>
      </w:pPr>
    </w:lvl>
    <w:lvl w:ilvl="7">
      <w:start w:val="1"/>
      <w:numFmt w:val="lowerLetter"/>
      <w:lvlText w:val="%8."/>
      <w:lvlJc w:val="left"/>
      <w:pPr>
        <w:tabs>
          <w:tab w:val="num" w:pos="6726"/>
        </w:tabs>
        <w:ind w:left="6726" w:hanging="360"/>
      </w:pPr>
    </w:lvl>
    <w:lvl w:ilvl="8">
      <w:start w:val="1"/>
      <w:numFmt w:val="lowerRoman"/>
      <w:lvlText w:val="%9."/>
      <w:lvlJc w:val="right"/>
      <w:pPr>
        <w:tabs>
          <w:tab w:val="num" w:pos="7446"/>
        </w:tabs>
        <w:ind w:left="7446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DF8"/>
    <w:multiLevelType w:val="hybridMultilevel"/>
    <w:tmpl w:val="A93CF4E0"/>
    <w:lvl w:ilvl="0" w:tplc="3E743132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2F57C4"/>
    <w:multiLevelType w:val="hybridMultilevel"/>
    <w:tmpl w:val="D8EC5A6A"/>
    <w:lvl w:ilvl="0" w:tplc="1FF8F0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2CC2"/>
    <w:multiLevelType w:val="hybridMultilevel"/>
    <w:tmpl w:val="8C180378"/>
    <w:lvl w:ilvl="0" w:tplc="0409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5" w15:restartNumberingAfterBreak="0">
    <w:nsid w:val="1017673F"/>
    <w:multiLevelType w:val="hybridMultilevel"/>
    <w:tmpl w:val="2DD6D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71D36"/>
    <w:multiLevelType w:val="hybridMultilevel"/>
    <w:tmpl w:val="5A04A6CC"/>
    <w:lvl w:ilvl="0" w:tplc="B656AABA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6"/>
        </w:tabs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6"/>
        </w:tabs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6"/>
        </w:tabs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6"/>
        </w:tabs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6"/>
        </w:tabs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6"/>
        </w:tabs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6"/>
        </w:tabs>
        <w:ind w:left="7446" w:hanging="180"/>
      </w:pPr>
    </w:lvl>
  </w:abstractNum>
  <w:abstractNum w:abstractNumId="7" w15:restartNumberingAfterBreak="0">
    <w:nsid w:val="1893754A"/>
    <w:multiLevelType w:val="hybridMultilevel"/>
    <w:tmpl w:val="86085E18"/>
    <w:lvl w:ilvl="0" w:tplc="8F02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7A511F"/>
    <w:multiLevelType w:val="hybridMultilevel"/>
    <w:tmpl w:val="95C2AF30"/>
    <w:lvl w:ilvl="0" w:tplc="47923958">
      <w:start w:val="1"/>
      <w:numFmt w:val="decimal"/>
      <w:lvlText w:val="%1)"/>
      <w:lvlJc w:val="left"/>
      <w:pPr>
        <w:ind w:left="975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1D36AA"/>
    <w:multiLevelType w:val="hybridMultilevel"/>
    <w:tmpl w:val="D2CEE7F2"/>
    <w:lvl w:ilvl="0" w:tplc="04090011">
      <w:start w:val="1"/>
      <w:numFmt w:val="decimal"/>
      <w:lvlText w:val="%1)"/>
      <w:lvlJc w:val="left"/>
      <w:pPr>
        <w:ind w:left="13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0" w15:restartNumberingAfterBreak="0">
    <w:nsid w:val="32646BB1"/>
    <w:multiLevelType w:val="hybridMultilevel"/>
    <w:tmpl w:val="2AC08044"/>
    <w:lvl w:ilvl="0" w:tplc="B3B6EB08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CA12CD5"/>
    <w:multiLevelType w:val="hybridMultilevel"/>
    <w:tmpl w:val="2932B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A0085B"/>
    <w:multiLevelType w:val="hybridMultilevel"/>
    <w:tmpl w:val="B250164A"/>
    <w:lvl w:ilvl="0" w:tplc="BBE27AE8">
      <w:start w:val="1"/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5D233ECB"/>
    <w:multiLevelType w:val="hybridMultilevel"/>
    <w:tmpl w:val="E18AF124"/>
    <w:lvl w:ilvl="0" w:tplc="E2D23A3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CE62C2"/>
    <w:multiLevelType w:val="hybridMultilevel"/>
    <w:tmpl w:val="27B6C848"/>
    <w:lvl w:ilvl="0" w:tplc="0CC2C44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21B78DA"/>
    <w:multiLevelType w:val="hybridMultilevel"/>
    <w:tmpl w:val="145EC76A"/>
    <w:lvl w:ilvl="0" w:tplc="0409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6" w15:restartNumberingAfterBreak="0">
    <w:nsid w:val="6A2724F0"/>
    <w:multiLevelType w:val="hybridMultilevel"/>
    <w:tmpl w:val="69AECA2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A2D1AE2"/>
    <w:multiLevelType w:val="hybridMultilevel"/>
    <w:tmpl w:val="75104344"/>
    <w:lvl w:ilvl="0" w:tplc="D9FA0802">
      <w:start w:val="1"/>
      <w:numFmt w:val="bullet"/>
      <w:lvlText w:val="-"/>
      <w:lvlJc w:val="left"/>
      <w:pPr>
        <w:ind w:left="2535" w:hanging="1545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15"/>
  </w:num>
  <w:num w:numId="6">
    <w:abstractNumId w:val="17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97"/>
    <w:rsid w:val="00106331"/>
    <w:rsid w:val="00133AA5"/>
    <w:rsid w:val="00223B65"/>
    <w:rsid w:val="00251897"/>
    <w:rsid w:val="002D4433"/>
    <w:rsid w:val="00353D4B"/>
    <w:rsid w:val="00435D07"/>
    <w:rsid w:val="00465659"/>
    <w:rsid w:val="0047768A"/>
    <w:rsid w:val="004E0CC3"/>
    <w:rsid w:val="00525018"/>
    <w:rsid w:val="005D2B40"/>
    <w:rsid w:val="0065583E"/>
    <w:rsid w:val="007B7BA3"/>
    <w:rsid w:val="007C2590"/>
    <w:rsid w:val="007C33E3"/>
    <w:rsid w:val="007D09F9"/>
    <w:rsid w:val="00874B39"/>
    <w:rsid w:val="008E5E5A"/>
    <w:rsid w:val="009406D2"/>
    <w:rsid w:val="009759AC"/>
    <w:rsid w:val="009967DC"/>
    <w:rsid w:val="009C7BED"/>
    <w:rsid w:val="009D7403"/>
    <w:rsid w:val="00AF7C76"/>
    <w:rsid w:val="00B01C60"/>
    <w:rsid w:val="00B0378F"/>
    <w:rsid w:val="00B50B6F"/>
    <w:rsid w:val="00B83FFC"/>
    <w:rsid w:val="00D363B4"/>
    <w:rsid w:val="00D90FAB"/>
    <w:rsid w:val="00DA6523"/>
    <w:rsid w:val="00DE7F52"/>
    <w:rsid w:val="00E60DC2"/>
    <w:rsid w:val="00E73DDC"/>
    <w:rsid w:val="00E906C0"/>
    <w:rsid w:val="00EA26B8"/>
    <w:rsid w:val="00F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FEF1"/>
  <w15:chartTrackingRefBased/>
  <w15:docId w15:val="{EEFB217E-4433-4415-BC0C-71B4033A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2518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189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Strong">
    <w:name w:val="Strong"/>
    <w:qFormat/>
    <w:rsid w:val="00251897"/>
    <w:rPr>
      <w:b/>
      <w:bCs/>
    </w:rPr>
  </w:style>
  <w:style w:type="character" w:customStyle="1" w:styleId="BodyText2Char">
    <w:name w:val="Body Text 2 Char"/>
    <w:link w:val="BodyText2"/>
    <w:rsid w:val="0025189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25189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2518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251897"/>
    <w:rPr>
      <w:sz w:val="24"/>
      <w:szCs w:val="24"/>
    </w:rPr>
  </w:style>
  <w:style w:type="paragraph" w:styleId="BodyText">
    <w:name w:val="Body Text"/>
    <w:basedOn w:val="Normal"/>
    <w:link w:val="BodyTextChar"/>
    <w:rsid w:val="00251897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2518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Char">
    <w:name w:val="mechtex Char Char"/>
    <w:link w:val="mechtex"/>
    <w:rsid w:val="0025189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Char"/>
    <w:rsid w:val="00251897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BlockText">
    <w:name w:val="Block Text"/>
    <w:basedOn w:val="Normal"/>
    <w:rsid w:val="0025189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paragraph" w:styleId="BalloonText">
    <w:name w:val="Balloon Text"/>
    <w:basedOn w:val="Normal"/>
    <w:link w:val="BalloonTextChar"/>
    <w:rsid w:val="0025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89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25189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51897"/>
    <w:rPr>
      <w:rFonts w:ascii="ArTarumianTimes" w:eastAsia="Times New Roman" w:hAnsi="ArTarumianTimes" w:cs="Times New Roman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qFormat/>
    <w:rsid w:val="00251897"/>
    <w:pPr>
      <w:spacing w:before="100" w:beforeAutospacing="1" w:after="100" w:afterAutospacing="1"/>
    </w:pPr>
    <w:rPr>
      <w:lang w:val="en-GB" w:eastAsia="en-GB"/>
    </w:rPr>
  </w:style>
  <w:style w:type="paragraph" w:customStyle="1" w:styleId="CharChar5CharCharCharChar">
    <w:name w:val="Char Char5 Char Char Char Char"/>
    <w:basedOn w:val="Normal"/>
    <w:rsid w:val="00251897"/>
    <w:pPr>
      <w:spacing w:after="160"/>
    </w:pPr>
    <w:rPr>
      <w:rFonts w:ascii="Verdana" w:eastAsia="Batang" w:hAnsi="Verdana" w:cs="Verdana"/>
      <w:lang w:val="en-GB" w:eastAsia="en-US"/>
    </w:rPr>
  </w:style>
  <w:style w:type="paragraph" w:customStyle="1" w:styleId="xl68">
    <w:name w:val="xl68"/>
    <w:basedOn w:val="Normal"/>
    <w:rsid w:val="0025189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xl69">
    <w:name w:val="xl69"/>
    <w:basedOn w:val="Normal"/>
    <w:rsid w:val="00251897"/>
    <w:pPr>
      <w:spacing w:before="100" w:beforeAutospacing="1" w:after="100" w:afterAutospacing="1"/>
      <w:ind w:firstLineChars="500" w:firstLine="500"/>
    </w:pPr>
    <w:rPr>
      <w:rFonts w:ascii="Sylfaen" w:eastAsia="Calibri" w:hAnsi="Sylfaen"/>
      <w:sz w:val="20"/>
      <w:szCs w:val="20"/>
      <w:lang w:val="en-US" w:eastAsia="en-US"/>
    </w:rPr>
  </w:style>
  <w:style w:type="paragraph" w:customStyle="1" w:styleId="xl70">
    <w:name w:val="xl70"/>
    <w:basedOn w:val="Normal"/>
    <w:rsid w:val="00251897"/>
    <w:pPr>
      <w:spacing w:before="100" w:beforeAutospacing="1" w:after="100" w:afterAutospacing="1"/>
    </w:pPr>
    <w:rPr>
      <w:rFonts w:eastAsia="Calibri"/>
      <w:b/>
      <w:bCs/>
      <w:sz w:val="28"/>
      <w:szCs w:val="28"/>
      <w:lang w:val="en-US" w:eastAsia="en-US"/>
    </w:rPr>
  </w:style>
  <w:style w:type="paragraph" w:customStyle="1" w:styleId="xl71">
    <w:name w:val="xl71"/>
    <w:basedOn w:val="Normal"/>
    <w:rsid w:val="00251897"/>
    <w:pPr>
      <w:spacing w:before="100" w:beforeAutospacing="1" w:after="100" w:afterAutospacing="1"/>
    </w:pPr>
    <w:rPr>
      <w:rFonts w:eastAsia="Calibri"/>
      <w:b/>
      <w:bCs/>
      <w:sz w:val="26"/>
      <w:szCs w:val="26"/>
      <w:lang w:val="en-US" w:eastAsia="en-US"/>
    </w:rPr>
  </w:style>
  <w:style w:type="paragraph" w:customStyle="1" w:styleId="xl72">
    <w:name w:val="xl72"/>
    <w:basedOn w:val="Normal"/>
    <w:rsid w:val="00251897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customStyle="1" w:styleId="xl73">
    <w:name w:val="xl73"/>
    <w:basedOn w:val="Normal"/>
    <w:rsid w:val="0025189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xl74">
    <w:name w:val="xl74"/>
    <w:basedOn w:val="Normal"/>
    <w:rsid w:val="00251897"/>
    <w:pPr>
      <w:spacing w:before="100" w:beforeAutospacing="1" w:after="100" w:afterAutospacing="1"/>
    </w:pPr>
    <w:rPr>
      <w:rFonts w:ascii="Calibri" w:eastAsia="Calibri" w:hAnsi="Calibri" w:cs="Calibri"/>
      <w:lang w:val="en-US" w:eastAsia="en-US"/>
    </w:rPr>
  </w:style>
  <w:style w:type="paragraph" w:customStyle="1" w:styleId="xl75">
    <w:name w:val="xl75"/>
    <w:basedOn w:val="Normal"/>
    <w:rsid w:val="00251897"/>
    <w:pPr>
      <w:spacing w:before="100" w:beforeAutospacing="1" w:after="100" w:afterAutospacing="1"/>
    </w:pPr>
    <w:rPr>
      <w:rFonts w:ascii="Sylfaen" w:eastAsia="Calibri" w:hAnsi="Sylfaen"/>
      <w:lang w:val="en-US" w:eastAsia="en-US"/>
    </w:rPr>
  </w:style>
  <w:style w:type="paragraph" w:customStyle="1" w:styleId="xl76">
    <w:name w:val="xl76"/>
    <w:basedOn w:val="Normal"/>
    <w:rsid w:val="00251897"/>
    <w:pPr>
      <w:spacing w:before="100" w:beforeAutospacing="1" w:after="100" w:afterAutospacing="1"/>
    </w:pPr>
    <w:rPr>
      <w:rFonts w:eastAsia="Calibri"/>
      <w:sz w:val="26"/>
      <w:szCs w:val="26"/>
      <w:lang w:val="en-US" w:eastAsia="en-US"/>
    </w:rPr>
  </w:style>
  <w:style w:type="paragraph" w:customStyle="1" w:styleId="xl77">
    <w:name w:val="xl77"/>
    <w:basedOn w:val="Normal"/>
    <w:rsid w:val="0025189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xl78">
    <w:name w:val="xl78"/>
    <w:basedOn w:val="Normal"/>
    <w:rsid w:val="00251897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customStyle="1" w:styleId="xl79">
    <w:name w:val="xl79"/>
    <w:basedOn w:val="Normal"/>
    <w:rsid w:val="00251897"/>
    <w:pPr>
      <w:spacing w:before="100" w:beforeAutospacing="1" w:after="100" w:afterAutospacing="1"/>
    </w:pPr>
    <w:rPr>
      <w:rFonts w:eastAsia="Calibri"/>
      <w:i/>
      <w:iCs/>
      <w:lang w:val="en-US" w:eastAsia="en-US"/>
    </w:rPr>
  </w:style>
  <w:style w:type="paragraph" w:customStyle="1" w:styleId="xl80">
    <w:name w:val="xl80"/>
    <w:basedOn w:val="Normal"/>
    <w:rsid w:val="00251897"/>
    <w:pPr>
      <w:spacing w:before="100" w:beforeAutospacing="1" w:after="100" w:afterAutospacing="1"/>
    </w:pPr>
    <w:rPr>
      <w:rFonts w:eastAsia="Calibri"/>
      <w:b/>
      <w:bCs/>
      <w:sz w:val="26"/>
      <w:szCs w:val="26"/>
      <w:lang w:val="en-US" w:eastAsia="en-US"/>
    </w:rPr>
  </w:style>
  <w:style w:type="paragraph" w:customStyle="1" w:styleId="xl81">
    <w:name w:val="xl81"/>
    <w:basedOn w:val="Normal"/>
    <w:rsid w:val="00251897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customStyle="1" w:styleId="xl83">
    <w:name w:val="xl83"/>
    <w:basedOn w:val="Normal"/>
    <w:rsid w:val="00251897"/>
    <w:pPr>
      <w:spacing w:before="100" w:beforeAutospacing="1" w:after="100" w:afterAutospacing="1"/>
    </w:pPr>
    <w:rPr>
      <w:rFonts w:eastAsia="Calibri"/>
      <w:b/>
      <w:bCs/>
      <w:sz w:val="28"/>
      <w:szCs w:val="28"/>
      <w:lang w:val="en-US" w:eastAsia="en-US"/>
    </w:rPr>
  </w:style>
  <w:style w:type="paragraph" w:customStyle="1" w:styleId="xl86">
    <w:name w:val="xl86"/>
    <w:basedOn w:val="Normal"/>
    <w:rsid w:val="00251897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customStyle="1" w:styleId="1">
    <w:name w:val="Абзац списка1"/>
    <w:basedOn w:val="Normal"/>
    <w:qFormat/>
    <w:rsid w:val="002518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mechtexChar">
    <w:name w:val="mechtex Char"/>
    <w:rsid w:val="00251897"/>
    <w:rPr>
      <w:rFonts w:ascii="Arial Armenian" w:hAnsi="Arial Armenian"/>
      <w:sz w:val="22"/>
      <w:lang w:eastAsia="ru-RU"/>
    </w:rPr>
  </w:style>
  <w:style w:type="paragraph" w:customStyle="1" w:styleId="Char">
    <w:name w:val="Char"/>
    <w:basedOn w:val="Normal"/>
    <w:rsid w:val="002518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518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">
    <w:name w:val="Основной текст_"/>
    <w:link w:val="a0"/>
    <w:locked/>
    <w:rsid w:val="00251897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251897"/>
    <w:pPr>
      <w:widowControl w:val="0"/>
      <w:shd w:val="clear" w:color="auto" w:fill="FFFFFF"/>
      <w:spacing w:line="0" w:lineRule="atLeast"/>
      <w:jc w:val="both"/>
    </w:pPr>
    <w:rPr>
      <w:rFonts w:ascii="Sylfaen" w:eastAsia="Sylfaen" w:hAnsi="Sylfaen" w:cs="Sylfaen"/>
      <w:sz w:val="21"/>
      <w:szCs w:val="21"/>
      <w:lang w:val="en-US" w:eastAsia="en-US"/>
    </w:rPr>
  </w:style>
  <w:style w:type="paragraph" w:styleId="ListParagraph">
    <w:name w:val="List Paragraph"/>
    <w:aliases w:val="Table no. List Paragraph,List Paragraph1,Numbered List Paragraph,Bullet paras,Colorful List - Accent 11,Bullet1,References,IBL List Paragraph"/>
    <w:basedOn w:val="Normal"/>
    <w:uiPriority w:val="34"/>
    <w:qFormat/>
    <w:rsid w:val="00251897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071-1F24-4340-B3DA-F4C80D2D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Margaryan</dc:creator>
  <cp:keywords/>
  <dc:description/>
  <cp:lastModifiedBy>Zara Margaryan</cp:lastModifiedBy>
  <cp:revision>21</cp:revision>
  <dcterms:created xsi:type="dcterms:W3CDTF">2022-04-07T06:22:00Z</dcterms:created>
  <dcterms:modified xsi:type="dcterms:W3CDTF">2023-02-01T11:08:00Z</dcterms:modified>
</cp:coreProperties>
</file>