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F8EC48" w14:textId="77777777" w:rsidR="007555DA" w:rsidRPr="009455B9" w:rsidRDefault="000C6C16" w:rsidP="00F94DB3">
      <w:pPr>
        <w:pStyle w:val="headingtitleStyle"/>
        <w:spacing w:after="0" w:line="360" w:lineRule="auto"/>
        <w:rPr>
          <w:sz w:val="24"/>
          <w:szCs w:val="24"/>
        </w:rPr>
      </w:pPr>
      <w:bookmarkStart w:id="0" w:name="_Toc1"/>
      <w:bookmarkStart w:id="1" w:name="_GoBack"/>
      <w:bookmarkEnd w:id="1"/>
      <w:r w:rsidRPr="009455B9">
        <w:rPr>
          <w:sz w:val="24"/>
          <w:szCs w:val="24"/>
        </w:rPr>
        <w:t>Ամփոփաթերթ</w:t>
      </w:r>
      <w:bookmarkEnd w:id="0"/>
    </w:p>
    <w:p w14:paraId="2B8D4F10" w14:textId="77777777" w:rsidR="007555DA" w:rsidRPr="009455B9" w:rsidRDefault="00AE5EF8" w:rsidP="00F94DB3">
      <w:pPr>
        <w:pStyle w:val="headingtitleStyle"/>
        <w:spacing w:after="0" w:line="360" w:lineRule="auto"/>
        <w:rPr>
          <w:sz w:val="24"/>
          <w:szCs w:val="24"/>
        </w:rPr>
      </w:pPr>
      <w:bookmarkStart w:id="2" w:name="_Toc2"/>
      <w:r w:rsidRPr="009455B9">
        <w:rPr>
          <w:sz w:val="24"/>
          <w:szCs w:val="24"/>
          <w:lang w:val="hy-AM"/>
        </w:rPr>
        <w:t>«</w:t>
      </w:r>
      <w:r w:rsidR="000C6C16" w:rsidRPr="009455B9">
        <w:rPr>
          <w:sz w:val="24"/>
          <w:szCs w:val="24"/>
        </w:rPr>
        <w:t>ՀԱՅԱՍՏԱՆԻ ՀԱՆՐԱՊԵՏՈՒԹՅԱՆ ԱՇԽԱՏԱՆՔԱՅԻՆ ՕՐԵՆՍԳՐՔՈՒՄ ՓՈՓՈԽՈՒԹՅՈՒՆՆԵՐ ԵՎ ԼՐԱՑՈՒՄՆԵՐ ԿԱՏԱՐԵԼՈՒ ՄԱՍԻՆ</w:t>
      </w:r>
      <w:r w:rsidRPr="009455B9">
        <w:rPr>
          <w:sz w:val="24"/>
          <w:szCs w:val="24"/>
          <w:lang w:val="hy-AM"/>
        </w:rPr>
        <w:t>»</w:t>
      </w:r>
      <w:r w:rsidR="000C6C16" w:rsidRPr="009455B9">
        <w:rPr>
          <w:sz w:val="24"/>
          <w:szCs w:val="24"/>
        </w:rPr>
        <w:t xml:space="preserve"> ՀՀ ՕՐԵՆՔԻ</w:t>
      </w:r>
      <w:r w:rsidR="001C67F6" w:rsidRPr="009455B9">
        <w:rPr>
          <w:sz w:val="24"/>
          <w:szCs w:val="24"/>
          <w:lang w:val="hy-AM"/>
        </w:rPr>
        <w:t xml:space="preserve"> </w:t>
      </w:r>
      <w:r w:rsidR="000C6C16" w:rsidRPr="009455B9">
        <w:rPr>
          <w:sz w:val="24"/>
          <w:szCs w:val="24"/>
        </w:rPr>
        <w:t>նախագծի վերաբերյալ</w:t>
      </w:r>
      <w:bookmarkEnd w:id="2"/>
    </w:p>
    <w:p w14:paraId="671EE889" w14:textId="77777777" w:rsidR="00F94DB3" w:rsidRPr="009455B9" w:rsidRDefault="00F94DB3" w:rsidP="00F94DB3">
      <w:pPr>
        <w:pStyle w:val="headingtitleStyle"/>
        <w:spacing w:after="0" w:line="360" w:lineRule="auto"/>
      </w:pPr>
    </w:p>
    <w:tbl>
      <w:tblPr>
        <w:tblW w:w="15930" w:type="dxa"/>
        <w:tblInd w:w="-901" w:type="dxa"/>
        <w:tblLayout w:type="fixed"/>
        <w:tblCellMar>
          <w:left w:w="10" w:type="dxa"/>
          <w:right w:w="10" w:type="dxa"/>
        </w:tblCellMar>
        <w:tblLook w:val="0000" w:firstRow="0" w:lastRow="0" w:firstColumn="0" w:lastColumn="0" w:noHBand="0" w:noVBand="0"/>
      </w:tblPr>
      <w:tblGrid>
        <w:gridCol w:w="540"/>
        <w:gridCol w:w="1710"/>
        <w:gridCol w:w="7110"/>
        <w:gridCol w:w="4320"/>
        <w:gridCol w:w="2250"/>
      </w:tblGrid>
      <w:tr w:rsidR="007555DA" w:rsidRPr="009455B9" w14:paraId="59976D7C" w14:textId="77777777" w:rsidTr="001D359F">
        <w:tc>
          <w:tcPr>
            <w:tcW w:w="540" w:type="dxa"/>
            <w:tcBorders>
              <w:top w:val="single" w:sz="1" w:space="0" w:color="000000"/>
              <w:left w:val="single" w:sz="1" w:space="0" w:color="000000"/>
              <w:bottom w:val="single" w:sz="1" w:space="0" w:color="000000"/>
              <w:right w:val="single" w:sz="1" w:space="0" w:color="000000"/>
            </w:tcBorders>
          </w:tcPr>
          <w:p w14:paraId="27CBB3CD"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հ/</w:t>
            </w:r>
          </w:p>
          <w:p w14:paraId="4CBD85C1"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հ</w:t>
            </w:r>
          </w:p>
        </w:tc>
        <w:tc>
          <w:tcPr>
            <w:tcW w:w="1710" w:type="dxa"/>
            <w:tcBorders>
              <w:top w:val="single" w:sz="1" w:space="0" w:color="000000"/>
              <w:left w:val="single" w:sz="1" w:space="0" w:color="000000"/>
              <w:bottom w:val="single" w:sz="1" w:space="0" w:color="000000"/>
              <w:right w:val="single" w:sz="1" w:space="0" w:color="000000"/>
            </w:tcBorders>
          </w:tcPr>
          <w:p w14:paraId="1DC1257E"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Առարկության, առաջարկության հեղինակը, ստացման ամսաթիվը</w:t>
            </w:r>
          </w:p>
        </w:tc>
        <w:tc>
          <w:tcPr>
            <w:tcW w:w="7110" w:type="dxa"/>
            <w:tcBorders>
              <w:top w:val="single" w:sz="1" w:space="0" w:color="000000"/>
              <w:left w:val="single" w:sz="1" w:space="0" w:color="000000"/>
              <w:bottom w:val="single" w:sz="1" w:space="0" w:color="000000"/>
              <w:right w:val="single" w:sz="1" w:space="0" w:color="000000"/>
            </w:tcBorders>
          </w:tcPr>
          <w:p w14:paraId="15C8073A"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Առարկության, առաջարկության բովանդակությունը</w:t>
            </w:r>
          </w:p>
        </w:tc>
        <w:tc>
          <w:tcPr>
            <w:tcW w:w="4320" w:type="dxa"/>
            <w:tcBorders>
              <w:top w:val="single" w:sz="1" w:space="0" w:color="000000"/>
              <w:left w:val="single" w:sz="1" w:space="0" w:color="000000"/>
              <w:bottom w:val="single" w:sz="1" w:space="0" w:color="000000"/>
              <w:right w:val="single" w:sz="1" w:space="0" w:color="000000"/>
            </w:tcBorders>
          </w:tcPr>
          <w:p w14:paraId="35C9F53E"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Եզրակացություն</w:t>
            </w:r>
          </w:p>
        </w:tc>
        <w:tc>
          <w:tcPr>
            <w:tcW w:w="2250" w:type="dxa"/>
            <w:tcBorders>
              <w:top w:val="single" w:sz="1" w:space="0" w:color="000000"/>
              <w:left w:val="single" w:sz="1" w:space="0" w:color="000000"/>
              <w:bottom w:val="single" w:sz="1" w:space="0" w:color="000000"/>
              <w:right w:val="single" w:sz="1" w:space="0" w:color="000000"/>
            </w:tcBorders>
          </w:tcPr>
          <w:p w14:paraId="1FD215B4"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Կատարված փոփոխությունը</w:t>
            </w:r>
          </w:p>
        </w:tc>
      </w:tr>
      <w:tr w:rsidR="007555DA" w:rsidRPr="009455B9" w14:paraId="1B68C41C" w14:textId="77777777" w:rsidTr="001D359F">
        <w:tc>
          <w:tcPr>
            <w:tcW w:w="540" w:type="dxa"/>
            <w:tcBorders>
              <w:top w:val="single" w:sz="1" w:space="0" w:color="000000"/>
              <w:left w:val="single" w:sz="1" w:space="0" w:color="000000"/>
              <w:bottom w:val="single" w:sz="1" w:space="0" w:color="000000"/>
              <w:right w:val="single" w:sz="1" w:space="0" w:color="000000"/>
            </w:tcBorders>
            <w:vAlign w:val="center"/>
          </w:tcPr>
          <w:p w14:paraId="215018BF" w14:textId="77777777" w:rsidR="007555DA" w:rsidRPr="009455B9" w:rsidRDefault="007555DA" w:rsidP="00F94DB3">
            <w:pPr>
              <w:spacing w:line="360" w:lineRule="auto"/>
              <w:jc w:val="center"/>
              <w:rPr>
                <w:rFonts w:ascii="GHEA Grapalat" w:hAnsi="GHEA Grapalat"/>
                <w:sz w:val="24"/>
                <w:szCs w:val="24"/>
              </w:rPr>
            </w:pPr>
          </w:p>
        </w:tc>
        <w:tc>
          <w:tcPr>
            <w:tcW w:w="1710" w:type="dxa"/>
            <w:tcBorders>
              <w:top w:val="single" w:sz="1" w:space="0" w:color="000000"/>
              <w:left w:val="single" w:sz="1" w:space="0" w:color="000000"/>
              <w:bottom w:val="single" w:sz="1" w:space="0" w:color="000000"/>
              <w:right w:val="single" w:sz="1" w:space="0" w:color="000000"/>
            </w:tcBorders>
            <w:vAlign w:val="center"/>
          </w:tcPr>
          <w:p w14:paraId="18D2240B"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1</w:t>
            </w:r>
          </w:p>
        </w:tc>
        <w:tc>
          <w:tcPr>
            <w:tcW w:w="7110" w:type="dxa"/>
            <w:tcBorders>
              <w:top w:val="single" w:sz="1" w:space="0" w:color="000000"/>
              <w:left w:val="single" w:sz="1" w:space="0" w:color="000000"/>
              <w:bottom w:val="single" w:sz="1" w:space="0" w:color="000000"/>
              <w:right w:val="single" w:sz="1" w:space="0" w:color="000000"/>
            </w:tcBorders>
            <w:vAlign w:val="center"/>
          </w:tcPr>
          <w:p w14:paraId="50BD6681"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2</w:t>
            </w:r>
          </w:p>
        </w:tc>
        <w:tc>
          <w:tcPr>
            <w:tcW w:w="4320" w:type="dxa"/>
            <w:tcBorders>
              <w:top w:val="single" w:sz="1" w:space="0" w:color="000000"/>
              <w:left w:val="single" w:sz="1" w:space="0" w:color="000000"/>
              <w:bottom w:val="single" w:sz="1" w:space="0" w:color="000000"/>
              <w:right w:val="single" w:sz="1" w:space="0" w:color="000000"/>
            </w:tcBorders>
            <w:vAlign w:val="center"/>
          </w:tcPr>
          <w:p w14:paraId="0D1238A9"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3</w:t>
            </w:r>
          </w:p>
        </w:tc>
        <w:tc>
          <w:tcPr>
            <w:tcW w:w="2250" w:type="dxa"/>
            <w:tcBorders>
              <w:top w:val="single" w:sz="1" w:space="0" w:color="000000"/>
              <w:left w:val="single" w:sz="1" w:space="0" w:color="000000"/>
              <w:bottom w:val="single" w:sz="1" w:space="0" w:color="000000"/>
              <w:right w:val="single" w:sz="1" w:space="0" w:color="000000"/>
            </w:tcBorders>
            <w:vAlign w:val="center"/>
          </w:tcPr>
          <w:p w14:paraId="0F145E0D"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4</w:t>
            </w:r>
          </w:p>
        </w:tc>
      </w:tr>
      <w:tr w:rsidR="007555DA" w:rsidRPr="009455B9" w14:paraId="0A6FB6E6" w14:textId="77777777" w:rsidTr="001D359F">
        <w:tc>
          <w:tcPr>
            <w:tcW w:w="540" w:type="dxa"/>
            <w:tcBorders>
              <w:top w:val="single" w:sz="1" w:space="0" w:color="000000"/>
              <w:left w:val="single" w:sz="1" w:space="0" w:color="000000"/>
              <w:bottom w:val="single" w:sz="1" w:space="0" w:color="000000"/>
              <w:right w:val="single" w:sz="1" w:space="0" w:color="000000"/>
            </w:tcBorders>
          </w:tcPr>
          <w:p w14:paraId="1D38202B"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1</w:t>
            </w:r>
          </w:p>
        </w:tc>
        <w:tc>
          <w:tcPr>
            <w:tcW w:w="1710" w:type="dxa"/>
            <w:tcBorders>
              <w:top w:val="single" w:sz="1" w:space="0" w:color="000000"/>
              <w:left w:val="single" w:sz="1" w:space="0" w:color="000000"/>
              <w:bottom w:val="single" w:sz="1" w:space="0" w:color="000000"/>
              <w:right w:val="single" w:sz="1" w:space="0" w:color="000000"/>
            </w:tcBorders>
          </w:tcPr>
          <w:p w14:paraId="0D36DBBB"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Իրավունքի զարգացման և պաշտպանության հիմնադրամ</w:t>
            </w:r>
          </w:p>
          <w:p w14:paraId="0C983AB3" w14:textId="2E5BC402"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2022 23:55:00</w:t>
            </w:r>
          </w:p>
        </w:tc>
        <w:tc>
          <w:tcPr>
            <w:tcW w:w="7110" w:type="dxa"/>
            <w:tcBorders>
              <w:top w:val="single" w:sz="1" w:space="0" w:color="000000"/>
              <w:left w:val="single" w:sz="1" w:space="0" w:color="000000"/>
              <w:bottom w:val="single" w:sz="1" w:space="0" w:color="000000"/>
              <w:right w:val="single" w:sz="1" w:space="0" w:color="000000"/>
            </w:tcBorders>
          </w:tcPr>
          <w:p w14:paraId="4710AD7C" w14:textId="15413DD8" w:rsidR="007555DA" w:rsidRPr="009455B9" w:rsidRDefault="000C6C16" w:rsidP="001D359F">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 xml:space="preserve">Նախագծի 65-րդ հոդվածով Աշխատանքային օրենսգրքի 140-րդ հոդվածում կատարվել են մի շարք փոփոխություններ, փորձ է կատարվել էապես համապատասխանեցնել նախատեսված կարգավորումները Վերանայված եվրոպական սոցիալական խարտիայի պահանջներին՝ Սոցիալական իրավունքների եվրոպական կոմիտեի հետևությունների հաշվառմամբ:  Այնուամենայնիվ, Նախագիծը շարունակում է էական հակասության մեջ գտնվել Խարտիայի պահանջների հետ՝ առանձին տարիքային կատեգորիաների երեխաների </w:t>
            </w:r>
            <w:r w:rsidRPr="009455B9">
              <w:rPr>
                <w:rFonts w:ascii="GHEA Grapalat" w:eastAsia="GHEA Grapalat" w:hAnsi="GHEA Grapalat" w:cs="GHEA Grapalat"/>
                <w:color w:val="000000"/>
                <w:sz w:val="24"/>
                <w:szCs w:val="24"/>
              </w:rPr>
              <w:lastRenderedPageBreak/>
              <w:t>համար սահմաված աշխատաժամանակի պահանջների տեսանկյունից: Աշխատաժամանակի առավելագույն չափի սահմանման համար այստեղ առանցքային կարևորություն ունի պարտադիր կրթության ենթակա երեխաների առավելագույն տարիքը, որն էլ պետք է դիտարկվի այս իրավակարգավորման ելակետը: ՀՀ-ում սահմանված է պարտադիր 12-ամյա կրթության համակարգ, հետևաբար, սույն դեպքում 15 տարին որպես կարգավորման ելակետ դիտարկելը իրավաչափ չէ:   Արձանագրենք նաև, որ Կոմիտեն իր 2015 թվականի հետևություններով (http://hudoc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esc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coe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int/eng?i=2015/def/ARM/7/3/EN) անդրադարձել է Աշխատանքային օրենսգրքի 140-րդ հոդվածով սահմանված՝ երեխաների համար աշխատաժամանակի տևողության հարցին: 14 տարեկան երեխաների համար սահմանված աշխատաժամանակի տևողությունը՝ շաբաթական մինչև 24 ժամ, գնահատվել է Խարտիայի պահանջներին հակասող, քանի որ նման տևողությամբ աշխատանքը չի համարվել թեթև բնույթի աշխատանք: 2019 թվականի հետևություններով </w:t>
            </w:r>
            <w:r w:rsidRPr="009455B9">
              <w:rPr>
                <w:rFonts w:ascii="GHEA Grapalat" w:eastAsia="GHEA Grapalat" w:hAnsi="GHEA Grapalat" w:cs="GHEA Grapalat"/>
                <w:color w:val="000000"/>
                <w:sz w:val="24"/>
                <w:szCs w:val="24"/>
              </w:rPr>
              <w:lastRenderedPageBreak/>
              <w:t>անդրադառնալով ՀՀ աշխատանքային օրենսգրքում 2015 թվականին կատարված փոփոխություններին՝  Կոմիտեն (http://hudoc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esc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coe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int/eng?i=2019/def/ARM/7/1/EN) արձանագրել է, որ 15-ից ցածր տարիքի և պարտադիր կրթության ենթակա երեխաները կարող են կատարել միայն թեթև աշխատանք, աշխատանքի բնույթը դադարում է թեթև լինելուց, եթե դրա տևողությունը չափազանց երկար է: Կոմիտեն գտել է, որ այն իրավիճակները, երբ երեխաները թեթև բնույթի աշխատանք են կատարում երկու ժամ տևողությամբ՝ դպրոցական օրվա ընթացքում և 12 ժամ՝ շաբաթական՝ դպրոց հաճախելու ժամանակահատվածից դուրս, համապատասխանում է Խարտիայի 7-րդ հոդվածի 3-րդ մասի պահանջներին: Կոմիտեն արձանագրել է նաև, որ այն իրավիճակները, երբ 15 տարեկանից ցածր երեխան աշխատում է շաբաթական 20-25 ժամ դպրոցական կիսամյակի ընթացքում կամ երեքական ժամ դպրոցական օրվա ընթացքում կամ վեցից ութ ժամ շաբաթվա այն օրերին, երբ չի հաճախում դպրոց, հակասում է Խարտիայի պահանջներին: Հաշվի առնելով 12-14 տարեկան երեխաների </w:t>
            </w:r>
            <w:r w:rsidRPr="009455B9">
              <w:rPr>
                <w:rFonts w:ascii="GHEA Grapalat" w:eastAsia="GHEA Grapalat" w:hAnsi="GHEA Grapalat" w:cs="GHEA Grapalat"/>
                <w:color w:val="000000"/>
                <w:sz w:val="24"/>
                <w:szCs w:val="24"/>
              </w:rPr>
              <w:lastRenderedPageBreak/>
              <w:t>աշխատաժամանակի օրական տևողությունը և շաբաթական տևողությունը 14-16 տարեկան երեխաների համար՝ Կոմիտեն արձանագրել է անհամապատասխանություն Խարտիայի պահանջների հետ:   Հարկ ենք համարում արձանագրել նաև, որ Կոմիտեն իր 2015 թվականի հետևություններով (https://hudoc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esc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coe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int/eng?i=2015/def/ARM/7/3/EN) հստակ հարցադրումներ էր կատարել կառավարությանը՝ պարտադիր կրթությունը ավարտելու տարիքի առնչությամբ՝ ՀՀ-ում համապատասխան ժամանահատվածում գործող կրթական համակարգի համատեքստում, պայմանավորելով առավելագույն աշխատաժամանակի իրավաչափությունը պարտադիր կրթության տարիքի հետ, իսկ հետևություններով Խարտիայի պահանջների հետ աշխատանքային օրենսգրքի անհամապատասխանությունը արձանագրվել էր պարտադիր կրթության ենթակա երեխայի ելակետային հիմքով:</w:t>
            </w:r>
          </w:p>
        </w:tc>
        <w:tc>
          <w:tcPr>
            <w:tcW w:w="4320" w:type="dxa"/>
            <w:tcBorders>
              <w:top w:val="single" w:sz="1" w:space="0" w:color="000000"/>
              <w:left w:val="single" w:sz="1" w:space="0" w:color="000000"/>
              <w:bottom w:val="single" w:sz="1" w:space="0" w:color="000000"/>
              <w:right w:val="single" w:sz="1" w:space="0" w:color="000000"/>
            </w:tcBorders>
          </w:tcPr>
          <w:p w14:paraId="65DC3A52" w14:textId="086C5230" w:rsidR="007555DA" w:rsidRPr="009455B9" w:rsidRDefault="000C6C16" w:rsidP="001D359F">
            <w:pPr>
              <w:spacing w:line="360" w:lineRule="auto"/>
              <w:ind w:left="76" w:right="75" w:firstLine="270"/>
              <w:jc w:val="both"/>
              <w:rPr>
                <w:rFonts w:ascii="GHEA Grapalat" w:hAnsi="GHEA Grapalat"/>
                <w:sz w:val="24"/>
                <w:szCs w:val="24"/>
              </w:rPr>
            </w:pPr>
            <w:r w:rsidRPr="009455B9">
              <w:rPr>
                <w:rFonts w:ascii="GHEA Grapalat" w:eastAsia="GHEA Grapalat" w:hAnsi="GHEA Grapalat" w:cs="GHEA Grapalat"/>
                <w:color w:val="000000"/>
                <w:sz w:val="24"/>
                <w:szCs w:val="24"/>
              </w:rPr>
              <w:lastRenderedPageBreak/>
              <w:t xml:space="preserve">Առաջարկը չի ընդունվել։ «Հայաստանի Հանրապետության աշխատանքային օրենսգրքում փոփոխություններ և լրացումներ կատարելու մասին» ՀՀ օրենքի նախագծի (այսուհետ նաև՝ Նախագիծ)  սկզբնական տարբերակով մինչև տասնչորս տարեկան երեխաների </w:t>
            </w:r>
            <w:r w:rsidRPr="009455B9">
              <w:rPr>
                <w:rFonts w:ascii="GHEA Grapalat" w:eastAsia="GHEA Grapalat" w:hAnsi="GHEA Grapalat" w:cs="GHEA Grapalat"/>
                <w:color w:val="000000"/>
                <w:sz w:val="24"/>
                <w:szCs w:val="24"/>
              </w:rPr>
              <w:lastRenderedPageBreak/>
              <w:t>աշխատանքին վերաբերող կարգավորումները ուժը կորցրած էին ճանաչվել, սակայն, հետագայում հաշվի առնելով Աշխատանքի միջազգային կազմակերպության դիտարկումները, առ այն, որ Բյուրոն առաջարկում է թողնել Աշխատանքային օրենսգրքի (այսուհետ՝ Օրենսգիրք) այն դրույթները, որոնք կարգավորում են մինչև 14 տարեկան երեխաների մասնակցությունը հատկապես դերասանական ելույթներին՝ ըստ 1973թ</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Նվազագույն տարիքի մասին կոնվենցիայի 8-րդ հոդվածի 1-ին մասի (թիվ 138), մինչև 14 տարեկան անձանց որոշակի աշխատանքների իրականացնելու հնարավորությունը պահպանվել է։ Ինչ վերաբերում է </w:t>
            </w:r>
            <w:r w:rsidRPr="009455B9">
              <w:rPr>
                <w:rFonts w:ascii="GHEA Grapalat" w:eastAsia="GHEA Grapalat" w:hAnsi="GHEA Grapalat" w:cs="GHEA Grapalat"/>
                <w:color w:val="000000"/>
                <w:sz w:val="24"/>
                <w:szCs w:val="24"/>
              </w:rPr>
              <w:lastRenderedPageBreak/>
              <w:t>մինչև 18 տարեկան անձանց աշխատաժամանակի տևողությանը, ապա այս մասով նշենք որ նախագծով տրված Օրենսգրքի 140-րդ հոդվածի փոփոխություններն իրականացվել են՝ հաշվի առնելով Աշխատանքի միջազգային կազմակերպության կողմից տրված եզրակացությունները։</w:t>
            </w:r>
          </w:p>
        </w:tc>
        <w:tc>
          <w:tcPr>
            <w:tcW w:w="2250" w:type="dxa"/>
            <w:tcBorders>
              <w:top w:val="single" w:sz="1" w:space="0" w:color="000000"/>
              <w:left w:val="single" w:sz="1" w:space="0" w:color="000000"/>
              <w:bottom w:val="single" w:sz="1" w:space="0" w:color="000000"/>
              <w:right w:val="single" w:sz="1" w:space="0" w:color="000000"/>
            </w:tcBorders>
          </w:tcPr>
          <w:p w14:paraId="4CB6588B" w14:textId="77777777" w:rsidR="007555DA" w:rsidRPr="009455B9" w:rsidRDefault="007555DA" w:rsidP="001D359F">
            <w:pPr>
              <w:spacing w:line="360" w:lineRule="auto"/>
              <w:jc w:val="both"/>
              <w:rPr>
                <w:rFonts w:ascii="GHEA Grapalat" w:hAnsi="GHEA Grapalat"/>
                <w:sz w:val="24"/>
                <w:szCs w:val="24"/>
              </w:rPr>
            </w:pPr>
          </w:p>
        </w:tc>
      </w:tr>
      <w:tr w:rsidR="007555DA" w:rsidRPr="009455B9" w14:paraId="7783A367" w14:textId="77777777" w:rsidTr="001D359F">
        <w:tc>
          <w:tcPr>
            <w:tcW w:w="540" w:type="dxa"/>
            <w:tcBorders>
              <w:top w:val="single" w:sz="1" w:space="0" w:color="000000"/>
              <w:left w:val="single" w:sz="1" w:space="0" w:color="000000"/>
              <w:bottom w:val="single" w:sz="1" w:space="0" w:color="000000"/>
              <w:right w:val="single" w:sz="1" w:space="0" w:color="000000"/>
            </w:tcBorders>
          </w:tcPr>
          <w:p w14:paraId="7AC84654"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lastRenderedPageBreak/>
              <w:t>2</w:t>
            </w:r>
          </w:p>
        </w:tc>
        <w:tc>
          <w:tcPr>
            <w:tcW w:w="1710" w:type="dxa"/>
            <w:tcBorders>
              <w:top w:val="single" w:sz="1" w:space="0" w:color="000000"/>
              <w:left w:val="single" w:sz="1" w:space="0" w:color="000000"/>
              <w:bottom w:val="single" w:sz="1" w:space="0" w:color="000000"/>
              <w:right w:val="single" w:sz="1" w:space="0" w:color="000000"/>
            </w:tcBorders>
          </w:tcPr>
          <w:p w14:paraId="703F0E3B"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 xml:space="preserve">Հելսինկյան Քաղաքացիական Ասամբլեայի </w:t>
            </w:r>
            <w:r w:rsidRPr="009455B9">
              <w:rPr>
                <w:rFonts w:ascii="GHEA Grapalat" w:eastAsia="GHEA Grapalat" w:hAnsi="GHEA Grapalat" w:cs="GHEA Grapalat"/>
                <w:color w:val="000000"/>
                <w:sz w:val="24"/>
                <w:szCs w:val="24"/>
              </w:rPr>
              <w:lastRenderedPageBreak/>
              <w:t>Վանաձորի գրասենյակ</w:t>
            </w:r>
          </w:p>
          <w:p w14:paraId="3E11E83E" w14:textId="2E93C1B6"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50076146" w14:textId="3E8D9339" w:rsidR="007555DA" w:rsidRPr="009455B9" w:rsidRDefault="000C6C16" w:rsidP="001D359F">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lastRenderedPageBreak/>
              <w:t>Նախագծի նույն հոդվածով առաջարկվում է Օրենսգրքի 265-րդ հոդվածը շարադրել հետևյալ խմբագրությամբ</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Աշխատանքի պայմանների փոփոխման կամ աշխատանքային հարաբերությունների դադարեցման հետ համաձայն չլինելու </w:t>
            </w:r>
            <w:r w:rsidRPr="009455B9">
              <w:rPr>
                <w:rFonts w:ascii="GHEA Grapalat" w:eastAsia="GHEA Grapalat" w:hAnsi="GHEA Grapalat" w:cs="GHEA Grapalat"/>
                <w:color w:val="000000"/>
                <w:sz w:val="24"/>
                <w:szCs w:val="24"/>
              </w:rPr>
              <w:lastRenderedPageBreak/>
              <w:t>կամ աշխատանքային պայմանագրով սահմանված իր իրավունքների առերևույթ խախտման այլ դեպքերում, աշխատողն իրավունք ունի դիմելու դատարան՝ (…): Նախագծով հիմնավորված չէ, թե աշխատողի դատարան դիմելու իրավունքն ինչու՞ է պայմանավորվել աշխատանքային իրավունքների առերևույթ խախտումով: Ավելին, Նախագծով չեն սահմանվում, թե որո՞նք են աշխատանքային պայմանագրով սահմանված աշխատողի իրավունքների առերևույթ և ոչ առերևույթ խախտումնեը</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աշխատողի կողմից իր աշխատանքային իրավունքների պաշտպանության համար դատարան դիմելու իրավունքը որևէ հիմնավորմամբ չի կարող պայմանավորվել խախտման՝ առերևույթ կամ ոչ առերևույթ լինելու հանգամանքից:  Ուստի, առաջարկում ենք լրացնել Նախագծի 124-րդ հոդվածը՝ աշխատողի համար դատարան դիմելու հնարավորություն սահմանելով նաև միջազգային պայմանագրերով, աշխատանքային օրենսդրությամբ, ինչպես նաև կոլեկտիվ պայմանագրով սահմանված իր իրավունքների խախտման այլ դեպքերում։</w:t>
            </w:r>
          </w:p>
        </w:tc>
        <w:tc>
          <w:tcPr>
            <w:tcW w:w="4320" w:type="dxa"/>
            <w:tcBorders>
              <w:top w:val="single" w:sz="1" w:space="0" w:color="000000"/>
              <w:left w:val="single" w:sz="1" w:space="0" w:color="000000"/>
              <w:bottom w:val="single" w:sz="1" w:space="0" w:color="000000"/>
              <w:right w:val="single" w:sz="1" w:space="0" w:color="000000"/>
            </w:tcBorders>
          </w:tcPr>
          <w:p w14:paraId="462B9099" w14:textId="77777777" w:rsidR="007555DA" w:rsidRPr="009455B9" w:rsidRDefault="000C6C16" w:rsidP="001D359F">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lastRenderedPageBreak/>
              <w:t xml:space="preserve">Առաջարկն ընդունվել է մասամբ։ Միաժամանակ հարկ է նկատել, որ ՀՀ աշխատանքային օրենսգրքի 38-րդ հոդվածի 1-ին մասի համաձայն՝ </w:t>
            </w:r>
            <w:r w:rsidRPr="009455B9">
              <w:rPr>
                <w:rFonts w:ascii="GHEA Grapalat" w:eastAsia="GHEA Grapalat" w:hAnsi="GHEA Grapalat" w:cs="GHEA Grapalat"/>
                <w:color w:val="000000"/>
                <w:sz w:val="24"/>
                <w:szCs w:val="24"/>
              </w:rPr>
              <w:lastRenderedPageBreak/>
              <w:t>աշխատանքային իրավունքների պաշտպանությունը, Հայաստանի Հանրապետության քաղաքացիական դատավարության օրենսգրքով սահմանված գործերի ենթակայությանը համապատասխան, իրականացնում է դատարանը: Հետևաբար, աշխատողն իր աշխատանքային իրավունքների ցանկացած խախտման պարագայում իր աշխատանքային իրավունքների պաշտպանության համար ամեն դեպքում կարող է դիմել դատարան։ Նախագծով առաջարկվող  Օրենսգրքի 265-րդ հոդվածի   նոր խմբագրումից հանվել 1-ին մասի 3-րդ կետի կարգավորումը։</w:t>
            </w:r>
          </w:p>
        </w:tc>
        <w:tc>
          <w:tcPr>
            <w:tcW w:w="2250" w:type="dxa"/>
            <w:tcBorders>
              <w:top w:val="single" w:sz="1" w:space="0" w:color="000000"/>
              <w:left w:val="single" w:sz="1" w:space="0" w:color="000000"/>
              <w:bottom w:val="single" w:sz="1" w:space="0" w:color="000000"/>
              <w:right w:val="single" w:sz="1" w:space="0" w:color="000000"/>
            </w:tcBorders>
          </w:tcPr>
          <w:p w14:paraId="10571314" w14:textId="77777777" w:rsidR="007555DA" w:rsidRPr="009455B9" w:rsidRDefault="007555DA" w:rsidP="001D359F">
            <w:pPr>
              <w:spacing w:line="360" w:lineRule="auto"/>
              <w:ind w:left="76" w:right="165" w:firstLine="180"/>
              <w:jc w:val="both"/>
              <w:rPr>
                <w:rFonts w:ascii="GHEA Grapalat" w:hAnsi="GHEA Grapalat"/>
                <w:sz w:val="24"/>
                <w:szCs w:val="24"/>
              </w:rPr>
            </w:pPr>
          </w:p>
        </w:tc>
      </w:tr>
      <w:tr w:rsidR="007555DA" w:rsidRPr="009455B9" w14:paraId="2C79D1FB" w14:textId="77777777" w:rsidTr="001D359F">
        <w:tc>
          <w:tcPr>
            <w:tcW w:w="540" w:type="dxa"/>
            <w:tcBorders>
              <w:top w:val="single" w:sz="1" w:space="0" w:color="000000"/>
              <w:left w:val="single" w:sz="1" w:space="0" w:color="000000"/>
              <w:bottom w:val="single" w:sz="1" w:space="0" w:color="000000"/>
              <w:right w:val="single" w:sz="1" w:space="0" w:color="000000"/>
            </w:tcBorders>
          </w:tcPr>
          <w:p w14:paraId="1020AF04"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lastRenderedPageBreak/>
              <w:t>3</w:t>
            </w:r>
          </w:p>
        </w:tc>
        <w:tc>
          <w:tcPr>
            <w:tcW w:w="1710" w:type="dxa"/>
            <w:tcBorders>
              <w:top w:val="single" w:sz="1" w:space="0" w:color="000000"/>
              <w:left w:val="single" w:sz="1" w:space="0" w:color="000000"/>
              <w:bottom w:val="single" w:sz="1" w:space="0" w:color="000000"/>
              <w:right w:val="single" w:sz="1" w:space="0" w:color="000000"/>
            </w:tcBorders>
          </w:tcPr>
          <w:p w14:paraId="50E6E506"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44ECF657" w14:textId="35695B04"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51B3354E" w14:textId="06A75A74" w:rsidR="007555DA" w:rsidRPr="009455B9" w:rsidRDefault="000C6C16" w:rsidP="001D359F">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124-րդ հոդվածով առաջարկվում է փոփոխություն կատարել Օրենսգրքի 265-րդ հոդվածում։ Նախագծի ուսումնասիրությունը ցույց է տալիս, որ հոդվածի վերնագիրը դարձյալ փոփոխության չի ենթարկվել՝ «Աշխատանքային պայմանագրի վերաբերյալ վեճերը», ինչի արդյունքում շարունակվելու է պրակտիկայում առկա այն իրավիճակը, երբ աշխատողն իր աշխատանքային իրավունքների խախտման ոչ բոլոր դեպքերում է հնարավորություն ունենալու դիմել դատական պաշտպանության, սահմանափակվելով միայն դատարանում վիճարկել աշխատանքային այն իրավունքների խախտումները, որոնք վերաբերում են կողմերի միջև կնքված աշխատանքային պայմանագրում սահմանված պայմաններին։   Հետևաբար, առաջարկում ենք Օրենսգրքի 265-րդ հոդվածի վերնագիրը շարադրել հետևյալ կերպ</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«Աշխատանքային վեճերի կարգավորումը»։</w:t>
            </w:r>
          </w:p>
        </w:tc>
        <w:tc>
          <w:tcPr>
            <w:tcW w:w="4320" w:type="dxa"/>
            <w:tcBorders>
              <w:top w:val="single" w:sz="1" w:space="0" w:color="000000"/>
              <w:left w:val="single" w:sz="1" w:space="0" w:color="000000"/>
              <w:bottom w:val="single" w:sz="1" w:space="0" w:color="000000"/>
              <w:right w:val="single" w:sz="1" w:space="0" w:color="000000"/>
            </w:tcBorders>
          </w:tcPr>
          <w:p w14:paraId="6310D909" w14:textId="77777777" w:rsidR="007555DA" w:rsidRPr="009455B9" w:rsidRDefault="000C6C16" w:rsidP="001D359F">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Օրենսգրքի 38-րդ հոդվածի 1-ին մասի համաձայն՝ աշխատանքային իրավունքների պաշտպանությունը, Հայաստանի Հանրապետության քաղաքացիական դատավարության օրենսգրքով սահմանված գործերի ենթակայությանը համապատասխան, իրականացնում է դատարանը: Հետևաբար, աշխատողն իր աշխատանքային իրավունքների ցանկացած խախտման պարագայում իր աշխատանքային իրավունքների պաշտպանության համար ամեն դեպքում կարող է դիմել դատարան։</w:t>
            </w:r>
          </w:p>
        </w:tc>
        <w:tc>
          <w:tcPr>
            <w:tcW w:w="2250" w:type="dxa"/>
            <w:tcBorders>
              <w:top w:val="single" w:sz="1" w:space="0" w:color="000000"/>
              <w:left w:val="single" w:sz="1" w:space="0" w:color="000000"/>
              <w:bottom w:val="single" w:sz="1" w:space="0" w:color="000000"/>
              <w:right w:val="single" w:sz="1" w:space="0" w:color="000000"/>
            </w:tcBorders>
          </w:tcPr>
          <w:p w14:paraId="18631719" w14:textId="77777777" w:rsidR="007555DA" w:rsidRPr="009455B9" w:rsidRDefault="007555DA" w:rsidP="001D359F">
            <w:pPr>
              <w:spacing w:line="360" w:lineRule="auto"/>
              <w:ind w:left="76" w:right="165" w:firstLine="180"/>
              <w:jc w:val="both"/>
              <w:rPr>
                <w:rFonts w:ascii="GHEA Grapalat" w:hAnsi="GHEA Grapalat"/>
                <w:sz w:val="24"/>
                <w:szCs w:val="24"/>
              </w:rPr>
            </w:pPr>
          </w:p>
        </w:tc>
      </w:tr>
      <w:tr w:rsidR="007555DA" w:rsidRPr="009455B9" w14:paraId="117A059A" w14:textId="77777777" w:rsidTr="001D359F">
        <w:tc>
          <w:tcPr>
            <w:tcW w:w="540" w:type="dxa"/>
            <w:tcBorders>
              <w:top w:val="single" w:sz="1" w:space="0" w:color="000000"/>
              <w:left w:val="single" w:sz="1" w:space="0" w:color="000000"/>
              <w:bottom w:val="single" w:sz="1" w:space="0" w:color="000000"/>
              <w:right w:val="single" w:sz="1" w:space="0" w:color="000000"/>
            </w:tcBorders>
          </w:tcPr>
          <w:p w14:paraId="587950FD"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4</w:t>
            </w:r>
          </w:p>
        </w:tc>
        <w:tc>
          <w:tcPr>
            <w:tcW w:w="1710" w:type="dxa"/>
            <w:tcBorders>
              <w:top w:val="single" w:sz="1" w:space="0" w:color="000000"/>
              <w:left w:val="single" w:sz="1" w:space="0" w:color="000000"/>
              <w:bottom w:val="single" w:sz="1" w:space="0" w:color="000000"/>
              <w:right w:val="single" w:sz="1" w:space="0" w:color="000000"/>
            </w:tcBorders>
          </w:tcPr>
          <w:p w14:paraId="4124ECB3"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 xml:space="preserve">Հելսինկյան Քաղաքացիական </w:t>
            </w:r>
            <w:r w:rsidRPr="009455B9">
              <w:rPr>
                <w:rFonts w:ascii="GHEA Grapalat" w:eastAsia="GHEA Grapalat" w:hAnsi="GHEA Grapalat" w:cs="GHEA Grapalat"/>
                <w:color w:val="000000"/>
                <w:sz w:val="24"/>
                <w:szCs w:val="24"/>
              </w:rPr>
              <w:lastRenderedPageBreak/>
              <w:t>Ասամբլեայի Վանաձորի գրասենյակ</w:t>
            </w:r>
          </w:p>
          <w:p w14:paraId="4099735B" w14:textId="78B08F45"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59EB4C37" w14:textId="1FE4FC86" w:rsidR="007555DA" w:rsidRPr="009455B9" w:rsidRDefault="000C6C16" w:rsidP="001D359F">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lastRenderedPageBreak/>
              <w:t xml:space="preserve">Նախագծի 100-րդ հոդվածով առաջարկվում է Օրենսգրքի 216-րդ հոդվածը «անվտանգության կանոնները, » բառից հետո լրացնել «սույն օրենսգրքով, Հայաստանի </w:t>
            </w:r>
            <w:r w:rsidRPr="009455B9">
              <w:rPr>
                <w:rFonts w:ascii="GHEA Grapalat" w:eastAsia="GHEA Grapalat" w:hAnsi="GHEA Grapalat" w:cs="GHEA Grapalat"/>
                <w:color w:val="000000"/>
                <w:sz w:val="24"/>
                <w:szCs w:val="24"/>
              </w:rPr>
              <w:lastRenderedPageBreak/>
              <w:t xml:space="preserve">Հանրապետության այլ օրենքներով և աշխատանքային պայմանագրով սահմանված դեպքերում և կարգով օգտվել ամենամյա արձակուրդ ստանալու իր իրավունքից, » բառերով, իսկ «գործատուին» բառից հետո լրացնել «, իրականացնել Հայաստանի Հանրապետության օրենքներով, այլ նորմատիվ իրավական ակտերով, աշխատանքային պայմանագրով (կամ աշխատանքի ընդունման մասին անհատական իրավական ակտով), պաշտոնի անձնագրով, գործատուի ներքին և անհատական իրավական ակտերով իրեն վերապահված գործառույթները» բառերով:         </w:t>
            </w:r>
            <w:r w:rsidRPr="009455B9">
              <w:rPr>
                <w:rFonts w:ascii="GHEA Grapalat" w:eastAsia="GHEA Grapalat" w:hAnsi="GHEA Grapalat" w:cs="GHEA Grapalat"/>
                <w:color w:val="000000"/>
                <w:sz w:val="24"/>
                <w:szCs w:val="24"/>
              </w:rPr>
              <w:tab/>
              <w:t>Առաջարկվող փոփոխության Օրենսգրքով ամրագրվելու դեպքում ստացվելու է, որ ամենամյա վճարովի արձակուրդից օգտվելու աշխատողի իրավունքը նաև աշխատողի պարտականությունն է, իսկ նման պարտականությունը չկատարելու դեպքում աշխատողը կարող է ենթարկվել կարգապահական պատասխանատվության</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առաջարկի ընդունման դեպքում Օրենսգրքի 220-րդ հոդվածի 1-ին մասի հիման վրա գործատուն հնարավորություն կունենա աշխատողին ենթարկել կարգապահական պատասխանատվության՝ աշխատողի կողմից իր արձակուրդի </w:t>
            </w:r>
            <w:r w:rsidRPr="009455B9">
              <w:rPr>
                <w:rFonts w:ascii="GHEA Grapalat" w:eastAsia="GHEA Grapalat" w:hAnsi="GHEA Grapalat" w:cs="GHEA Grapalat"/>
                <w:color w:val="000000"/>
                <w:sz w:val="24"/>
                <w:szCs w:val="24"/>
              </w:rPr>
              <w:lastRenderedPageBreak/>
              <w:t>իրավունքից չօգտվելու հիմքով։ Մինչդեռ, ինչպես ՀՀ-ի կողմից վավերացրած միջազգային փաստաթղթերով, այնպես էլ ներպետական օրենսդրությամբ երաշխավորվում է աշխատողի՝ ամենամյա վճարովի արձակուրդ ունենալու իրավունքը, որի ապահովման պարտականությունը կրում է գործատուն։ Մասնավորապես, Խարտիայի 2-րդ հոդվածը աշխատանքի արդար պայմանների իրավունքի հետ միաժամանակ ներառում է նաև աշխատողի վճարովի արձակուրդի իրավունքից օգտվելու ապահովումը (https://www</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arlis</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am/DocumentView</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aspx?docid=24230), իսկ «Վճարովի արձակուրդների մասին» (վերանայված) կոնվենցիայի 3-րդ հոդվածի 1-ին մասի համաձայն՝ յուրաքանչյուր անձ, ում նկատմամբ կիրառվում է սույն Կոնվենցիան, ունի ամենամյա վճարովի արձակուրդի իրավունք` սահմանված նվազագույն տևողությամբ : Ամենամյա վճարովի արձակուրդի իրավունքն ամրագրված է նաև ՀՀ Սահմանադրության 82-րդ հոդվածով, համաձայն որի՝ յուրաքանչյուր աշխատող, օրենքին համապատասխան, ունի առողջ, անվտանգ և արժանապատիվ աշխատանքային </w:t>
            </w:r>
            <w:r w:rsidRPr="009455B9">
              <w:rPr>
                <w:rFonts w:ascii="GHEA Grapalat" w:eastAsia="GHEA Grapalat" w:hAnsi="GHEA Grapalat" w:cs="GHEA Grapalat"/>
                <w:color w:val="000000"/>
                <w:sz w:val="24"/>
                <w:szCs w:val="24"/>
              </w:rPr>
              <w:lastRenderedPageBreak/>
              <w:t xml:space="preserve">պայմանների, առավելագույն աշխատաժամանակի սահմանափակման, ամենօրյա և շաբաթական հանգստի, ինչպես նաև ամենամյա վճարովի արձակուրդի իրավունք:         </w:t>
            </w:r>
            <w:r w:rsidRPr="009455B9">
              <w:rPr>
                <w:rFonts w:ascii="GHEA Grapalat" w:eastAsia="GHEA Grapalat" w:hAnsi="GHEA Grapalat" w:cs="GHEA Grapalat"/>
                <w:color w:val="000000"/>
                <w:sz w:val="24"/>
                <w:szCs w:val="24"/>
              </w:rPr>
              <w:tab/>
              <w:t>Ինչ վերաբերում է Նախագծի 100-րդ հոդվածով առաջարկվող մյուս փոփոխությանը, ապա հարկ է նշել, որ Օրենսգրքի 216-րդ հոդվածը որպես աշխատողի պարտականություն սահմանում է նաև աշխատանքային կարգապահության կատարումը, որը, համաձայն Օրենսգրքի 218-րդ հոդվածի 1-ին մասի,  պարտավոր են պահպանել բոլոր աշխատողները:         Հաշվի առնելով վերոգրյալը, առաջարկում ենք Նախագծից հանել 100-րդ հոդվածը։</w:t>
            </w:r>
          </w:p>
        </w:tc>
        <w:tc>
          <w:tcPr>
            <w:tcW w:w="4320" w:type="dxa"/>
            <w:tcBorders>
              <w:top w:val="single" w:sz="1" w:space="0" w:color="000000"/>
              <w:left w:val="single" w:sz="1" w:space="0" w:color="000000"/>
              <w:bottom w:val="single" w:sz="1" w:space="0" w:color="000000"/>
              <w:right w:val="single" w:sz="1" w:space="0" w:color="000000"/>
            </w:tcBorders>
          </w:tcPr>
          <w:p w14:paraId="32D7B1DF" w14:textId="77777777" w:rsidR="007555DA" w:rsidRPr="009455B9" w:rsidRDefault="000C6C16" w:rsidP="001D359F">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lastRenderedPageBreak/>
              <w:t xml:space="preserve">Առաջարկը չի ընդունվել։ Նման կարգավորում ամրագրելու նպատակը աշխատողի ամենամյա </w:t>
            </w:r>
            <w:r w:rsidRPr="009455B9">
              <w:rPr>
                <w:rFonts w:ascii="GHEA Grapalat" w:eastAsia="GHEA Grapalat" w:hAnsi="GHEA Grapalat" w:cs="GHEA Grapalat"/>
                <w:color w:val="000000"/>
                <w:sz w:val="24"/>
                <w:szCs w:val="24"/>
              </w:rPr>
              <w:lastRenderedPageBreak/>
              <w:t>արձակուրդի (հանգստանալու և աշխատունակությունը վերականգնելու) իրավունքի ապահովման համար հիմքերի ամրագրումն է։  Միաժամանակ հարկ է նկատել, որ նախագծով ամրագրվել է նաև, որ ՀՀ աշխատանքային օրենսգրքով սահմանված համապատասխան ժամկետում ամենամյա արձակուրդը կամ ամենամյա արձակուրդի տեղափոխված մասն աշխատողին չտրամադրելու դեպքում գործատուի կողմից աշխատողին տուժանք վճարելու պահանջ, բացառությամբ Օրենսգրքով նախատեսված որոշակի դեպքերի:</w:t>
            </w:r>
          </w:p>
        </w:tc>
        <w:tc>
          <w:tcPr>
            <w:tcW w:w="2250" w:type="dxa"/>
            <w:tcBorders>
              <w:top w:val="single" w:sz="1" w:space="0" w:color="000000"/>
              <w:left w:val="single" w:sz="1" w:space="0" w:color="000000"/>
              <w:bottom w:val="single" w:sz="1" w:space="0" w:color="000000"/>
              <w:right w:val="single" w:sz="1" w:space="0" w:color="000000"/>
            </w:tcBorders>
          </w:tcPr>
          <w:p w14:paraId="17CF9453" w14:textId="77777777" w:rsidR="007555DA" w:rsidRPr="009455B9" w:rsidRDefault="007555DA" w:rsidP="001D359F">
            <w:pPr>
              <w:spacing w:line="360" w:lineRule="auto"/>
              <w:ind w:left="76" w:right="165" w:firstLine="180"/>
              <w:jc w:val="both"/>
              <w:rPr>
                <w:rFonts w:ascii="GHEA Grapalat" w:hAnsi="GHEA Grapalat"/>
                <w:sz w:val="24"/>
                <w:szCs w:val="24"/>
              </w:rPr>
            </w:pPr>
          </w:p>
        </w:tc>
      </w:tr>
      <w:tr w:rsidR="007555DA" w:rsidRPr="009455B9" w14:paraId="49690DDB" w14:textId="77777777" w:rsidTr="001D359F">
        <w:tc>
          <w:tcPr>
            <w:tcW w:w="540" w:type="dxa"/>
            <w:tcBorders>
              <w:top w:val="single" w:sz="1" w:space="0" w:color="000000"/>
              <w:left w:val="single" w:sz="1" w:space="0" w:color="000000"/>
              <w:bottom w:val="single" w:sz="1" w:space="0" w:color="000000"/>
              <w:right w:val="single" w:sz="1" w:space="0" w:color="000000"/>
            </w:tcBorders>
          </w:tcPr>
          <w:p w14:paraId="1135A96F"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lastRenderedPageBreak/>
              <w:t>5</w:t>
            </w:r>
          </w:p>
        </w:tc>
        <w:tc>
          <w:tcPr>
            <w:tcW w:w="1710" w:type="dxa"/>
            <w:tcBorders>
              <w:top w:val="single" w:sz="1" w:space="0" w:color="000000"/>
              <w:left w:val="single" w:sz="1" w:space="0" w:color="000000"/>
              <w:bottom w:val="single" w:sz="1" w:space="0" w:color="000000"/>
              <w:right w:val="single" w:sz="1" w:space="0" w:color="000000"/>
            </w:tcBorders>
          </w:tcPr>
          <w:p w14:paraId="52B1BB8C"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0774DADB" w14:textId="3CFCDBB9"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lastRenderedPageBreak/>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28FCB3BD" w14:textId="55681902" w:rsidR="007555DA" w:rsidRPr="009455B9" w:rsidRDefault="000C6C16" w:rsidP="001D359F">
            <w:pPr>
              <w:spacing w:line="360" w:lineRule="auto"/>
              <w:ind w:left="16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lastRenderedPageBreak/>
              <w:t>Նախագծի 94-րդ հոդվածով առաջարկվում է՝ Օրենսգիրքը լրացնել նոր՝ 201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2-րդ և 201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3-րդ հոդվածներով:  Համաձայն 201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հոդվածի 5-րդ մասի՝ լրացուցիչ մասնագիտական ուսուցումից հետո, մասնագիտական ուսուցման մասին պայմանագրով (համաձայնագրով) նախատեսված ժամանակահատվածում գործատուի մոտ աշխատելու պարտականությունն իր մեղքով չկատարելու դեպքում, լրացուցիչ մասնագիտական ուսուցում անցած անձը </w:t>
            </w:r>
            <w:r w:rsidRPr="009455B9">
              <w:rPr>
                <w:rFonts w:ascii="GHEA Grapalat" w:eastAsia="GHEA Grapalat" w:hAnsi="GHEA Grapalat" w:cs="GHEA Grapalat"/>
                <w:color w:val="000000"/>
                <w:sz w:val="24"/>
                <w:szCs w:val="24"/>
              </w:rPr>
              <w:lastRenderedPageBreak/>
              <w:t>պարտավոր է մասնագիտական ուսուցման մասին պայմանագրով (համաձայնագրով) նախատեսված կարգով ու պայմաններով գործատուին հատուցել իր լրացուցիչ մասնագիտական ուսուցումը կազմակերպելու և նախատեսված ժամանակահատվածում գործատուի մոտ չաշխատելու հետևանքով գործատուին պատճառված վնասը, եթե այլ բան սահմանված չէ կողմերի միջև կնքված՝ մասնագիտական ուսուցման մասին պայմանագրով (համաձայնագրով):  Համաձայն 201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հոդվածի 3-րդ մասի 9-րդ կետի՝ մասնագիտական ուսուցման մասին պայմանագրում (համաձայնագրում) նշվում են լրացուցիչ մասնագիտական ուսուցումից հետո գործատուի մոտ աշխատելու պարտականությունը մասնագիտական ուսուցում անցած անձի մեղքով չկատարելու դեպքում՝ գործատուին պատճառված վնասի հատուցման կարգն ու պայմանները։  Ինչպես տեսնում ենք, առաջարկվող լրացումներով մասնագիտական ուսուցման մասին պայմանագրում գործատուին պատճառված վնասի հատուցման կարգի ու պայմանների հետ միասին չի սահմանվում գործատուին պատճառված վնասի հատուցման չափը, ինչը կարծում ենք խնդրահարույց է իրավական որոշակիության և աշխատանքի ընտրության ազատության սկզբունքների ապահովման տեսնակյունից։ Մասնավորապես, լրացուցիչ մասնագիտական ուսուցումը կազմակերպելու և նախատեսված ժամանակահատվածում գործատուի մոտ չաշխատելու հետևանքով գործատուին պատճառված վնասը հատուցելու պարտավորություն առաջանալու դեպքում աշխատողի համար կանխատեսելի չէ գործատուին փոխհատուցում տրամադրվելիք գումարի չափը։ Նշված խնդիրն աշխատողի համար պրակտիկայում կարող է հանգեցնել աշխատանքի  ընտրության ազատության և Խարտիայով երաշխավորված մասնագիտական ուսուցում անցնելու իրավունքների իրացման  խոչընդոտների։ Համաձայն Կոմիտեի մեկնաբանությունների՝ Խարտիայի 10-րդ հոդվածը պարտավորեցնում է պետությանն ապահովել և խթանել բոլոր անձանց մասնագիտական վերապատրաստումը, ներառյալ՝ հաշմանդամություն ունեցող անձանց, համագործակցելով գործատուների, աշխատողների կազմակերպությունների և բարձրագույն ուսումնական կամ կրթական այլ հաստատությունների հետ։ Պետությունը պարտավոր է միջոցներ տրամադրել կամ ապահովել աշխատող անձանց վերապատրաստումը՝ միջոցներ ձեռնարկելով նաև այն անձանց դեպքում, երբ վերջիններս դեռևս աշխատում են, սակայն գտնվում են գործազրկության վտանգի տակ՝ համապատասխան որակավորում չունենալու կամ ձեռք չբերելու դեպքերում։ Նշված պահանջը վերաբերում է նաև գործազուրկներին, որոնց դեպքում պետությունը պետք է երկարաժամկետ միջոցառումներ ձեռնարկի գործազուրկների վերապատրաստման և աշխատաշուկայում վերջիններիս վերաինտեգրման համար  (https://rm</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coe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int/CoERMPublicCommonSearchServices/DisplayDCTMContent?documentId=090000168066b9a0)։     </w:t>
            </w:r>
            <w:r w:rsidRPr="009455B9">
              <w:rPr>
                <w:rFonts w:ascii="GHEA Grapalat" w:eastAsia="GHEA Grapalat" w:hAnsi="GHEA Grapalat" w:cs="GHEA Grapalat"/>
                <w:color w:val="000000"/>
                <w:sz w:val="24"/>
                <w:szCs w:val="24"/>
              </w:rPr>
              <w:tab/>
              <w:t>Նշվածը հաշվի առնելով առաջարկում ենք լրացնել Նախագծի 201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հոդվածի 3-րդ մասի 9-րդ կետը՝ «հատուցման» բառից հետո ավելացնելով «չափը, » բառը։ Այս հանգամանքը հնարավորություն կընձեռի աշխատողին գնահատել հնարավոր ռիսկերը մասնագիտական ուսուցում անցնելու վերաբերյալ պայմանագիր կնքելիս և գործատուի մոտ սահմանված ժամկետում չաշխատելու դեպքում փոխհատուցման ենթակա գումարի չափը հաշվարկելիս (վճարելիս):</w:t>
            </w:r>
          </w:p>
        </w:tc>
        <w:tc>
          <w:tcPr>
            <w:tcW w:w="4320" w:type="dxa"/>
            <w:tcBorders>
              <w:top w:val="single" w:sz="1" w:space="0" w:color="000000"/>
              <w:left w:val="single" w:sz="1" w:space="0" w:color="000000"/>
              <w:bottom w:val="single" w:sz="1" w:space="0" w:color="000000"/>
              <w:right w:val="single" w:sz="1" w:space="0" w:color="000000"/>
            </w:tcBorders>
          </w:tcPr>
          <w:p w14:paraId="01882BA3" w14:textId="77777777" w:rsidR="007555DA" w:rsidRPr="009455B9" w:rsidRDefault="000C6C16" w:rsidP="001D359F">
            <w:pPr>
              <w:spacing w:line="360" w:lineRule="auto"/>
              <w:ind w:left="16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lastRenderedPageBreak/>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5FFEB4C0" w14:textId="77777777" w:rsidR="007555DA" w:rsidRPr="009455B9" w:rsidRDefault="007555DA" w:rsidP="001D359F">
            <w:pPr>
              <w:spacing w:line="360" w:lineRule="auto"/>
              <w:ind w:left="166" w:right="165" w:firstLine="180"/>
              <w:jc w:val="both"/>
              <w:rPr>
                <w:rFonts w:ascii="GHEA Grapalat" w:hAnsi="GHEA Grapalat"/>
                <w:sz w:val="24"/>
                <w:szCs w:val="24"/>
              </w:rPr>
            </w:pPr>
          </w:p>
        </w:tc>
      </w:tr>
      <w:tr w:rsidR="007555DA" w:rsidRPr="009455B9" w14:paraId="7CF373F6" w14:textId="77777777" w:rsidTr="001D359F">
        <w:tc>
          <w:tcPr>
            <w:tcW w:w="540" w:type="dxa"/>
            <w:tcBorders>
              <w:top w:val="single" w:sz="1" w:space="0" w:color="000000"/>
              <w:left w:val="single" w:sz="1" w:space="0" w:color="000000"/>
              <w:bottom w:val="single" w:sz="1" w:space="0" w:color="000000"/>
              <w:right w:val="single" w:sz="1" w:space="0" w:color="000000"/>
            </w:tcBorders>
          </w:tcPr>
          <w:p w14:paraId="5E456346"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6</w:t>
            </w:r>
          </w:p>
        </w:tc>
        <w:tc>
          <w:tcPr>
            <w:tcW w:w="1710" w:type="dxa"/>
            <w:tcBorders>
              <w:top w:val="single" w:sz="1" w:space="0" w:color="000000"/>
              <w:left w:val="single" w:sz="1" w:space="0" w:color="000000"/>
              <w:bottom w:val="single" w:sz="1" w:space="0" w:color="000000"/>
              <w:right w:val="single" w:sz="1" w:space="0" w:color="000000"/>
            </w:tcBorders>
          </w:tcPr>
          <w:p w14:paraId="26FE50AB" w14:textId="7777777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05697A9B" w14:textId="1D52A7C7" w:rsidR="007555DA" w:rsidRPr="009455B9" w:rsidRDefault="000C6C16" w:rsidP="001D359F">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3A912E8D" w14:textId="6D45CA57" w:rsidR="007555DA" w:rsidRPr="009455B9" w:rsidRDefault="000C6C16" w:rsidP="001D359F">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Օրենսգրքի 164-րդ հոդվածի 6-րդ մասի համաձայն՝ ուսումնական հաստատությունների մանկավարժներին աշխատանքային առաջին տարում ամենամյա արձակուրդը տրամադրվում է սովորողների և ուսանողների ամառային արձակուրդի ժամանակ` անկախ այն հանգամանքից, թե երբ են այդ մանկավարժներն սկսել իրենց աշխատանքը: Նախագծի 76-րդ հոդվածով առաջարկվում է նշված դրույթը շարադրել հետևյալ խմբագրությամբ</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«Ուսումնական հաստատությունների մանկավարժական աշխատողներին և պրոֆեսորադասախոսական կազմին՝ բացառությամբ վարչական աշխատողների, ամենամյա արձակուրդը տրամադրվում է սովորողների և ուսանողների ամառային արձակուրդի ժամանակ, այդ թվում՝ աշխատանքային առաջին տարում, անկախ այն հանգամանքից, թե երբ են այդ աշխատողները սկսել իրենց աշխատանքը»։ Նախագծով հաշվի չեն առնվել գործնականում ի հայտ եկող այն խնդիրները, երբ կրթության բնագավառի աշխատակիցները, ունենալով Օրենսգրքի 164-րդ հոդվածի 8-րդ մասով նախատեսված հիմքերը (աշխատողի խնամքին առկա է հիվանդ կամ հաշմանդամություն ունեցող անձ կամ աշխատողը տառապում է քրոնիկ հիվանդությամբ, որի սրացումը կախված է մթնոլորտային պայմաններից), չեն կարողանում օգտվել իրենց նախընտրած ժամանակահատվածում ամենամյա արձակուրդ ստանալու հնարավորությունից՝ գործատուների կողմից սովորողների և ուսանողների ամառային արձակուրդի ժամանակահատվածին չհամապատասխանող   պատճառաբանությամբ արձակուրդ չտրամադրելու հետևանքով։  Հետևաբար, առաջարկում ենք լրացնել Նախագծի 76-րդ հոդվածի 3-րդ կետը՝ որպես բացառություն դիտարկելով նաև Օրենսգրքի 164-րդ հոդվածի 8-րդ մասով նախատեսված դեպքերը։</w:t>
            </w:r>
          </w:p>
        </w:tc>
        <w:tc>
          <w:tcPr>
            <w:tcW w:w="4320" w:type="dxa"/>
            <w:tcBorders>
              <w:top w:val="single" w:sz="1" w:space="0" w:color="000000"/>
              <w:left w:val="single" w:sz="1" w:space="0" w:color="000000"/>
              <w:bottom w:val="single" w:sz="1" w:space="0" w:color="000000"/>
              <w:right w:val="single" w:sz="1" w:space="0" w:color="000000"/>
            </w:tcBorders>
          </w:tcPr>
          <w:p w14:paraId="6EB3B16F" w14:textId="77777777" w:rsidR="007555DA" w:rsidRPr="009455B9" w:rsidRDefault="000C6C16" w:rsidP="001D359F">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Ուսումնական հաստատությունների մանկավարժական աշխատողներին և պրոֆեսորադասախոսական կազմին ամենամյա արձակուրդը սովորողների և ուսանողների ամառային արձակուրդի ժամանակ տրամադրելու կարգավորումը նախատեսելը պայմանավորված է այն հանգամանքով, որ նշված աշխատողներին ամենամյա արձակուրդը ուսումնական հաստատությունների սովորողների և ուսանողների ամառային արձակուրդի ժամանակից դուրս այլ ժամանակ տրամադրելու դեպքում կառաջանա նշված աշխատողներին ուսումնական հաստատությունների  սովորողների և ուսանողների ամառային արձակուրդի ժամանակ աշխատանքով ապահովելու խնդիր։ Ուստի նշված կատեգորիայի աշխատողների համար սահմանվում է ամենամյա արձակուրդի տրամադրման նման կարգավորում։</w:t>
            </w:r>
          </w:p>
        </w:tc>
        <w:tc>
          <w:tcPr>
            <w:tcW w:w="2250" w:type="dxa"/>
            <w:tcBorders>
              <w:top w:val="single" w:sz="1" w:space="0" w:color="000000"/>
              <w:left w:val="single" w:sz="1" w:space="0" w:color="000000"/>
              <w:bottom w:val="single" w:sz="1" w:space="0" w:color="000000"/>
              <w:right w:val="single" w:sz="1" w:space="0" w:color="000000"/>
            </w:tcBorders>
          </w:tcPr>
          <w:p w14:paraId="7EAAE3D6" w14:textId="77777777" w:rsidR="007555DA" w:rsidRPr="009455B9" w:rsidRDefault="007555DA" w:rsidP="001D359F">
            <w:pPr>
              <w:spacing w:line="360" w:lineRule="auto"/>
              <w:ind w:left="76" w:right="165" w:firstLine="270"/>
              <w:jc w:val="both"/>
              <w:rPr>
                <w:rFonts w:ascii="GHEA Grapalat" w:hAnsi="GHEA Grapalat"/>
                <w:sz w:val="24"/>
                <w:szCs w:val="24"/>
              </w:rPr>
            </w:pPr>
          </w:p>
        </w:tc>
      </w:tr>
      <w:tr w:rsidR="007555DA" w:rsidRPr="009455B9" w14:paraId="2682F7DA" w14:textId="77777777" w:rsidTr="001D359F">
        <w:tc>
          <w:tcPr>
            <w:tcW w:w="540" w:type="dxa"/>
            <w:tcBorders>
              <w:top w:val="single" w:sz="1" w:space="0" w:color="000000"/>
              <w:left w:val="single" w:sz="1" w:space="0" w:color="000000"/>
              <w:bottom w:val="single" w:sz="1" w:space="0" w:color="000000"/>
              <w:right w:val="single" w:sz="1" w:space="0" w:color="000000"/>
            </w:tcBorders>
          </w:tcPr>
          <w:p w14:paraId="22B4A1E0" w14:textId="77777777" w:rsidR="007555DA" w:rsidRPr="009455B9" w:rsidRDefault="000C6C16" w:rsidP="008064C3">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7</w:t>
            </w:r>
          </w:p>
        </w:tc>
        <w:tc>
          <w:tcPr>
            <w:tcW w:w="1710" w:type="dxa"/>
            <w:tcBorders>
              <w:top w:val="single" w:sz="1" w:space="0" w:color="000000"/>
              <w:left w:val="single" w:sz="1" w:space="0" w:color="000000"/>
              <w:bottom w:val="single" w:sz="1" w:space="0" w:color="000000"/>
              <w:right w:val="single" w:sz="1" w:space="0" w:color="000000"/>
            </w:tcBorders>
          </w:tcPr>
          <w:p w14:paraId="06B2CB72" w14:textId="77777777" w:rsidR="007555DA" w:rsidRPr="009455B9" w:rsidRDefault="000C6C16" w:rsidP="008064C3">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14338951" w14:textId="1B4EEB86" w:rsidR="007555DA" w:rsidRPr="009455B9" w:rsidRDefault="000C6C16" w:rsidP="008064C3">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1827A50C" w14:textId="5D4099C7" w:rsidR="007555DA" w:rsidRPr="009455B9" w:rsidRDefault="000C6C16" w:rsidP="008064C3">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81-րդ հոդվածով Օրենսգրքի 174-րդ հոդվածը լրացվում է նոր բովանդակությամբ, որի համաձայն՝ «4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Գործատուի համաձայնությամբ օտարերկրյա ուսումնական հաստատություններում իր մասնագիտական որակավորումը բարձրացնելու կամ անմիջականորեն աշխատանքային պարտականությունների կատարման հետ կապված նոր գիտելիքներ ձեռք բերելու կամ դրանք զարգացնելու համար աշխատողին կարող է տրվել ուսումնական արձակուրդ ուսման ողջ ժամանակահատվածում, բայց ոչ ավելի քան երկու տարի:»: Առաջարկում ենք լրացնել հոդվածի 4-րդ մասը, նախատեսելով, որ գործատուի համաձայնության բացակայությունը պետք է դրսևորվի գրավոր, հիմնավորված և պատճառաբանված պայմանների ապահովումով։ Ինչ վերաբերում է ժամկետային սահմանափակմանը, ապա առաջարկում ենք Նախագծով որևէ ժամկետ չսահմանել՝ դա թողնելով կողմերի՝ գործատուի և աշխատողի փոխադարձ համաձայնությանը (որոշմանը)։</w:t>
            </w:r>
          </w:p>
        </w:tc>
        <w:tc>
          <w:tcPr>
            <w:tcW w:w="4320" w:type="dxa"/>
            <w:tcBorders>
              <w:top w:val="single" w:sz="1" w:space="0" w:color="000000"/>
              <w:left w:val="single" w:sz="1" w:space="0" w:color="000000"/>
              <w:bottom w:val="single" w:sz="1" w:space="0" w:color="000000"/>
              <w:right w:val="single" w:sz="1" w:space="0" w:color="000000"/>
            </w:tcBorders>
          </w:tcPr>
          <w:p w14:paraId="43F36ED0" w14:textId="77777777" w:rsidR="007555DA" w:rsidRPr="009455B9" w:rsidRDefault="000C6C16" w:rsidP="008064C3">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Oրենսգրքի 174-րդ հոդվածի 1-ին և 2-րդ մասերով թվարկված են մի շարք դեպքեր, երբ գործատուն արդեն իսկ աշխատողին պետք է տրամադրի ուսումնական արձակուրդ։  Oրենսգրքի 174-րդ հոդվածում լրացվող նոր 4-րդ մասի կարգավորմամբ նախատեսվում է սահմանել, որ աշխատողին Oրենսգրքի 174-րդ հոդվածի 1-ին և 2-րդ մասերով սահմանված դեպքերից բացի  կարող է տրամադրվել տրամադրվել ուսումնական արձակուրդ այլ դեպքերում ևս և ավելի երկար տևողությամբ՝ գործատուի համաձայնությամբ՝ հաշվի առնելով աշխատանքային հարաբերություններում կողմերի շահերի հավասակշռման սկզբունքը, ինչպես նաև գործատուների՝ տնտեսական գործունեության անխափան իրականացման անհրաժեշտությունը։ Ներկայացվող կարգավորումը թեև հավելյալ երաշխիք է աշխատողների համար, սակայն դրան զուգահեռ կարևոր է նկատի ունենալ նաև գործատուի շահը։</w:t>
            </w:r>
          </w:p>
        </w:tc>
        <w:tc>
          <w:tcPr>
            <w:tcW w:w="2250" w:type="dxa"/>
            <w:tcBorders>
              <w:top w:val="single" w:sz="1" w:space="0" w:color="000000"/>
              <w:left w:val="single" w:sz="1" w:space="0" w:color="000000"/>
              <w:bottom w:val="single" w:sz="1" w:space="0" w:color="000000"/>
              <w:right w:val="single" w:sz="1" w:space="0" w:color="000000"/>
            </w:tcBorders>
          </w:tcPr>
          <w:p w14:paraId="6CEEF6E7" w14:textId="77777777" w:rsidR="007555DA" w:rsidRPr="009455B9" w:rsidRDefault="007555DA" w:rsidP="008064C3">
            <w:pPr>
              <w:spacing w:line="360" w:lineRule="auto"/>
              <w:ind w:left="76" w:right="165" w:firstLine="270"/>
              <w:jc w:val="both"/>
              <w:rPr>
                <w:rFonts w:ascii="GHEA Grapalat" w:hAnsi="GHEA Grapalat"/>
                <w:sz w:val="24"/>
                <w:szCs w:val="24"/>
              </w:rPr>
            </w:pPr>
          </w:p>
        </w:tc>
      </w:tr>
      <w:tr w:rsidR="007555DA" w:rsidRPr="009455B9" w14:paraId="37F4BCD8" w14:textId="77777777" w:rsidTr="001D359F">
        <w:tc>
          <w:tcPr>
            <w:tcW w:w="540" w:type="dxa"/>
            <w:tcBorders>
              <w:top w:val="single" w:sz="1" w:space="0" w:color="000000"/>
              <w:left w:val="single" w:sz="1" w:space="0" w:color="000000"/>
              <w:bottom w:val="single" w:sz="1" w:space="0" w:color="000000"/>
              <w:right w:val="single" w:sz="1" w:space="0" w:color="000000"/>
            </w:tcBorders>
          </w:tcPr>
          <w:p w14:paraId="096B2A75"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8</w:t>
            </w:r>
          </w:p>
        </w:tc>
        <w:tc>
          <w:tcPr>
            <w:tcW w:w="1710" w:type="dxa"/>
            <w:tcBorders>
              <w:top w:val="single" w:sz="1" w:space="0" w:color="000000"/>
              <w:left w:val="single" w:sz="1" w:space="0" w:color="000000"/>
              <w:bottom w:val="single" w:sz="1" w:space="0" w:color="000000"/>
              <w:right w:val="single" w:sz="1" w:space="0" w:color="000000"/>
            </w:tcBorders>
          </w:tcPr>
          <w:p w14:paraId="6F48902F"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4DD0586E" w14:textId="3DEC7502"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4CDD4974" w14:textId="1B7132A0"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69-րդ և 75-րդ հոդվածների ուսումնասիրությունը ցույց է տալիս, որ առաջարկվող փոփոխություններով «չնորմավորված աշխատանքային օր» արտահայտությունը փոխարինվում է «չնորմավորված աշխատանք» սահմանումով, որի վերաբերյալ կարգավորումները դարձյալ չեն նախատեսվում</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Օրենսգիրքը թվարկում է աշխատաժամանակի ռեժիմների սահմանափակ տիպերը, սակայն չնորմավորված աշխատանքի ռեժիմի վերաբերյալ հստակ պայմաններ, կարգ և աշխատանքի կամ աշխատողների հնարավոր խմբերը նախատեսված չեն, ինչը պրակտիկայում հանգեցնում է աշխատողների իրավունքների խախտումների, այդ թվում՝ վարձատրության հաշվարկման մեթոդի, արձակուրդի և հանգստի ժամանակի տրամադրման և այլ հարցերով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 Նույն կերպ Օրենսգիրքը չի սահմանում «հերթափոխային աշխատանք» հասկացությունը, ինչպես նաև նվազագույն չափանիշները, աշխատավարձի վճարման կարգն ու այլ էական պայմաններ, այդ թվում՝ հերթափոխների ամսական/շաբաթական նվազագույն քանակը, հերթափոխի առավելագույն տևողությունը: Ավելին, պրակտիկայում հանդիպող խնդիրներից է նաև առանձին խմբի աշխատողների, այդ թվում՝ առողջապահական ոլորտի աշխատողների հետ կնքված աշխատանքային պայմանագրերով աշխատաժամանակի ռեժիմի չհստակեցումը, ինչի արդյունքում աշխատողները զրկվում են կայուն աշխատանքից և նվազագույն կենսամակարդակ ապահովելու հնարավորությունից:  Հաշվի առնելով վերը նշվածը, առաջարկում ենք Նախագծով ամրագրել «չնորմավորված աշխատանք», «հերթափոխային աշխատանք», «աշխատաժամանակի գումարային հաշվարկ» աշխատաժամանակի ռեժիմներ հասկացությունների սահմանումներն ու էությունը՝ աշխատողների իրավունքների խախտումներից խուսափելու նպատակով, միաժամանակ հստակեցնելով նաև այս խումբ անձանց հետ կքնվող աշխատանքային պայմանագրի էական պայմանները, վարձատրության եղանակը, հանգստի և արձակուրդի տրամադրման սկզբունքները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w:t>
            </w:r>
          </w:p>
        </w:tc>
        <w:tc>
          <w:tcPr>
            <w:tcW w:w="4320" w:type="dxa"/>
            <w:tcBorders>
              <w:top w:val="single" w:sz="1" w:space="0" w:color="000000"/>
              <w:left w:val="single" w:sz="1" w:space="0" w:color="000000"/>
              <w:bottom w:val="single" w:sz="1" w:space="0" w:color="000000"/>
              <w:right w:val="single" w:sz="1" w:space="0" w:color="000000"/>
            </w:tcBorders>
          </w:tcPr>
          <w:p w14:paraId="6057CAA5" w14:textId="77777777"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Օրենսգրքում հստակ սահմանված են աշխատաժամանակի ռեժիմների տեսակները։  Նախագծով Օրենսգրքի 144-րդ հոդվածի 5-րդ մասում կատարվող լրացմամբ ուղղակի հստակեցվում է, որ Օրենսգրքի 144-րդ հոդվածի 5-րդ մասում նշված՝ կազմակերպության ղեկավար պաշտոնատար անձանց աշխատանքը համարվում է չնորմավորված՝ ելնելով այն հանգամանքից, որ Օրենսգրքի նշված դրույթում սահմանվում է, որ կազմակերպության ղեկավար պաշտոնատար անձանց` սահմանված աշխատաժամանակը գերազանցող աշխատանքը արտաժամյա չի համարվում: Այսինքն, «չնորմավորված աշխատանքը» տվյալ դեպքում չի դիտարկվում որպես աշխատաժամանակի ռեժիմի տեսակ։ Անդրադառնալով «հերթափոխային աշխատանք» աշխատաժամանակի ռեժիմի հասկացության սահմանմանը՝ հարկ է նշել, որ «հերթափոխային աշխատանք»-ն ինքնին աշխատակաժամանակի ռեժիմի տեսակ չէ, այլ աշխատանքներն հերթափոխով իրականացնելը աշխատանքների կազմակերպման ձև է։  Ինչ վերաբերում է «աշխատաժամանակի գումարային հաշվարկ» աշխատաժամանակի ռեժիմի  հասկացության սահմանմանը տեղեկացնում ենք, որ Օրենսգրքի 143-րդ հոդվածում արդեն իսկ սահմանված են աշխատաժամանակի գումարային հաշվարկին վերաբերող կարգավորումները։</w:t>
            </w:r>
          </w:p>
        </w:tc>
        <w:tc>
          <w:tcPr>
            <w:tcW w:w="2250" w:type="dxa"/>
            <w:tcBorders>
              <w:top w:val="single" w:sz="1" w:space="0" w:color="000000"/>
              <w:left w:val="single" w:sz="1" w:space="0" w:color="000000"/>
              <w:bottom w:val="single" w:sz="1" w:space="0" w:color="000000"/>
              <w:right w:val="single" w:sz="1" w:space="0" w:color="000000"/>
            </w:tcBorders>
          </w:tcPr>
          <w:p w14:paraId="2305FE2D" w14:textId="77777777" w:rsidR="007555DA" w:rsidRPr="009455B9" w:rsidRDefault="007555DA" w:rsidP="008064C3">
            <w:pPr>
              <w:spacing w:line="360" w:lineRule="auto"/>
              <w:jc w:val="both"/>
              <w:rPr>
                <w:rFonts w:ascii="GHEA Grapalat" w:hAnsi="GHEA Grapalat"/>
                <w:sz w:val="24"/>
                <w:szCs w:val="24"/>
              </w:rPr>
            </w:pPr>
          </w:p>
        </w:tc>
      </w:tr>
      <w:tr w:rsidR="007555DA" w:rsidRPr="009455B9" w14:paraId="4F57A090" w14:textId="77777777" w:rsidTr="001D359F">
        <w:tc>
          <w:tcPr>
            <w:tcW w:w="540" w:type="dxa"/>
            <w:tcBorders>
              <w:top w:val="single" w:sz="1" w:space="0" w:color="000000"/>
              <w:left w:val="single" w:sz="1" w:space="0" w:color="000000"/>
              <w:bottom w:val="single" w:sz="1" w:space="0" w:color="000000"/>
              <w:right w:val="single" w:sz="1" w:space="0" w:color="000000"/>
            </w:tcBorders>
          </w:tcPr>
          <w:p w14:paraId="42FD82A9"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9</w:t>
            </w:r>
          </w:p>
        </w:tc>
        <w:tc>
          <w:tcPr>
            <w:tcW w:w="1710" w:type="dxa"/>
            <w:tcBorders>
              <w:top w:val="single" w:sz="1" w:space="0" w:color="000000"/>
              <w:left w:val="single" w:sz="1" w:space="0" w:color="000000"/>
              <w:bottom w:val="single" w:sz="1" w:space="0" w:color="000000"/>
              <w:right w:val="single" w:sz="1" w:space="0" w:color="000000"/>
            </w:tcBorders>
          </w:tcPr>
          <w:p w14:paraId="128A5F38"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6173A84E" w14:textId="5CFB56B2"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2D0CA4AF" w14:textId="77777777"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65-րդ հոդվածով առաջարկվում է փոփոխել Օրենսգրքի «Աշխատաժամանակի կրճատ տևողությունը» վերտառությամբ 140-րդ հոդվածի 1-ին մասը։  Ողջունելով երեխաների աշխատաժամանակի օրական տևողության համապատասխանեցումը Խարտիայի դրույթների պահանջներին, միաժամանակ պետք է նշել, որ Նախագծի 65-րդ հոդվածում բացակայում են 12-ից մինչև 14 տարեկան երեխաների աշխատաժամանակի օրական և շաբաթական տևողության վերաբերյալ կարգավորումները։ Այսպես, Նախագծով սահամնվում է միչև 7 տարեկան, 7-12 տարեկան, 14-15 տարեկան, 15-16 և 16-18 տարեկան երեխաների աշխատաժամանակի օրական և շաբաթական տևողությունը, սակայն նույն հոդվածում որևէ կերպ չի սահմանվում 12-ից մինչև 14 տարեկան երեխաների աշխատաժամանակի օրական և շաբաթական տևողությունները, ինչը գնահատում ենք խնդրահարույց։ Մասնավորապես, Խարտիայի 7-րդ հոդվածի 1-ին մասի համաձայն՝ կողմերը պարտավոր են աշխատանքի ընդունման համար որպես նվազագույն  տարիք ապահովել 15 տարեկանը, բացառությամբ այն երեխաների, որոնք զբաղվում են  ընդունված թեթև աշխատանքով, առանց վնասելու նրանց առողջությունը, բարոյական կերպարը կամ կրթությունը: Խարտիայի նշված դրույթի վերաբերյալ Կոմիտեի կողմից տրված մեկնաբանությունների համաձայն՝ անդամ պետությունը, ի թիվս այլ պայմանների, պետք է սահմանի նաև աշխատանքի կատարման առավելագույն ժամկետը: Ուստի արձանագրում ենք, որ առաջարկվող փոփոխությունը թերի է, հակասում է Խարտիայի պահանջներին և ենթակա է լրացման։ Հետևաբար, առաջարկում ենք Նախագծով սահմանել 12-ից մինչև 14 տարեկան երեխաների աշխատաժամանակի օրական և շաբաթական տևողությունները՝ Խարտիայի պահանջներին համապատասխան։</w:t>
            </w:r>
          </w:p>
        </w:tc>
        <w:tc>
          <w:tcPr>
            <w:tcW w:w="4320" w:type="dxa"/>
            <w:tcBorders>
              <w:top w:val="single" w:sz="1" w:space="0" w:color="000000"/>
              <w:left w:val="single" w:sz="1" w:space="0" w:color="000000"/>
              <w:bottom w:val="single" w:sz="1" w:space="0" w:color="000000"/>
              <w:right w:val="single" w:sz="1" w:space="0" w:color="000000"/>
            </w:tcBorders>
          </w:tcPr>
          <w:p w14:paraId="59169A13" w14:textId="77777777"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Օրենսգրքի 140-րդ հոդվածի 1-ին մասում կատարված փոփոխությունների շրջանակներում լրացվել են 12-ից մինչև 14 տարեկան երեխաների աշխատաժամանակի օրական և շաբաթական տևողությունները։</w:t>
            </w:r>
          </w:p>
        </w:tc>
        <w:tc>
          <w:tcPr>
            <w:tcW w:w="2250" w:type="dxa"/>
            <w:tcBorders>
              <w:top w:val="single" w:sz="1" w:space="0" w:color="000000"/>
              <w:left w:val="single" w:sz="1" w:space="0" w:color="000000"/>
              <w:bottom w:val="single" w:sz="1" w:space="0" w:color="000000"/>
              <w:right w:val="single" w:sz="1" w:space="0" w:color="000000"/>
            </w:tcBorders>
          </w:tcPr>
          <w:p w14:paraId="5321B633" w14:textId="77777777" w:rsidR="007555DA" w:rsidRPr="009455B9" w:rsidRDefault="007555DA" w:rsidP="008064C3">
            <w:pPr>
              <w:spacing w:line="360" w:lineRule="auto"/>
              <w:ind w:left="76" w:right="165" w:firstLine="180"/>
              <w:jc w:val="both"/>
              <w:rPr>
                <w:rFonts w:ascii="GHEA Grapalat" w:hAnsi="GHEA Grapalat"/>
                <w:sz w:val="24"/>
                <w:szCs w:val="24"/>
              </w:rPr>
            </w:pPr>
          </w:p>
        </w:tc>
      </w:tr>
      <w:tr w:rsidR="007555DA" w:rsidRPr="009455B9" w14:paraId="17BBFE63" w14:textId="77777777" w:rsidTr="001D359F">
        <w:tc>
          <w:tcPr>
            <w:tcW w:w="540" w:type="dxa"/>
            <w:tcBorders>
              <w:top w:val="single" w:sz="1" w:space="0" w:color="000000"/>
              <w:left w:val="single" w:sz="1" w:space="0" w:color="000000"/>
              <w:bottom w:val="single" w:sz="1" w:space="0" w:color="000000"/>
              <w:right w:val="single" w:sz="1" w:space="0" w:color="000000"/>
            </w:tcBorders>
          </w:tcPr>
          <w:p w14:paraId="6FB78C93"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10</w:t>
            </w:r>
          </w:p>
        </w:tc>
        <w:tc>
          <w:tcPr>
            <w:tcW w:w="1710" w:type="dxa"/>
            <w:tcBorders>
              <w:top w:val="single" w:sz="1" w:space="0" w:color="000000"/>
              <w:left w:val="single" w:sz="1" w:space="0" w:color="000000"/>
              <w:bottom w:val="single" w:sz="1" w:space="0" w:color="000000"/>
              <w:right w:val="single" w:sz="1" w:space="0" w:color="000000"/>
            </w:tcBorders>
          </w:tcPr>
          <w:p w14:paraId="6F98E28E"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573844DD" w14:textId="0143A30C"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24B6C60D" w14:textId="77777777" w:rsidR="007555DA" w:rsidRPr="009455B9" w:rsidRDefault="000C6C16" w:rsidP="008064C3">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64-րդ հոդվածով  Օրենսգրքի 139-րդ հոդվածում վերանայվել է առանձին կատեգորիայի աշխատողների համար կիրառվող օրական 24 ժամ աշխատաժամանակի տևողությունը։ Այդ կատեգորիայի աշխատողների համար նախատեսվում է 24 ժամի փոխարեն սահմանել օրական 12 ժամ աշխատաժամանակ, ինչը դրական ենք գնահատում։ Միևնույն ժամանակ հաշվի առնելով պրակտիկայում հերթափոխի և չնորմավորված ռեժիմով աշխատողների աշխատանքային հարաբերություններում առկա խնդիրները՝ առաջարկում ենք հստակ ամրագրել 12 ժամ աշխատաժամանակի դեպքում աշխատողի՝ հանգստի և սնվելու իրավունքի և դրա համար նախատեսված ժամանակը, հաշվի առնելով այն հանգամանքը, որ Օրենսգրքի 152-րդ հոդվածի 4-րդ մասով նախատեսված կարգավորման համաձայն (այն աշխատանքներում, որտեղ, արտադրության պայմաններից ելնելով, հանգստի և սնվելու համար ընդմիջում տրամադրելն անհնար է, աշխատողին աշխատանքի ընթացքում սնվելու հնարավորություն է տրամադրվում) պրակտիկայում գործատուների կողմից հաճախ մեկնաբանվում է տարբեր կերպ և ի վնաս աշխատողների, և հաճախ դրա արդյունքում աշխատողները զրկվում են իրենց հանգստի իրավունքից։</w:t>
            </w:r>
          </w:p>
        </w:tc>
        <w:tc>
          <w:tcPr>
            <w:tcW w:w="4320" w:type="dxa"/>
            <w:tcBorders>
              <w:top w:val="single" w:sz="1" w:space="0" w:color="000000"/>
              <w:left w:val="single" w:sz="1" w:space="0" w:color="000000"/>
              <w:bottom w:val="single" w:sz="1" w:space="0" w:color="000000"/>
              <w:right w:val="single" w:sz="1" w:space="0" w:color="000000"/>
            </w:tcBorders>
          </w:tcPr>
          <w:p w14:paraId="12D8AC8E" w14:textId="77777777" w:rsidR="007555DA" w:rsidRPr="009455B9" w:rsidRDefault="000C6C16" w:rsidP="008064C3">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Օրենսգրքի 139-րդ հոդվածի 4-րդ մասում թվարկված կազմակերպություններն ունեն աշխատանքների կազմակերպման առանձնահատկություններ։ Հաշվի առնելով կատարվող աշխատանքների բնույթը աշխատողներին կարող են տրամադրվել հանգստանալու և սնվելու համար ընդմիջումներ Օրենսգրքի ընդհանուր կարգավորումներին համապատասխան (մասնավորապես Օրենսգրքի 152-րդ հոդվածի 1-ին մաս) կամ կամ կարող է տրամադրվել սնվելու հնարավորություն աշխատանքի ընթացքում։</w:t>
            </w:r>
          </w:p>
        </w:tc>
        <w:tc>
          <w:tcPr>
            <w:tcW w:w="2250" w:type="dxa"/>
            <w:tcBorders>
              <w:top w:val="single" w:sz="1" w:space="0" w:color="000000"/>
              <w:left w:val="single" w:sz="1" w:space="0" w:color="000000"/>
              <w:bottom w:val="single" w:sz="1" w:space="0" w:color="000000"/>
              <w:right w:val="single" w:sz="1" w:space="0" w:color="000000"/>
            </w:tcBorders>
          </w:tcPr>
          <w:p w14:paraId="1D60702C" w14:textId="77777777" w:rsidR="007555DA" w:rsidRPr="009455B9" w:rsidRDefault="007555DA" w:rsidP="008064C3">
            <w:pPr>
              <w:spacing w:line="360" w:lineRule="auto"/>
              <w:jc w:val="both"/>
              <w:rPr>
                <w:rFonts w:ascii="GHEA Grapalat" w:hAnsi="GHEA Grapalat"/>
                <w:sz w:val="24"/>
                <w:szCs w:val="24"/>
              </w:rPr>
            </w:pPr>
          </w:p>
        </w:tc>
      </w:tr>
      <w:tr w:rsidR="007555DA" w:rsidRPr="009455B9" w14:paraId="50EB4A2E" w14:textId="77777777" w:rsidTr="001D359F">
        <w:tc>
          <w:tcPr>
            <w:tcW w:w="540" w:type="dxa"/>
            <w:tcBorders>
              <w:top w:val="single" w:sz="1" w:space="0" w:color="000000"/>
              <w:left w:val="single" w:sz="1" w:space="0" w:color="000000"/>
              <w:bottom w:val="single" w:sz="1" w:space="0" w:color="000000"/>
              <w:right w:val="single" w:sz="1" w:space="0" w:color="000000"/>
            </w:tcBorders>
          </w:tcPr>
          <w:p w14:paraId="221ACA7F"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11</w:t>
            </w:r>
          </w:p>
        </w:tc>
        <w:tc>
          <w:tcPr>
            <w:tcW w:w="1710" w:type="dxa"/>
            <w:tcBorders>
              <w:top w:val="single" w:sz="1" w:space="0" w:color="000000"/>
              <w:left w:val="single" w:sz="1" w:space="0" w:color="000000"/>
              <w:bottom w:val="single" w:sz="1" w:space="0" w:color="000000"/>
              <w:right w:val="single" w:sz="1" w:space="0" w:color="000000"/>
            </w:tcBorders>
          </w:tcPr>
          <w:p w14:paraId="78D73C41"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742F8CCF" w14:textId="093C0FC2"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5F39E37F" w14:textId="66A679B0" w:rsidR="007555DA" w:rsidRPr="009455B9" w:rsidRDefault="000C6C16" w:rsidP="008064C3">
            <w:pPr>
              <w:spacing w:line="360" w:lineRule="auto"/>
              <w:ind w:left="16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56-րդ հոդվածով առաջարկվող փոփոխության վերաբերյալ քաղաքացիական հասարակության կազմակերպությունները Օրենսգրքում փոփոխություններ և լրացումներ կատարելու մասին օրենքի նախորդ նախագծի քննարկման ժամանակ արձանագրել էին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որ գործող կարգավորումների պայմաններում հստակ չեն այն պայմանները և չափանիշները, որոնց առկայության դեպքում գործատուն իրավասու է լուծելու աշխատանքային պայմանագիրը՝ առանց աշխատողին ծանուցելու պարտականության և որպես կարգապահական տույժի կիրառում: Օրենսգրքի 123-րդ հոդվածի ձևակերպմամբ չի հստակեցվում, թե արդյո՞ք գործատուն կարող է առանց կարգապահական պատասխանատվության հարցի քննարկման լուծել աշխատանքային պայմանագիրը հոդվածում նշված հիմքերով, թե՞ աշխատանքային պայմանագիրը կարող է լուծվել բացառապես որպես կարգապահական տույժի կիրառում, որի պարագայում, սակայն, գործատուն, ի տարբերություն մյուս դեպքերի, ազատված է ծանուցման պարտականությունից: Խարտիայի կատարման առնչությամբ 2016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ՀՀ ազգային զեկույցում ՀՀ կառավարությունը նշել է, որ Օրենսգրքի 123-րդ հոդվածով նախատեսված աշխատանքային պայմանագրի լուծման հիմքերը իրենց բնույթով կարգապահական են (այսինքն՝ կիրառվում են որպես կարգապահական տույժ), և Օրենսգիրքը չի նախատեսում ծանուցման կարգ այդ հիմքերով աշխատանքային պայմանագիրը լուծելու համար (https://rm</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coe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int/12th-national-report-from-armenia/168078ebb0): Օրենսգիրքը, սակայն, կարգավորում է բացառապես 113-րդ հոդվածի 1-ին մասի 5-րդ կետի հիմքով աշխատանքային պայմանագիրը լուծելու կարգն ու պայմանները, ընդ որում՝ հստակ ամրագրելով, որ տվյալ հիմքով աշխատանքային պայմանագրի լուծում կարող է տեղի ունենալ բացառապես կարգապահական պտասխանատվության ենթարկելու կանոնների պահպանմամբ: Ինչպես նշվեց, Օրենսգրքի 123-րդ հոդվածը սահմանում է, որ գործատուն իրավունք ունի աշխատանքային պայմանագիրը լուծելու առանց աշխատողին ծանուցելու, այդ թվում՝ Օրենսգրքի 113-րդ հոդվածի 1-ին մասի 5-րդ կետով (Վերաբերում է աշխատողի կողմից աշխատանքային պայմանագրով կամ ներքին կարգապահական կանոններով իրեն վերապահված պարտականությունները առանց հարգելի պատճառի պարբերաբար չկատարելուն), մինչդեռ Օրենսգրքի 121-րդ հոդվածը սահմանում է, որ «գործատուն իրավունք ունի սույն օրենսգրքի 113-րդ հոդվածի 1-ին մասի 5-րդ կետով նախատեսված հիմքով լուծելու աշխատանքային պայմանագիրը, եթե մինչև տվյալ աշխատանքային կարգապահական խախտումը աշխատանքային կարգապահական խախտում թույլ տված աշխատողն ունի առնվազն երկու չհանված կամ չմարված կարգապահական տույժ: … Սույն հոդվածին համապատասխան՝ աշխատանքային պայմանագիրը լուծելիս գործատուն պարտավոր է պահպանել կարգապահական պատասխանատվության կիրառման կանոնները»: Ստացվում է, Օրենսգրքի 113-րդ հոդվածի 1-ին մասի 5-րդ կետի հիմքով անձի աշխատանքային պայմանագիրը կարող է լուծվել բացառապես կարգապահական պատասխանատվության շրջանակներում՝ որպես կարգապահական տույժ, մինչդեռ, Օրենսգրքի 113-րդ հոդվածի 1-ին մասի 6-րդ, 8-10-րդ կետերով նախատեսված հիմքերով աշխատանքային պայմանագիրը լուծելու որևէ կարգ և պայման օրենսգիրքը չի նախատեսում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Դատական պրակտիկայի ուսումնասիրությունը փաստում է, որ աշխատանքային պայմանագիրը առնվազն աշխատողի նկատմամբ վստահությունը կորցնելու հիմքով Օրենսգրքի 123-րդ հոդվածի հիման վրա կարող է լուծվել անհապաղ՝ առանց ծանուցելու և առանց կարգապահական պատասխանատվության ենթարկելու հարցի քննարկման: ՀՀ վճռաբեկ դատարանն արձանագրել է, որ առնվազն վստահությունը կորցնելու հիմքով աշխատողի հետ աշխատանքային պայմանագիրը կարող է լուծվել գործատուի նախաձեռնությամբ անհապաղ՝ առանց ծանուցելու և առանց կարգապահական պատասխանատվության ենթարկելու հարցի քննարկման շրջանակներում (Տես ՀՀ վճռաբեկ դատարանի թիվ ԵԿԴ/4054/01/16 քաղաքացիական գործով 28</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2019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որոշումը): Օրենսդրական նման կարգավորումների և դատական պրակտիկայի պայմաններում գործատուին հայեցողության լայն շրջանակ է տրվում՝ որոշելու աշխատողի հետ աշխատանքային պայմանագրի լուծման տարբերակը: Մինչդեռ Օրենսգրքի 122-րդ հոդվածը նախատեսում է այն սպառիչ դեպքերը, որոնց պայմաններում աշխատողի հետ պայմանագիրը կարող է լուծվել վստահության կորստի հիմքով՝ առանց տարբերակելու՝ անհապաղ և առանց ծանուցման, որպես կարգապահական պատասխանատվության միջոց եզրույթները: Հետևաբար ՀՀ վճռաբեկ դատարանի կողմից վերոգրյալ որոշմամբ նշված օրինակներն ընդհանրական են սահմանված օրենքում և չեն կարող մեկնաբանվել որպես բացառապես Օրենսգրքի 123-րդ հոդվածի հիման վրա աշխատանքային պայմանագիրը լուծելու հիմք: Վերոգրյալի հետ մեկտեղ Կոմիտեն Հայաստանի վերաբերյալ 2018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եզրակացությունում (http://hudoc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esc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coe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int/eng?i=2018/def/ARM/4/4/EN) արձանագրել է, որ կարգապահական խախտման որոշ հիմքեր, որոնց հիման վրա անձը կարող է անհապաղ ազատվել աշխատանքից, աննշան (փոքր) են, ինչպես, օրինակ, մեկ օր առանց հարգելի պատճառի աշխատանքի չգալը, և չեն կարող արդարացնել անհապաղ աշխատանքից ազատումը: Կոմիտեն գտել է, որ կարգավորումները չեն համապատասխանում Խարտիայի 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4 հոդվածին այն հիմքով, որ կոնկրետ դեպքերում փոքր կարգապահական խախտումների հիմքով աշխատանքից ազատվելու դեպքում ծանուցման ժամկետ չի նախատեսվում:  Վերոգրյալը հաշվին առնելով կրկին առաջարկում ենք օրենսդրորեն ամրագրել, որ Օրենսգրքի 123-րդ հոդվածով նախատեսված դեպքերում աշխատանքային պայմանագրի լուծումը հնարավոր է բացառապես որպես կարգապահական տույժի կիրառման հետևանք, և սահմանել աննշան կարգապահական խախտումների հիմքով աշխատանքային պայմանագիրը լուծելու ծանուցման ժամկետ:</w:t>
            </w:r>
          </w:p>
        </w:tc>
        <w:tc>
          <w:tcPr>
            <w:tcW w:w="4320" w:type="dxa"/>
            <w:tcBorders>
              <w:top w:val="single" w:sz="1" w:space="0" w:color="000000"/>
              <w:left w:val="single" w:sz="1" w:space="0" w:color="000000"/>
              <w:bottom w:val="single" w:sz="1" w:space="0" w:color="000000"/>
              <w:right w:val="single" w:sz="1" w:space="0" w:color="000000"/>
            </w:tcBorders>
          </w:tcPr>
          <w:p w14:paraId="4AD97A8B" w14:textId="77777777" w:rsidR="007555DA" w:rsidRPr="009455B9" w:rsidRDefault="000C6C16" w:rsidP="00182E46">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Հարկ է նշել, որ Օրենսգրքի 223-րդ հոդվածի 1-ին մասի 3-րդ կետի համաձայն՝ Օրենսգրքի 113-րդ հոդվածի 1-ին մասի 5-րդ, 6-րդ, 8-10-րդ, 13-րդ կետերի հիմքերով աշխատանքային պայմանագրի լուծումը համարվում է կարգապահական տույժի տեսակ: Օրենսգրքի 226-րդ՝ կարգապահական տույժի կիրառման կարգը հոդվածի համաձայն՝ մինչև կարգապահական տույժի կիրառումը գործատուն պետք է աշխատողից գրավոր կերպով պահանջի խախտման մասին գրավոր բացատրություն՝ տրամադրելով ողջամիտ ժամկետ: Եթե գործատուի սահմանած ողջամիտ ժամկետում աշխատողն առանց հարգելի պատճառների չի ներկայացնում գրավոր բացատրություն, ապա կարգապահական տույժը կարող է կիրառվել առանց գրավոր բացատրության: Հետևաբար, ստացվում է, որ որպես կիրառվող կարգապահական տույժ  Օրենսգրքի 113-րդ հոդվածի 1-ին մասի 5-րդ, 6-րդ, 8-10-րդ, 13-րդ կետերի հիմքերով աշխատանքային պայմանագրի լուծման դեպքում գործատուն պետք է աշխատողից գրավոր կերպով պահանջի խախտման մասին գրավոր բացատրություն՝ տրամադրելով ողջամիտ ժամկետ: Արդյունքում ստացվում է, որ աշխատողն ունենում է հնարավորություն համապատասխան բացատրություն ներկայացնելու համար, ինչպես նաև ողջամիտ ժամկետում տեղեկացված է լինում Օրենսգրքի 113-րդ հոդվածի 1-ին մասի 5-րդ, 6-րդ, 8-10-րդ, 13-րդ կետերի հիմքերով իր աշխատանքային պայմանագրի հնարավոր լուծման մասին՝ որպես կարգապահական տույժի տեսակ։</w:t>
            </w:r>
          </w:p>
        </w:tc>
        <w:tc>
          <w:tcPr>
            <w:tcW w:w="2250" w:type="dxa"/>
            <w:tcBorders>
              <w:top w:val="single" w:sz="1" w:space="0" w:color="000000"/>
              <w:left w:val="single" w:sz="1" w:space="0" w:color="000000"/>
              <w:bottom w:val="single" w:sz="1" w:space="0" w:color="000000"/>
              <w:right w:val="single" w:sz="1" w:space="0" w:color="000000"/>
            </w:tcBorders>
          </w:tcPr>
          <w:p w14:paraId="143F068F" w14:textId="77777777" w:rsidR="007555DA" w:rsidRPr="009455B9" w:rsidRDefault="007555DA" w:rsidP="008064C3">
            <w:pPr>
              <w:spacing w:line="360" w:lineRule="auto"/>
              <w:jc w:val="both"/>
              <w:rPr>
                <w:rFonts w:ascii="GHEA Grapalat" w:hAnsi="GHEA Grapalat"/>
                <w:sz w:val="24"/>
                <w:szCs w:val="24"/>
              </w:rPr>
            </w:pPr>
          </w:p>
        </w:tc>
      </w:tr>
      <w:tr w:rsidR="007555DA" w:rsidRPr="009455B9" w14:paraId="2324B6E2" w14:textId="77777777" w:rsidTr="001D359F">
        <w:tc>
          <w:tcPr>
            <w:tcW w:w="540" w:type="dxa"/>
            <w:tcBorders>
              <w:top w:val="single" w:sz="1" w:space="0" w:color="000000"/>
              <w:left w:val="single" w:sz="1" w:space="0" w:color="000000"/>
              <w:bottom w:val="single" w:sz="1" w:space="0" w:color="000000"/>
              <w:right w:val="single" w:sz="1" w:space="0" w:color="000000"/>
            </w:tcBorders>
          </w:tcPr>
          <w:p w14:paraId="6D89A352"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12</w:t>
            </w:r>
          </w:p>
        </w:tc>
        <w:tc>
          <w:tcPr>
            <w:tcW w:w="1710" w:type="dxa"/>
            <w:tcBorders>
              <w:top w:val="single" w:sz="1" w:space="0" w:color="000000"/>
              <w:left w:val="single" w:sz="1" w:space="0" w:color="000000"/>
              <w:bottom w:val="single" w:sz="1" w:space="0" w:color="000000"/>
              <w:right w:val="single" w:sz="1" w:space="0" w:color="000000"/>
            </w:tcBorders>
          </w:tcPr>
          <w:p w14:paraId="544B6E1C"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6CCC029C" w14:textId="79B45704"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698CFDBA" w14:textId="77777777"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54-րդ հոդվածով առաջարկվող փոփոխության հետ համատեղ առաջարկում ենք իրավունք վերապահել նաև արհմիությանը կամ աշխատողների ներկայացուցչին մասնակցություն ունենալու աշխատողի մասնագիտական ունակությունների գնահատման գործընթացին և որոշումների կայացմանը, ինչը հնարավորություն կտա սահմանափակելու գործատուի՝ կամայական և կողմնակալ որոշումներ կայացնելու պրակտիկան:</w:t>
            </w:r>
          </w:p>
        </w:tc>
        <w:tc>
          <w:tcPr>
            <w:tcW w:w="4320" w:type="dxa"/>
            <w:tcBorders>
              <w:top w:val="single" w:sz="1" w:space="0" w:color="000000"/>
              <w:left w:val="single" w:sz="1" w:space="0" w:color="000000"/>
              <w:bottom w:val="single" w:sz="1" w:space="0" w:color="000000"/>
              <w:right w:val="single" w:sz="1" w:space="0" w:color="000000"/>
            </w:tcBorders>
          </w:tcPr>
          <w:p w14:paraId="60EEA781" w14:textId="77777777"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։Օրենսգրքի 120-րդ հոդվածում սահմանվում է Օրենսգրքի 113-րդ հոդվածի 1-ին մասի 3-րդ կետի հիմքով աշխատանքային պայմանագրի լուծման մեխանիզմը։ Մասնավորապես, Օրենսգրքի 113-րդ հոդվածի 1-ին մասի 3-րդ կետի համաձայն՝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աշխատողի` զբաղեցրած պաշտոնին կամ կատարած աշխատանքին չհամապատասխանելու դեպքում։ Այսինքն, Օրենսգրքի 113-րդ հոդվածի 1-ին մասի 3-րդ կետի հիմքով աշխատանքային պայմանագրի լուծումը համարվում է գործատուի նախաձեռնությամբ աշխատանքային պայմանագրի լուծում։ Հետևաբար, աշխատողի մասնագիտական ունակությունների համապատասխանությունը զբաղեցրած պաշտոնին կամ կատարած աշխատանքին բնական է, որ պետք է գնահատի գործատուն։  Միաժամանակ նպատակ ունենալով ապահովել նաև աշխատողի աշխատանքային պայմանագրի՝ նշված հիմքով առանց բավարար հիմնավորվածության  լուծումից  պաշտպանվածության իրավունքը՝ նախագծով Օրենսգրքի 120-րդ հոդվածի 3-րդ մասում կատարվող լրացմամբ նախատեսվում է սահմանել, որ աշխատողի մասնագիտական ունակությունների համապատասխանությունը զբաղեցրած պաշտոնին կամ կատարվող աշխատանքին գործատուն գնահատում է  մասնագիտական ունակությունների գնահատման համապատասխան ընթացակարգերը սահմանող ներքին իրավական ակտերին համապատասխան։  Իսկ եթե աշխատողն այնուամենայնիվ կարծում է, որ իր աշխատանքային իրավունքները խախտվել են նա կարող է իրականացնել իր աշխատանքային իրավունքների պաշտպանություն Օրենսգրքով նախատեսված կարգավորումների համաձայն։</w:t>
            </w:r>
          </w:p>
        </w:tc>
        <w:tc>
          <w:tcPr>
            <w:tcW w:w="2250" w:type="dxa"/>
            <w:tcBorders>
              <w:top w:val="single" w:sz="1" w:space="0" w:color="000000"/>
              <w:left w:val="single" w:sz="1" w:space="0" w:color="000000"/>
              <w:bottom w:val="single" w:sz="1" w:space="0" w:color="000000"/>
              <w:right w:val="single" w:sz="1" w:space="0" w:color="000000"/>
            </w:tcBorders>
          </w:tcPr>
          <w:p w14:paraId="3E9CDF06" w14:textId="77777777" w:rsidR="007555DA" w:rsidRPr="009455B9" w:rsidRDefault="007555DA" w:rsidP="008064C3">
            <w:pPr>
              <w:spacing w:line="360" w:lineRule="auto"/>
              <w:jc w:val="both"/>
              <w:rPr>
                <w:rFonts w:ascii="GHEA Grapalat" w:hAnsi="GHEA Grapalat"/>
                <w:sz w:val="24"/>
                <w:szCs w:val="24"/>
              </w:rPr>
            </w:pPr>
          </w:p>
        </w:tc>
      </w:tr>
      <w:tr w:rsidR="007555DA" w:rsidRPr="009455B9" w14:paraId="63B74A45" w14:textId="77777777" w:rsidTr="001D359F">
        <w:tc>
          <w:tcPr>
            <w:tcW w:w="540" w:type="dxa"/>
            <w:tcBorders>
              <w:top w:val="single" w:sz="1" w:space="0" w:color="000000"/>
              <w:left w:val="single" w:sz="1" w:space="0" w:color="000000"/>
              <w:bottom w:val="single" w:sz="1" w:space="0" w:color="000000"/>
              <w:right w:val="single" w:sz="1" w:space="0" w:color="000000"/>
            </w:tcBorders>
          </w:tcPr>
          <w:p w14:paraId="5288BD70"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13</w:t>
            </w:r>
          </w:p>
        </w:tc>
        <w:tc>
          <w:tcPr>
            <w:tcW w:w="1710" w:type="dxa"/>
            <w:tcBorders>
              <w:top w:val="single" w:sz="1" w:space="0" w:color="000000"/>
              <w:left w:val="single" w:sz="1" w:space="0" w:color="000000"/>
              <w:bottom w:val="single" w:sz="1" w:space="0" w:color="000000"/>
              <w:right w:val="single" w:sz="1" w:space="0" w:color="000000"/>
            </w:tcBorders>
          </w:tcPr>
          <w:p w14:paraId="62D85A83"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211531DA" w14:textId="2BB3FFE6"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45263F01" w14:textId="77777777"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50-րդ հոդվածով առաջարկվող փոփոխության հետ համատեղ առաջարկում ենք ընդլայնել Օրենսգրքի 114-րդ հոդվածի 4-րդ մասի 3-րդ կետով սահմանված երաշխքիները՝ սահմանելով, որ աշխատանքային պայմանագրի լուծման օրինական պատճառ չի կարող համարվել` ոչ միայն օրենքների, նորմատիվ իրավական այլ ակտերի կամ կոլեկտիվ պայմանագրի, այլ նաև այլ բնույթի խախտումների համար պահանջներ ներկայացնելը (ոչ միայն գործատուին), հաշվի առնելով այն հանգամանքը, որ Օրենսգրքի հիշատակված դրույթով սահմանված երաշխիքը սահմանափակ է թե՛ հնարավոր խախտումների (նորմատիվ իրավական ակտերի կամ կոլեկտիվ պայմանագրի խախտում), թե՛ պահանջի ներկայացման սուբյեկտների շրջանակի տեսանկյունից (միայն գործատու): Միաժամանակ, առաջարկում ենք սահմանել, որ աշխատանքային պայմանագրի լուծման օրինական պատճառ չի կարող համարվել նաև գործատուի դեմ բողոք ներկայացնելը կամ օրենքների ենթադրյալ խախտման հետ կապված գործատուի դեմ կատարվող քննությանը մասնակցելը կամ իրավասու վարչական մարմնին դիմելը , ինչպես նաև սահմանել, որ նշված դեպքերում աշխատողի հետ կնքված աշխատանքային պայմանագիրը լուծելու դեպքում գործատուն ենթարկվում է օրենքով սահմանված պատասխանատվության։</w:t>
            </w:r>
          </w:p>
        </w:tc>
        <w:tc>
          <w:tcPr>
            <w:tcW w:w="4320" w:type="dxa"/>
            <w:tcBorders>
              <w:top w:val="single" w:sz="1" w:space="0" w:color="000000"/>
              <w:left w:val="single" w:sz="1" w:space="0" w:color="000000"/>
              <w:bottom w:val="single" w:sz="1" w:space="0" w:color="000000"/>
              <w:right w:val="single" w:sz="1" w:space="0" w:color="000000"/>
            </w:tcBorders>
          </w:tcPr>
          <w:p w14:paraId="674BD5CA" w14:textId="77777777"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63558AB6" w14:textId="77777777" w:rsidR="007555DA" w:rsidRPr="009455B9" w:rsidRDefault="007555DA" w:rsidP="008064C3">
            <w:pPr>
              <w:spacing w:line="360" w:lineRule="auto"/>
              <w:jc w:val="both"/>
              <w:rPr>
                <w:rFonts w:ascii="GHEA Grapalat" w:hAnsi="GHEA Grapalat"/>
                <w:sz w:val="24"/>
                <w:szCs w:val="24"/>
              </w:rPr>
            </w:pPr>
          </w:p>
        </w:tc>
      </w:tr>
      <w:tr w:rsidR="007555DA" w:rsidRPr="009455B9" w14:paraId="589F2BF7" w14:textId="77777777" w:rsidTr="001D359F">
        <w:tc>
          <w:tcPr>
            <w:tcW w:w="540" w:type="dxa"/>
            <w:tcBorders>
              <w:top w:val="single" w:sz="1" w:space="0" w:color="000000"/>
              <w:left w:val="single" w:sz="1" w:space="0" w:color="000000"/>
              <w:bottom w:val="single" w:sz="1" w:space="0" w:color="000000"/>
              <w:right w:val="single" w:sz="1" w:space="0" w:color="000000"/>
            </w:tcBorders>
          </w:tcPr>
          <w:p w14:paraId="09A93753"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14</w:t>
            </w:r>
          </w:p>
        </w:tc>
        <w:tc>
          <w:tcPr>
            <w:tcW w:w="1710" w:type="dxa"/>
            <w:tcBorders>
              <w:top w:val="single" w:sz="1" w:space="0" w:color="000000"/>
              <w:left w:val="single" w:sz="1" w:space="0" w:color="000000"/>
              <w:bottom w:val="single" w:sz="1" w:space="0" w:color="000000"/>
              <w:right w:val="single" w:sz="1" w:space="0" w:color="000000"/>
            </w:tcBorders>
          </w:tcPr>
          <w:p w14:paraId="3BBC211A"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3B4EB3E5" w14:textId="1516197C"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55581CAD" w14:textId="32F00452" w:rsidR="007555DA" w:rsidRPr="009455B9" w:rsidRDefault="000C6C16" w:rsidP="008064C3">
            <w:pPr>
              <w:spacing w:line="360" w:lineRule="auto"/>
              <w:ind w:left="76" w:right="165" w:firstLine="36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ուսումնասիրությունը ցույց է տալիս, որ փոփոխության չի ենթարկվում Օրենսգրքի 113-րդ հոդվածի 1-ին մասի 11-րդ կետը, որը հնարավորություն է ընձեռում գործատուին լուծելու կենսաթոշակի տարիք ունեցող աշխատողի հետ անորոշ կամ որոշակի ժամկետով կնքված աշխատանքային պայմանագիրը։ Նշված խնդրի վերաբերյալ քաղաքացիական հասարակության կազմակերպությունները դեռևս Օրենսգրքում փոփոխություններ և լրացումներ կատարելու մասին օրենքի նախորդ նախագծի քննարկման ժամանակ դիրքորոշում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 էին հայտնել այն մասին, որ 2012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և 2016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Հայաստանի վերաբերյալ ընդունված հետևություններով Կոմիտեն արձանագրել է Օրենսգրքի 113-րդ հոդվածով սահմանված՝ կենսաթոշակային տարիքով պայմանավորված աշխատանքային պայմանագրի լուծման հիմքի անհամապատասխանություն Խարտիայի պահանջներին: Իսկ 2020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ընդունված հետևություններով Կոմիտեն շեշտել է, որ Խարտիայի 24-րդ հոդվածը հնարավորություն է ընձեռնում աշխատանքային հարաբերությունը դադարեցնելու միայն երկու խումբ պատճառների դեպքում, որոնք առնչվում են աշխատողի վարքին և ընդունակություններին ու ձեռնարկության գործնական պահանջներին (տնտեսական պատճառներ): Գործատուի նախաձեռնությամբ աշխատողի ազատումը կենսաթոշակային տարիքը լրանալու հիմքով հակասում է Խարտիայի պահանջներին, քանի դեռ աշխատանքային հարաբերության դադարեցումը պայմանավորված չէ վերոգրյալ պատճառներով: Այնուհետև Կոմիտեն հարցադրում է կատարել Կառավարությանն առ այն, թե արդյո՞ք գործատուից պահանջվում է վկայակոչել նաև թվարկված պատճառներից (աշխատողի վարքին և ընդունակություններին կամ ձեռնարկության գործնական պահանջներին առնչվող) որևէ մեկը՝ աշխատանքից ազատելը հիմնավորելու համար: Վերջնական հետևության կատարումը առկախվել է՝ պայմանավորված նշված տեղեկության ստացմամբ: Հաշվի առնելով այն, որ Օրենսգրքի 113-րդ հոդվածի 1-ին մասի 11-րդ կետով ամրագրված հիմքը հանդիսանում է թե՛ անորոշ և թե՛ որոշակի ժամկետով կնքված աշխատանքային պայմանագրի լուծման ինքնուրույն հիմք, որը հնարավորություն է տալիս առանց որևէ այլ պատճառաբանության լուծելու պայմանագիրը և չի փոխկապակցվում աշխատողի վարքագծի կամ կարողությունների գնահատման հետ, Կոմիտեի կողմից սույն կարգավորումը կրկին դիտարկվելու է որպես Խարտիայի պահանջներին հակասող սահմանափակում: Ելնելով վերոգրյալից՝ ևս մեկ անգամ արձանագրում ենք, որ Օրենսգրքի 113-րդ հոդվածի 1-ին մասի 11-րդ կետով սահմանված դրույթը հակասության մեջ է գտնվում Խարտիայի պահանջների հետ այնքանով, որքանով հնարավորություն է ընձեռնում գործատուին լուծելու կնքված աշխատանքային պայմանագիրը՝ աշխատողի որոշակի տարիքը լրանալու հիմքով (63 կամ 65)՝ առանց փոխկապակցելու դա աշխատողի կարողությունների գնահատման կամ գործատուի հետ կապված տնտեսական պատճառների հետ: Վերը նշվածը հաշվի առնելով դարձյալ առաջարկում ենք վերանայել ՀՀ աշխատանքային օրենսգրքի 113-րդ հոդվածի 1-ին մասի 11-րդ կետով սահմանված դրույթը՝ բացառապես կենսաթոշակային տարիքը լրանալու հիմքով գործատուի կողմից աշխատանքային պայմանագիրը լուծելու հնարավորությունը վերացնելու նպատակով:</w:t>
            </w:r>
          </w:p>
        </w:tc>
        <w:tc>
          <w:tcPr>
            <w:tcW w:w="4320" w:type="dxa"/>
            <w:tcBorders>
              <w:top w:val="single" w:sz="1" w:space="0" w:color="000000"/>
              <w:left w:val="single" w:sz="1" w:space="0" w:color="000000"/>
              <w:bottom w:val="single" w:sz="1" w:space="0" w:color="000000"/>
              <w:right w:val="single" w:sz="1" w:space="0" w:color="000000"/>
            </w:tcBorders>
          </w:tcPr>
          <w:p w14:paraId="3050F370" w14:textId="77777777" w:rsidR="007555DA" w:rsidRPr="009455B9" w:rsidRDefault="000C6C16" w:rsidP="008064C3">
            <w:pPr>
              <w:spacing w:line="360" w:lineRule="auto"/>
              <w:ind w:left="76" w:right="165" w:firstLine="36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2C97DA51" w14:textId="77777777" w:rsidR="007555DA" w:rsidRPr="009455B9" w:rsidRDefault="007555DA" w:rsidP="008064C3">
            <w:pPr>
              <w:spacing w:line="360" w:lineRule="auto"/>
              <w:jc w:val="both"/>
              <w:rPr>
                <w:rFonts w:ascii="GHEA Grapalat" w:hAnsi="GHEA Grapalat"/>
                <w:sz w:val="24"/>
                <w:szCs w:val="24"/>
              </w:rPr>
            </w:pPr>
          </w:p>
        </w:tc>
      </w:tr>
      <w:tr w:rsidR="007555DA" w:rsidRPr="009455B9" w14:paraId="67F6A108" w14:textId="77777777" w:rsidTr="001D359F">
        <w:tc>
          <w:tcPr>
            <w:tcW w:w="540" w:type="dxa"/>
            <w:tcBorders>
              <w:top w:val="single" w:sz="1" w:space="0" w:color="000000"/>
              <w:left w:val="single" w:sz="1" w:space="0" w:color="000000"/>
              <w:bottom w:val="single" w:sz="1" w:space="0" w:color="000000"/>
              <w:right w:val="single" w:sz="1" w:space="0" w:color="000000"/>
            </w:tcBorders>
          </w:tcPr>
          <w:p w14:paraId="6D669B10"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15</w:t>
            </w:r>
          </w:p>
        </w:tc>
        <w:tc>
          <w:tcPr>
            <w:tcW w:w="1710" w:type="dxa"/>
            <w:tcBorders>
              <w:top w:val="single" w:sz="1" w:space="0" w:color="000000"/>
              <w:left w:val="single" w:sz="1" w:space="0" w:color="000000"/>
              <w:bottom w:val="single" w:sz="1" w:space="0" w:color="000000"/>
              <w:right w:val="single" w:sz="1" w:space="0" w:color="000000"/>
            </w:tcBorders>
          </w:tcPr>
          <w:p w14:paraId="1457AA14"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02247F16" w14:textId="5057B672"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4D2C1CD9" w14:textId="05DA71BB"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49-րդ հոդվածով առաջարկվում է հաստիքների կրճատման և աշխատանքի հավասար պայմանների առկայության դեպքում աշխատանքում մնալու նախապատվության իրավունք տալ սոցիալական որոշակի խմբի քաղաքացիների, որոնց թվում նաև՝ զոհված (մահացած) զինծառայողի ընտանիքի անդամին։ ՀՀ ներպետական օրենսդրության համակարգային վերլուծությունը ցույց է տալիս, որ օրենսդրությունը սոցիալական ապահովության միջոցների (երաշխիքների), արտոնությունների կիրառելիության տեսնակյունից զոհված (մահացած) զինծառայողներին հավասարեցնում է (նույնացնում է) մարտական գործողություններին մասնակցելու արդյունքում գտնվելու վայրն անհայտ զինծառայողներին։ Հետևաբար, առաջարկում ենք Նախագծի 49-րդ հոդվածի 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1 մասում «զոհված (մահացած)» բառից հետո լրացնել «մարտական գործողություններին մասնակցելու արդյունքում անհայտ կորած» բառերը, ինչպես նաև նույն մասի 1-ին կետի «զոհվածի (մահացածի)» բառից հետո լրացնել «մարտական գործողություններին մասնակցելու արդյունքում անհայտ կորածի» բառերը։</w:t>
            </w:r>
          </w:p>
        </w:tc>
        <w:tc>
          <w:tcPr>
            <w:tcW w:w="4320" w:type="dxa"/>
            <w:tcBorders>
              <w:top w:val="single" w:sz="1" w:space="0" w:color="000000"/>
              <w:left w:val="single" w:sz="1" w:space="0" w:color="000000"/>
              <w:bottom w:val="single" w:sz="1" w:space="0" w:color="000000"/>
              <w:right w:val="single" w:sz="1" w:space="0" w:color="000000"/>
            </w:tcBorders>
          </w:tcPr>
          <w:p w14:paraId="305B90F8" w14:textId="77777777" w:rsidR="007555DA" w:rsidRPr="009455B9" w:rsidRDefault="000C6C16" w:rsidP="008064C3">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43D5464C" w14:textId="77777777" w:rsidR="007555DA" w:rsidRPr="009455B9" w:rsidRDefault="007555DA" w:rsidP="008064C3">
            <w:pPr>
              <w:spacing w:line="360" w:lineRule="auto"/>
              <w:jc w:val="both"/>
              <w:rPr>
                <w:rFonts w:ascii="GHEA Grapalat" w:hAnsi="GHEA Grapalat"/>
                <w:sz w:val="24"/>
                <w:szCs w:val="24"/>
              </w:rPr>
            </w:pPr>
          </w:p>
        </w:tc>
      </w:tr>
      <w:tr w:rsidR="007555DA" w:rsidRPr="009455B9" w14:paraId="4CE0590C" w14:textId="77777777" w:rsidTr="001D359F">
        <w:tc>
          <w:tcPr>
            <w:tcW w:w="540" w:type="dxa"/>
            <w:tcBorders>
              <w:top w:val="single" w:sz="1" w:space="0" w:color="000000"/>
              <w:left w:val="single" w:sz="1" w:space="0" w:color="000000"/>
              <w:bottom w:val="single" w:sz="1" w:space="0" w:color="000000"/>
              <w:right w:val="single" w:sz="1" w:space="0" w:color="000000"/>
            </w:tcBorders>
          </w:tcPr>
          <w:p w14:paraId="7B8C9E6C"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16</w:t>
            </w:r>
          </w:p>
        </w:tc>
        <w:tc>
          <w:tcPr>
            <w:tcW w:w="1710" w:type="dxa"/>
            <w:tcBorders>
              <w:top w:val="single" w:sz="1" w:space="0" w:color="000000"/>
              <w:left w:val="single" w:sz="1" w:space="0" w:color="000000"/>
              <w:bottom w:val="single" w:sz="1" w:space="0" w:color="000000"/>
              <w:right w:val="single" w:sz="1" w:space="0" w:color="000000"/>
            </w:tcBorders>
          </w:tcPr>
          <w:p w14:paraId="5CA6925D" w14:textId="77777777"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7D49E0CF" w14:textId="183BE203" w:rsidR="007555DA" w:rsidRPr="009455B9" w:rsidRDefault="000C6C16" w:rsidP="008064C3">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16425C0A" w14:textId="19A6E1FD" w:rsidR="007555DA" w:rsidRPr="009455B9" w:rsidRDefault="000C6C16" w:rsidP="008064C3">
            <w:pPr>
              <w:spacing w:line="360" w:lineRule="auto"/>
              <w:ind w:left="76" w:right="7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41-րդ հոդվածով առաջարկվում է փոփոխել որոշակի ժամկետով կնքվող պայմանագրերին առնչվող Օրենսգրքի 95-րդ հոդվածը, սակայն Նախագծի ուսումնասիրությունը ցույց է տալիս, որ բովանդակային որևէ անհրաժեշտ փոփոխություն հոդվածում չի իրականացվում։ Հարկ է նշել, որ որոշակի ժամկետով կնքվող աշխատանքային պայմանագրերին առնչվող կարգավորումների փոփոխման անհրաժեշտության վերաբերյալ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ևս քաղաքացիական հասարակության կազմակերպությունները նշել են</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Օրենսգրքով պետք է սահմանված լինեն բավարար երաշխիքներ գործատուների կողմից ժամկետային պայմանագրերի կնքման չարաշահումները կանխարգելելու նպատակով, քանի որ եթե անորոշ ժամկետով կնքված աշխատանքային պայմանագրի պարագայում աշխատանքից ազատելու դեպքում գործատուն կաշկանդված է օրենքով սահմանված հիմքերով, ապա որոշակի ժամկետով աշխատանքային պայմանագրի կնքման դեպքում ժամկետի լրանալն ինքնին բավարար է աշխատողին աշխատանքից ազատելու համար: Այնուամենայնիվ, ո՛չ գործող Օրենսգրքով, ո՛չ Նախագծով սահմանված չեն այն երաշխիքները, որոնք բավարար կլինեն ժամկետային աշխատանքային պայմանագրերի անհիմն կնքման պրակտիկան բացառելու համար: Այսպես, Օրենսգրքի 95-րդ հոդվածը սահմանում է որոշակի ժամկետով պայմանագրերի կնքման պայմաններն ու հիմքերը՝ նախատեսելով, որ որոշակի ժամկետով աշխատանքային պայմանագիր է կնքվում, եթե աշխատանքային հարաբերությունները չեն կարող որոշվել անորոշ ժամկետով` հաշվի առնելով կատարվելիք աշխատանքի բնույթը կամ կատարման պայմանները, եթե Օրենսգրքով կամ օրենքներով այլ բան նախատեսված չէ: Նույն հոդվածով սահմանված է հետևյալ դրույթը</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«Եթե նույն գործատուի մոտ նույն աշխատողի հետ նույն աշխատանքի համար որոշակի ժամկետով կնքված աշխատանքային պայմանագրի գործողության ժամկետը երկարաձգվում է, կամ նույն գործատուի մոտ նույն աշխատանքի համար նույն աշխատողի հետ երկրորդ անգամ կնքվում է աշխատանքային պայմանագիր, որոնց ընդհատումը չի գերազանցում մեկ ամիսը, ապա աշխատանքային պայմանագիրը համարվում է կնքված անորոշ ժամկետով: Սույն մասում ամրագրված դրույթը չի տարածվում սույն հոդվածի 1-ին և 3-րդ մասերով նախատեսված դեպքերի վրա»: Առաջին հայացքից թվում է, թե նշված դրույթը երաշխիք է պարունակում որոշակի ժամկետով կնքվող աշխատանքային պայմանագրերի չհիմնավորված պրակտիկան կանխարգելելու դեմ, սակայն հոդվածի 1-ին մասին արված վերապահումը արժեզրկում է նշված կարգավորումը, քանի որ այսպես թե այնպես որոշակի ժամկետով աշխատանքային պայմանագիրը կնքվում է այն դեպքում, երբ աշխատանքային հարաբերությունները չեն կարող որոշվել անորոշ ժամկետով` հաշվի առնելով կատարվելիք աշխատանքի բնույթը կամ կատարման պայմանները: Հետևաբար, մյուս բոլոր դեպքերում պետք է կնքվի անորոշ ժամկետով պայմանագիր, ուստի և, գործող կարգավորման պահանջները հաշվի առնելով, վերոգրյալ դրույթը չի սահմանում որևէ լրացուցիչ երաշխիք, քանի որ 95-րդ հոդվածով սահմանված 1-ին մասի պահանջը կիրառելի է անկախ նրանից՝ պայմանագիրը կնքվում է առաջին անգամ, թե երկարաձգվում է կամ վերակնքվում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Միաժամանակ, Օրենսգրքի 95-րդ հոդվածի 3-րդ մասը նախատեսում է որոշակի ժամկետով աշխատանքային պայմանագրերի կնքման դեպքերի ոչ սպառիչ ցանկ, այդ թվում՝ օրենքով սահմանված ժամկետով նշանակված աշխատողների հետ, սեզոնային աշխատանքներ կատարողների հետ, ժամանակավոր (մինչև երկու ամիս ժամկետով) աշխատանքներ կատարողների հետ, ժամանակավորապես բացակայող աշխատողին փոխարինող աշխատողի հետ կնքվող պայմանագրեր և այլն: Այսինքն՝ օրենսդիրը սահմանափակվում է որոշակի ժամկետով կնքվող պայմանագրերի կնքման միայն մի քանի դեպքերի թվարկումով՝ հնարավորություն տալով գործատուին ժամկետային պայմանագրեր կնքելու նաև այլ դեպքերում՝ 1-ին մասի պայմանների հաշվառմամբ: Իրավակիրառ պրակտիկայում աշխատանքային օրենսգրքով ամրագրված այս սկզբունքը շարունակում է հաճախակի խախտվել՝ անտեսելով նաև ՀՀ վճռաբեկ դատարանի նախադեպային որոշումներով սահմանված իրավական դիրքորոշումներն ու մեկնաբանությունները նշված սկզբունքի կիրառման վերաբերյալ (Տես ՀՀ վճռաբեկ դատարանի թիվ ԵԿԴ/2946/02/08 քաղաքացիական գործով 16</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10</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2009 թ</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և թիվ 3-321(ՎԴ) գործով որոշումները): Ավելին, անգամ Վճռաբեկ դատարանի պրակտիկայում արձանագրվել են հակասական դիրքորոշումներ նշված հարցի վերաբերյալ։ Ելնելով վերոգրյալից և ձևավորված իրավակիրառ պրակտիկայից՝ անհրաժեշտ է սահմանափակել գործատուի կողմից նման պայմանագիր կնքելու հնարավորությունը՝ որոշակի ժամկետով պայմանագիր կնքելու հստակ և սպառիչ հիմքերի սահմանման միջոցով: Այսինքն՝ անհրաժեշտ է Օրենսգրքով հստակեցնել «աշխատանքի բնույթը կամ կատարման պայմանները» հասկացության իրավական բովանդակությունը՝ սպառիչ կերպով սահմանելով այն աշխատանքները, որոնք իրենց բնույթով կամ կատարման պայմաններով կարող են ժամանակավոր համարվել: Որոշակի լուծում կարող է լինել նաև Օրենսգրքով այն հիմքերի սպառիչ ցանկի սահմանումը, որով կբացառվի որոշակի ժամկետով աշխատանքային պայմանագրերի կնքումը:  ՀՀ և Եվրոպական միության միջև 2017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ստորագրված «Համապարփակ և ընդլայնված գործընկերության մասին» համաձայնագրից (որը ենթադրում է ստանձնած որոշակի պարտավորությունների շրջանակում ՀՀ օրենսդրության՝ Եվրոպական միության իրավունքին մոտարկելու պարտականություն) ևս բխում է որոշակի ժամկետով աշխատանքային պայմանագրերից կամ հարաբերություններից բխող չարաշահումները կանխարգելու իրավական համարժեք միջոցների սահմանման պահանջը: ՀՀ մարդու իրավունքների պաշտպանը, իրականացնելով ԵՄ իրավունքի հետ ՀՀ աշխատանքային օրենսգրքի համապատասխան կարգավորումների համապատասխանության գնահատում (https://www</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ombuds</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am/images/files/e2d81a6b598cc4cbf523b51cc1fb4b2e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pdf ), արձանագրել է, որ գործնականում ձևավորվել է պրակտիկա, որի ընթացքում հաստատություններում և կազմակերպություններում առանցքային գործառույթների իրականացումն ապահովող պարտականությունները վերապահվում են որոշակի ժամկետով աշխատող անձանց: Առաջարկվել է օրենսդրորեն ամրագրել գործատուի հիմնական գործառույթներն իրականացնող աշխատանքի համար որոշակի ժամկետով աշխատանքային պայմանագիր կնքելու արգելքի սկզբունքը, ինչպես նաև օրենսդրորեն սահմանել այն հիմքերի սպառիչ ցանկը, որոնց առկայության դեպքում կարգելվի որոշակի ժամկետով աշխատանքային պայմանագրերի կնքումն ու վերակնքումը, սահմանափակել մեկ անձի հետ որոշակի ժամկետով պայմանագրերի կնքման կամ վերակնքման համար առավելագույն ժամկետը կամ դրանց հնարավորության առավելագույն քանակը։ Հաշվի առնելով վերը նշվածը, կրկին առաջարկում ենք Օրենսգրքով հստակեցնել աշխատանքի բնույթը կամ կատարման պայմանները հասկացության իրավական բովանդակությունը՝ հնարավորինս սպառիչ կերպով սահմանելով այն աշխատանքները, որոնք իրենց բնույթով կամ կատարման պայմաններով կարող են ժամանակավոր համարվել, ինչպես նաև սահմանել այն հիմքերի սպառիչ ցանկը, որոնք կբացառեն որոշակի ժամկետով աշխատանքային պայմանագրերի կնքումը: Նաև առաջարկում ենք սահմանափակել մեկ անձի հետ որոշակի ժամկետով պայմանագրերի կնքման կամ վերակնքման համար առավելագույն ժամկետը կամ դրանց հնարավորության առավելագույն քանակը (վերանայելով առկա վերապահումները)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w:t>
            </w:r>
          </w:p>
        </w:tc>
        <w:tc>
          <w:tcPr>
            <w:tcW w:w="4320" w:type="dxa"/>
            <w:tcBorders>
              <w:top w:val="single" w:sz="1" w:space="0" w:color="000000"/>
              <w:left w:val="single" w:sz="1" w:space="0" w:color="000000"/>
              <w:bottom w:val="single" w:sz="1" w:space="0" w:color="000000"/>
              <w:right w:val="single" w:sz="1" w:space="0" w:color="000000"/>
            </w:tcBorders>
          </w:tcPr>
          <w:p w14:paraId="0AD1A269" w14:textId="0F68C16F" w:rsidR="007555DA" w:rsidRPr="009455B9" w:rsidRDefault="000C6C16" w:rsidP="008064C3">
            <w:pPr>
              <w:spacing w:line="360" w:lineRule="auto"/>
              <w:ind w:left="76" w:right="7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Գտնում ենք, որ Օրենսգրքում, միջազգային իրավունքի նորմերին համապատասխան, սահմանված են բավարար երաշխիքներ և կարգավորումներ՝ գործատուների կողմից աշխատանքային պայմանագրերը որոշակի ժամկետով կնքման չարաշահումները կանխարգելելու նպատակով։ Մասնավորապես, Օրենսգրքի 94-րդ հոդվածով սահմանված է, որ աշխատանքային պայմանագիրը կնքվում է անորոշ ժամկետով, բացառությամբ Օրենսգրքի 95-րդ հոդվածով նախատեսված դեպքերի: Օրենսգրքի 95-րդ հոդվածի 1-ին մասով սահմանված է, որ որոշակի ժամկետով աշխատանքային պայմանագիր է կնքվում, եթե աշխատանքային հարաբերությունները չեն կարող որոշվել անորոշ ժամկետով` հաշվի առնելով կատարվելիք աշխատանքի բնույթը կամ կատարման պայմանները, եթե Օրենսգրքով կամ օրենքներով այլ բան նախատեսված չէ:  Միաժամանակ Օրենսգրքի 95-րդ հոդվածի 3-րդ մասով ևս սահմանված են կոնկրետ դեպքեր, երբ աշխատանքային պայմանագիրը կնքվում է որոշակի ժամկետով։ Օրենսգրքի 95-րդ հոդվածի 2</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1-ին մասով սահմանված է, որ «եթե նույն գործատուի մոտ նույն աշխատողի հետ նույն աշխատանքի համար որոշակի ժամկետով կնքված աշխատանքային պայմանագրի գործողության ժամկետը երկարաձգվում է, կամ նույն գործատուի մոտ նույն աշխատանքի համար նույն աշխատողի հետ երկրորդ անգամ կնքվում է աշխատանքային պայմանագիր, որոնց ընդհատումը չի գերազանցում մեկ ամիսը, ապա աշխատանքային պայմանագիրը համարվում է կնքված անորոշ ժամկետով: Սույն մասում ամրագրված դրույթը չի տարածվում սույն հոդվածի 1-ին և 3-րդ մասերով նախատեսված դեպքերի վրա:»: Վերոնշյալ կարգավորման նպատակը աշխատանքային հարաբերությունների կայունության սկզբունքի ապահովումն ու գործատուների կողմից ժամկետները լրանալու հիմքով աշխատանքային հարաբերությունների դադարեցման կամայականությունների հնարավորինս բացառումն է:  Այս առնչությամբ անհրաժեշտ ենք համարում նշել նաև, որ ՀՀ աշխատանքային օրենսգրքի 95-րդ հոդվածի 2</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1-ին մասի կարգավորման նախատեսման համար հիմք են ընդունվել «Գործատուի նախաձեռնությամբ աշխատանքային հարաբերությունների դադարեցման մասին» Աշխատանքի միջազգային կազմակերպության 1982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թիվ 166 հանձնարարականով և «ԵԱՄՀ–ի, ԵԱԳՀՄ–ի և ՀՄՁԵԿ–ի կողմից կնքված՝ որոշակի ժամկետով աշխատանքի վերաբերյալ շրջանակային համաձայնագրի մասին» 1999 թվականի հունիսի 28-ի թիվ 1999/70 ԵՄ դիրեկտիվով սահմանված պահանջները: Հարկ է նշել նաև, որ առաջարկության մեջ նշված իրենց բնույթով կամ կատարման պայմաններով ժամանակավոր համարվող աշխատանքները սպառիչ կերպով սահմանելը գործնականում հնարավոր չէ, և Օրենսգրքով նախատեսված կարգավորումն արդեն իսկ լուծում է բարձրացված խնդիրը և միաժամանակ համապատասխանում է միջազգային իրավունքի նորմերով սահմանված պահանջներին: Մասնավորապես, «Գործատուի նախաձեռնությամբ աշխատանքային հարաբերությունների դադարեցման մասին» Աշխատանքի միջազգային կազմակերպության 1982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թիվ 166 հանձնարարականի 3-րդ մասի 2-րդ կետով նախատեսվում է, որ, օրինակ, օրենսդրությամբ կարող են ամրագրվել դրույթներ հետևյալի մասին</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ա) սահմանափակել որոշակի ժամկետով աշխատանքային պայմանագրերի կնքումը այն դեպքերով, երբ հաշվի առնելով կատարվող աշխատանքի բնույթը կամ  աշխատանքի կատարման պայմանները կամ աշխատողի շահերը, աշխատանքային հարաբերությունները չեն կարող լինել անորոշ ժամկետով, բ) սույն մասի (ա) կետում նշված դեպքերից բացի՝ որոշակի ժամկետով կնքված պայմանագրերը համարել որպես անորոշ ժամկետով կնքված աշխատանքային պայմանագրեր</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գ) սահմանել, որ որոշակի ժամկետով կնքված և մեկ կամ մի քանի անգամ ժամկետը երկարաձգված պայմանագրերը, բացառությամբ  սույն մասի (ա) կետում նշված դեպքերի, համարվում են անորոշ ժամկետով կնքված։ «ԵԱՄՀ–ի, ԵԱԳՀՄ–ի և ՀՄՁԵԿ–ի կողմից կնքված՝ որոշակի ժամկետով աշխատանքի վերաբերյալ շրջանակային համաձայնագրի մասին» 1999 թվականի հունիսի 28-ի թիվ 1999/70 ԵՄ դիրեկտիվի 5-րդ դրույթի 1-ին կետով սահմանված է, որ որոշակի ժամկետով իրար հաջորդող աշխատանքային պայմանագրերից կամ հարաբերություններից բխող չարաշահումները կանխելու համար անդամ պետությունները, սոցիալական գործընկերների հետ խորհրդակցելուց հետո, ազգային իրավունքի, կոլեկտիվ պայմանագրերի կամ պրակտիկայի համաձայն և (կամ) սոցիալական գործընկերներն իրենք, հաշվի առնելով կոնկրետ ոլորտների և (կամ) աշխատողների կատեգորիաների կարիքները, կիրառում են հետևյալ միջոցներից մեկը կամ մի քանիսը, եթե գոյություն չունեն չարաշահումները կանխարգելող համարժեք իրավական այլ միջոցներ՝ ա) օբյեկտիվ պատճառներ, որոնք հիմնավորում են նման պայմանագրերը կամ հարաբերությունները</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բ) սահմանված՝ իրար հաջորդող աշխատանքային պայմանագրերի կամ հարաբերությունների ընդհանուր առավելագույն տևողությունը</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գ) նման պայմանագրերի կամ հարաբերությունների նորացման թիվը։ Ամփոփելով միաժամանակ հարկ ենք համարում նշել նաև, որ առաջարկության մեջ նշված խնդիրը, երբ գործնականում կնքվում են որոշակի ժամկետով աշխատանքային պայմանագրեր այն դեպքերում, երբ աշխատանքն իր բնույթով ենթադրում է անորոշ ժամկետով աշխատանքային պայմանագրի կնքում,   պայմանավորված չէ ՀՀ աշխատանքային օրենսդրությունում առկա բացով: Օրենսդրությամբ սահմանված են այդ ուղղությամբ հստակ կարգավորումներ: Ներկայացված խնդիրն օրենքի սխալ կիրառման արդյունք է, և նման դեպքերում աշխատողների կողմից գործատուների գործողությունների բողոքարկման պարագայում հարցը կլուծվի ի օգուտ աշխատողի:</w:t>
            </w:r>
          </w:p>
        </w:tc>
        <w:tc>
          <w:tcPr>
            <w:tcW w:w="2250" w:type="dxa"/>
            <w:tcBorders>
              <w:top w:val="single" w:sz="1" w:space="0" w:color="000000"/>
              <w:left w:val="single" w:sz="1" w:space="0" w:color="000000"/>
              <w:bottom w:val="single" w:sz="1" w:space="0" w:color="000000"/>
              <w:right w:val="single" w:sz="1" w:space="0" w:color="000000"/>
            </w:tcBorders>
          </w:tcPr>
          <w:p w14:paraId="27504128" w14:textId="77777777" w:rsidR="007555DA" w:rsidRPr="009455B9" w:rsidRDefault="007555DA" w:rsidP="008064C3">
            <w:pPr>
              <w:spacing w:line="360" w:lineRule="auto"/>
              <w:ind w:left="76" w:right="75" w:firstLine="270"/>
              <w:jc w:val="both"/>
              <w:rPr>
                <w:rFonts w:ascii="GHEA Grapalat" w:hAnsi="GHEA Grapalat"/>
                <w:sz w:val="24"/>
                <w:szCs w:val="24"/>
              </w:rPr>
            </w:pPr>
          </w:p>
        </w:tc>
      </w:tr>
      <w:tr w:rsidR="007555DA" w:rsidRPr="009455B9" w14:paraId="164057EE" w14:textId="77777777" w:rsidTr="001D359F">
        <w:tc>
          <w:tcPr>
            <w:tcW w:w="540" w:type="dxa"/>
            <w:tcBorders>
              <w:top w:val="single" w:sz="1" w:space="0" w:color="000000"/>
              <w:left w:val="single" w:sz="1" w:space="0" w:color="000000"/>
              <w:bottom w:val="single" w:sz="1" w:space="0" w:color="000000"/>
              <w:right w:val="single" w:sz="1" w:space="0" w:color="000000"/>
            </w:tcBorders>
          </w:tcPr>
          <w:p w14:paraId="55C50011" w14:textId="77777777" w:rsidR="007555DA" w:rsidRPr="009455B9" w:rsidRDefault="000C6C16" w:rsidP="00B167D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17</w:t>
            </w:r>
          </w:p>
        </w:tc>
        <w:tc>
          <w:tcPr>
            <w:tcW w:w="1710" w:type="dxa"/>
            <w:tcBorders>
              <w:top w:val="single" w:sz="1" w:space="0" w:color="000000"/>
              <w:left w:val="single" w:sz="1" w:space="0" w:color="000000"/>
              <w:bottom w:val="single" w:sz="1" w:space="0" w:color="000000"/>
              <w:right w:val="single" w:sz="1" w:space="0" w:color="000000"/>
            </w:tcBorders>
          </w:tcPr>
          <w:p w14:paraId="01A07CCC" w14:textId="77777777" w:rsidR="007555DA" w:rsidRPr="009455B9" w:rsidRDefault="000C6C16" w:rsidP="00B167D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04E051D0" w14:textId="212B7C56" w:rsidR="007555DA" w:rsidRPr="009455B9" w:rsidRDefault="000C6C16" w:rsidP="00B167D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2CAF58C7" w14:textId="1ACBCD9A" w:rsidR="007555DA" w:rsidRPr="009455B9" w:rsidRDefault="000C6C16" w:rsidP="00B167D0">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29-րդ և 30-րդ հոդվածներով առաջարկվում է փոփոխել Օրենսգրքի՝ գործադուլ հայտարարելու և գործադուլ անցկացնելու սահմանափակումներ սահմանող 74-րդ և 75-րդ հոդվածները։ Առաջարկվող փոփոխությունների վերաբերյալ հարկ է նշել, որ քաղաքացիական հասարակության կազմակերպությունները դիրքորոշում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 էին հայտնել այն մասին, որ ՀՀ-ում 2004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ի վեր արհեստակցական կազմակերպությունների կողմից չի կազմակերպվել գործադուլ Օրենսգրքում սահմանված բարդ և անիրագործելի դրույթների պատճառով, մասնավորապես Օրենսգրքի 74-րդ հոդվածով ամրագրված թվաքանակին և ժամկետներին վերաբերող կարգավորումների պահպանումը գործադուլի իրականացումը գործնականում դարձնում է անիրատեսական: Այդ բարդ և անիրագործելի դրույթները հնարավորություն չեն տալիս աշխատողներին իրականացնելու իրենց սահմանադրական իրավունքը, այնինչ աշխատողների և նրանց ներկայացուցիչերի համար գործադուլը հաճախ նրանց սոցիալական և տնտեսական շահերը պատշպանելու «վերջին միջոցն» է։ Հայաստանի վերաբերյալ 2021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հրապարակված հետևություններում (https://www</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ilo</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org/dyn/normlex/en/f?p=1000:13100:0::NO:13100:P13100_COMMENT_ID:4050014) ԱՄԿ փորձագետների կոմիտեն առաջարկել էր վերանայել Օրենսգրքի 74-րդ հոդվածի 1-ին մասը՝ միայն քվեարկությանը մասնակցած ձայների քանակը հաշվի առնելու նպատակով՝ միաժամանակ շեշտելով, որ պահանջվող քվորումը և մեծամասնությունը պետք է սահմանվեն ողջամտության սահմաններում: Ըստ Նախագծի՝ գործադուլը հայտարարվում է այն դեպքում, եթե այդ մասին որոշումը գաղտնի քվեարկությամբ հավանության է արժանացել՝ գործատուի մոտ գործադուլի դեպքում քվեարկության մասնակցած աշխատողների ձայների մեծամասնությամբ, որը չի կարող պակաս լինել աշխատողների ընդհանուր թվի կեսից: Թեև առաջին հայացքից թվում է, թե նախատեսված կարգավորումը բխում է ԱՄԿ հանձնարարականներից, սակայն որոշման ընդունումը շարունակում է մնալ ոչ իրատեսական, քանի որ որոշման ընդունումը իրականում պայմանավորվել է կազմակերպության աշխատողների ընդհանուր թվի կեսից ավելիի ձայներով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Հետևաբար, կրկին առաջարկում ենք սահմանել, որ գործադուլ հայտարարելու որոշումը պետք է հավանության արժանանա գաղտնի քվեարկությանը մասնակցած աշխատողների մեծամասնության կողմից, եթե քվեարկությանը մասնակցել են կազմակերպության աշխատողների առնվազն կեսը, ինչպես նաև նվազեցնել Օրենսգրքի 74-րդ հոդվածի 2-րդ, 3-րդ և 4-րդ մասերով սահմանված ծանուցման ժամկետները:</w:t>
            </w:r>
          </w:p>
        </w:tc>
        <w:tc>
          <w:tcPr>
            <w:tcW w:w="4320" w:type="dxa"/>
            <w:tcBorders>
              <w:top w:val="single" w:sz="1" w:space="0" w:color="000000"/>
              <w:left w:val="single" w:sz="1" w:space="0" w:color="000000"/>
              <w:bottom w:val="single" w:sz="1" w:space="0" w:color="000000"/>
              <w:right w:val="single" w:sz="1" w:space="0" w:color="000000"/>
            </w:tcBorders>
          </w:tcPr>
          <w:p w14:paraId="5DEDA2D1" w14:textId="77777777" w:rsidR="007555DA" w:rsidRPr="009455B9" w:rsidRDefault="000C6C16" w:rsidP="00B167D0">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Հարկ է նկատել, որ «Միավորման ազատության և կազմակերպելու իրավունքի պաշտպանության մասին» Աշխատանքի միջազգային կազմակերպության N 87 կոնվենցիայի վերաբերյալ  ներկայացված զեկույցների շրջանակներում Կոնվենցիաների և հանձնարարական-առաջարկների կիրարկման հարցերով ԱՄԿ փորձագետների կոմիտեի կողմից ներկայացված ուղիղ հարցումներում կոմիտեն եզրակացրել է, որ անհրաժեշտ է փոփոխություններ կատարել Օրենսգրքի 74-րդ հոդվածի 1-ին մասում, մասնավորապես այն իմաստով, որ գործադուլ հայտարարելու որոշումը կայացվի ավելի քիչ աշխատողների համաձայնության դեպքում (գործող կարգավորումների համաձայն գործադուլ հայտարարելու որոշումը համարվում է հավանության արժանացած աշխատողների ընդհանուր թվի երկու երրորդի համաձայնության դեպքում) և հաշվի առնվի միայն քվեարկության ձայների քանակությունը։ Օրենսգրքի 74-րդ հոդվածի 1-ին մասում փոփոխություններն առաջարկվել են՝ հաշվի առնելով Կոնվենցիաների և հանձնարարական-առաջարկների կիրարկման հարցերով ԱՄԿ փորձագետների կոմիտեի վերոնշյալ առաջարկությունը (մասնավորապես, մեղմացվել են գործադուլ հայտարարելու որոշումը կայացնելուն վերաբերող իրավակարգավորումները, որոնք, ի տարբերություն Օրենսգրքի գործող նորմերի, նախատեսում են ավելի քիչ աշխատողների կամահայտնության դեպքում գործադուլ հայտարարելու հնարավորություն, ինչպես նաև նախատեսվում է, որ հաշվի են առնվում միայն քվեարկությանը մասնակցած աշխատողների ձայների քանակությունը)։ Անդրադառնալով ներկայացված առաջարկությանը, որ գործադուլ հայտարարելու որոշումը պետք է հավանության արժանանա գաղտնի քվեարկությանը մասնակցած աշխատողների մեծամասնության կողմից, եթե քվեարկությանը մասնակցել են կազմակերպության աշխատողների առնվազն կեսը, հարկ ենք համարում նշել, որ նման ձայների քանակություն նախատեսելը գտնում ենք ոչ նպատակահարմար այն հիմնավորմամբ, որ եթե քվեարկությանը մասնակցեն կազմակերպության աշխատողների, օրինակ կեսը, և տվյալ դեպքում բավարար համարվի քվեարկությանը մասնակցած աշխատողների մեծամասնության կողմից գործադուլ հայտարարելու որոշմանը հավանություն տալը, ապա կստացվի այնպես, որ կազմակերպության աշխատողների ¼-ի որոշմամբ կարող է հայտարարվել գործադուլ։ Ձայների նման քանակությամբ գործադուլ հայտարարելու կարգավորում նախատեսելը գտնում ենք ոչ նպատակահարմար։  Միաժամանակ, գտնում ենք, որ Օրենսգրքի 74-րդ  հոդվածի 2-րդ, 3-րդ և 4-րդ մասերով սահմանված ծանուցման ժամկետները սահմանված են ողջամտության սահմաններում՝ հաշվի առնելով աշխատողների և գործատուների շահերի հավասակշռման սկզբունքը։</w:t>
            </w:r>
          </w:p>
        </w:tc>
        <w:tc>
          <w:tcPr>
            <w:tcW w:w="2250" w:type="dxa"/>
            <w:tcBorders>
              <w:top w:val="single" w:sz="1" w:space="0" w:color="000000"/>
              <w:left w:val="single" w:sz="1" w:space="0" w:color="000000"/>
              <w:bottom w:val="single" w:sz="1" w:space="0" w:color="000000"/>
              <w:right w:val="single" w:sz="1" w:space="0" w:color="000000"/>
            </w:tcBorders>
          </w:tcPr>
          <w:p w14:paraId="008C0249" w14:textId="77777777" w:rsidR="007555DA" w:rsidRPr="009455B9" w:rsidRDefault="007555DA" w:rsidP="00B167D0">
            <w:pPr>
              <w:spacing w:line="360" w:lineRule="auto"/>
              <w:jc w:val="both"/>
              <w:rPr>
                <w:rFonts w:ascii="GHEA Grapalat" w:hAnsi="GHEA Grapalat"/>
                <w:sz w:val="24"/>
                <w:szCs w:val="24"/>
              </w:rPr>
            </w:pPr>
          </w:p>
        </w:tc>
      </w:tr>
      <w:tr w:rsidR="007555DA" w:rsidRPr="009455B9" w14:paraId="750AF9E5" w14:textId="77777777" w:rsidTr="001D359F">
        <w:tc>
          <w:tcPr>
            <w:tcW w:w="540" w:type="dxa"/>
            <w:tcBorders>
              <w:top w:val="single" w:sz="1" w:space="0" w:color="000000"/>
              <w:left w:val="single" w:sz="1" w:space="0" w:color="000000"/>
              <w:bottom w:val="single" w:sz="1" w:space="0" w:color="000000"/>
              <w:right w:val="single" w:sz="1" w:space="0" w:color="000000"/>
            </w:tcBorders>
          </w:tcPr>
          <w:p w14:paraId="3D79FBC9" w14:textId="77777777" w:rsidR="007555DA" w:rsidRPr="009455B9" w:rsidRDefault="000C6C16" w:rsidP="008D51DE">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18</w:t>
            </w:r>
          </w:p>
        </w:tc>
        <w:tc>
          <w:tcPr>
            <w:tcW w:w="1710" w:type="dxa"/>
            <w:tcBorders>
              <w:top w:val="single" w:sz="1" w:space="0" w:color="000000"/>
              <w:left w:val="single" w:sz="1" w:space="0" w:color="000000"/>
              <w:bottom w:val="single" w:sz="1" w:space="0" w:color="000000"/>
              <w:right w:val="single" w:sz="1" w:space="0" w:color="000000"/>
            </w:tcBorders>
          </w:tcPr>
          <w:p w14:paraId="0BBD2773" w14:textId="77777777" w:rsidR="007555DA" w:rsidRPr="009455B9" w:rsidRDefault="000C6C16" w:rsidP="008D51DE">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729F2544" w14:textId="1B466B7B" w:rsidR="007555DA" w:rsidRPr="009455B9" w:rsidRDefault="000C6C16" w:rsidP="008D51DE">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5E658E46" w14:textId="6F86A9F2" w:rsidR="007555DA" w:rsidRPr="009455B9" w:rsidRDefault="000C6C16" w:rsidP="008D51DE">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16-րդ հոդվածով առաջարկվում է փոփոխել հայցային վաղեմությանն առչնվող կարգավորումներն աշխատավարձի մասով, ինչը նշանակում է, որ առաջարկվող փոփոխության ընդունումից հետո հայցային վաղեմությունը տարածվելու է նաև աշխատավարձի բռնագանձման պահանջի վրա։ Նախ, հարկ է նշել, որ աշխատավարձը հանդիսանում է աշխատող անձի սեփականությունը և դրա նկատմամբ հայցային վաղեմություն կիրառելու դեպքում կխախտվի անձի սեփականության իրավունքը և անձը կզրկվի իր սեփականությունից։ Նախագծի «Հիմնավորումներ» բաժնի ուսումնասիրությունը ցույց է տալիս, որ Օրենսգրքի 30-րդ հոդվածի նման փոփոխություն կատարելու անհրաժեշտությունը որևէ ձևով չի հիմնավորվել, ավելին, Նախագիծը որևէ դրույթ չի պարունակում աշխատավարձի վրա հայցային վաղեմություն կիրառելու օբյեկտիվ անհրաժեշտության, գործող կարգավորումների փոփոխման իրավական և այլ հիմքերի մասին։ Ի վերջո, հասկանալի չէ, թե Նախագիծը մշակող մարմինն իրավական, սոցիալական և փաստական ի՞նչ չափանիշներով է առաջնորդվել նման փոփոխություն կատարելու անհրաժեշտությունը հիմնավորելու համար։ Նախագծով առաջարկվող փոփոխությունը չի ապահովելու յուրաքանչյուր անձի հայեցողությամբ իր սեփականություն հանդիսացող աշխատավարձի տիրապետման, օգտագործման և տնօրինման իրավունքը և կարող է հանգեցնել մարդու կամարտահայտությունից անկախ նրա սեփականության իրավունքի անհամաչափ սահմանափակմանը։ Աշխատավարձը, ինչպես և կենսաթոշակը, քաղաքացու վաստակած միջոցներ են և նրա սեփականությունը (Տես ՀՀ սահմանադրական դատարանի 4 հոկտեմբերի 2006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ՍԴՈ-649 որոշումը): Աշխատավարձի վճարումը գործնականում սեփականությունը սեփականատիրոջը փոխանցելու միջոց է։ Հետևաբար, անհրաժեշտություն է ծագում դիտարկել քննարկվող դրույթները նաև ՀՀ Սահմանադրության 10-րդ և 60-րդ հոդվածների պահանջներից ելնելով, որոնցից առաջինը հռչակում է սեփականության իրավունքի բոլոր ձևերի ճանաչումն ու պաշտպանությունը, իսկ երկրորդն ամրագրում է</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«Ոչ ոք չի կարող զրկվել սեփականությունից, բացառությամբ դատական կարգով` օրենքով սահմանված դեպքերի»։ Հետևաբար, Նախագծով առաջարկվող փոփոխությունները հակասում են և չեն ապահովում Սահմանադրության 10-րդ և 60-րդ պահանջների իրագործումը։ ՀՀ-ն, վավերացնելով «Քաղաքացիական և քաղաքական իրավունքների մասին» միջազգային դաշնագիրը,  ճանաչել է դրա Նախաբանի այն հիմնարար դրույթը, ըստ որի` «մարդու իրավունքները բխում են մարդկային անհատին ներհատուկ արժանապատվությունից»։ ՀՀ Սահմանադրության 3-րդ հոդվածի 1-ին մասում ամրագրված է</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«Մարդը, նրա արժանապատվությունը, հիմնական իրավունքները և ազատությունները բարձրագույն արժեքներ են»։ «Բարձրագույն արժեք» հասկացությունն այստեղ վերացական չէ և ունի որոշակի իրավական բովանդակություն։ «Բարձրագույն արժեք» նշանակում է, որ որևէ այլ արժեք, այդ թվում և՛ պետական, և՛ հանրային խնդիրների լուծմանը կոչված որևէ համակարգ, չի կարող ավելի բարձր դասվել։ Սրանից էլ բխում է ՀՀ Սահմանադրության նույն հոդվածի 3-րդ մասով ամրագրված նորմը</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«Պետությունը սահմանափակված է մարդու և քաղաքացու հիմնական իրավունքներով և ազատություններով` որպես անմիջականորեն գործող իրավունք»: (Տես ՀՀ սահմանադրական դատարանի 2 ապրիլի 2014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ՍԴՈ-1142 որոշումը): Ուստի, հիմք ընդունելով վերը նշվածը, առաջարկում ենք Նախագծից հանել 16-րդ հոդվածը։</w:t>
            </w:r>
          </w:p>
        </w:tc>
        <w:tc>
          <w:tcPr>
            <w:tcW w:w="4320" w:type="dxa"/>
            <w:tcBorders>
              <w:top w:val="single" w:sz="1" w:space="0" w:color="000000"/>
              <w:left w:val="single" w:sz="1" w:space="0" w:color="000000"/>
              <w:bottom w:val="single" w:sz="1" w:space="0" w:color="000000"/>
              <w:right w:val="single" w:sz="1" w:space="0" w:color="000000"/>
            </w:tcBorders>
          </w:tcPr>
          <w:p w14:paraId="790FF4E9" w14:textId="77777777" w:rsidR="007555DA" w:rsidRPr="009455B9" w:rsidRDefault="000C6C16" w:rsidP="008D51DE">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մասամբ։ Նախագծի հիմնավորումը լրամշակվել է և մանրամասն ներկայացվել առաջարկվող կարգավորման նպատակը։</w:t>
            </w:r>
          </w:p>
        </w:tc>
        <w:tc>
          <w:tcPr>
            <w:tcW w:w="2250" w:type="dxa"/>
            <w:tcBorders>
              <w:top w:val="single" w:sz="1" w:space="0" w:color="000000"/>
              <w:left w:val="single" w:sz="1" w:space="0" w:color="000000"/>
              <w:bottom w:val="single" w:sz="1" w:space="0" w:color="000000"/>
              <w:right w:val="single" w:sz="1" w:space="0" w:color="000000"/>
            </w:tcBorders>
          </w:tcPr>
          <w:p w14:paraId="7433748B" w14:textId="77777777" w:rsidR="007555DA" w:rsidRPr="009455B9" w:rsidRDefault="00327672" w:rsidP="008D51DE">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հիմնավորումը լրամշակվել է և մանրամասն ներկայացվել առաջարկվող կարգավորման նպատակը։</w:t>
            </w:r>
          </w:p>
        </w:tc>
      </w:tr>
      <w:tr w:rsidR="007555DA" w:rsidRPr="009455B9" w14:paraId="4F8BA2EB" w14:textId="77777777" w:rsidTr="001D359F">
        <w:tc>
          <w:tcPr>
            <w:tcW w:w="540" w:type="dxa"/>
            <w:tcBorders>
              <w:top w:val="single" w:sz="1" w:space="0" w:color="000000"/>
              <w:left w:val="single" w:sz="1" w:space="0" w:color="000000"/>
              <w:bottom w:val="single" w:sz="1" w:space="0" w:color="000000"/>
              <w:right w:val="single" w:sz="1" w:space="0" w:color="000000"/>
            </w:tcBorders>
          </w:tcPr>
          <w:p w14:paraId="4121BAB5" w14:textId="77777777" w:rsidR="007555DA" w:rsidRPr="009455B9" w:rsidRDefault="000C6C16" w:rsidP="002C21F2">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19</w:t>
            </w:r>
          </w:p>
        </w:tc>
        <w:tc>
          <w:tcPr>
            <w:tcW w:w="1710" w:type="dxa"/>
            <w:tcBorders>
              <w:top w:val="single" w:sz="1" w:space="0" w:color="000000"/>
              <w:left w:val="single" w:sz="1" w:space="0" w:color="000000"/>
              <w:bottom w:val="single" w:sz="1" w:space="0" w:color="000000"/>
              <w:right w:val="single" w:sz="1" w:space="0" w:color="000000"/>
            </w:tcBorders>
          </w:tcPr>
          <w:p w14:paraId="4604769D" w14:textId="77777777" w:rsidR="007555DA" w:rsidRPr="009455B9" w:rsidRDefault="000C6C16" w:rsidP="002C21F2">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34473C1A" w14:textId="25599215" w:rsidR="007555DA" w:rsidRPr="009455B9" w:rsidRDefault="000C6C16" w:rsidP="002C21F2">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2BD98DD5" w14:textId="3108BC3A" w:rsidR="007555DA" w:rsidRPr="009455B9" w:rsidRDefault="000C6C16" w:rsidP="002C21F2">
            <w:pPr>
              <w:spacing w:line="360" w:lineRule="auto"/>
              <w:ind w:left="76" w:right="7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13-րդ հոդվածով Oրենսգրքի 25-րդ հոդվածում առաջարկվող փոփոխության վերաբերյալ կրկին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 առաջարկում ենք  Օրենսգրքի 25-րդ հոդվածի 1-ին մասի 4-րդ կետը ճանաչել ուժը կորցրած և կոլեկտիվ պայմանագրեր կնքելու իրավունքը ներառել նույն հոդվածի 2-րդ մասում, որտեղ սահմանված են այն իրավունքները, որոնք վերապահված են միայն արհմիություններին, նկատի ունենալով այն հանգամանքը, որ օրենսդիրը արհմիություններին օժտել է հատուկ իրավունքներով և պարտականություններով, որոնք սահմանված են Օրենսգրքի 25-րդ հոդվածի 2-րդ մասում, այնինչ կազմակերպությունում աշխատողների ժողովի կողմից ընտրված մարմինը, չունենալով ՀՀ օրենսդրությամբ սահմանված որևէ կազմակերպաիրավական ձև, իրավասու չէ կնքելու կոլեկտիվ պայմանագիր, ուստի իրավասու չէ նաև կատարելու կոլեկտիվ պայմանագրով սահմանված պարտավորությունները:</w:t>
            </w:r>
          </w:p>
        </w:tc>
        <w:tc>
          <w:tcPr>
            <w:tcW w:w="4320" w:type="dxa"/>
            <w:tcBorders>
              <w:top w:val="single" w:sz="1" w:space="0" w:color="000000"/>
              <w:left w:val="single" w:sz="1" w:space="0" w:color="000000"/>
              <w:bottom w:val="single" w:sz="1" w:space="0" w:color="000000"/>
              <w:right w:val="single" w:sz="1" w:space="0" w:color="000000"/>
            </w:tcBorders>
          </w:tcPr>
          <w:p w14:paraId="5422FCCB" w14:textId="77777777" w:rsidR="007555DA" w:rsidRPr="009455B9" w:rsidRDefault="000C6C16" w:rsidP="002C21F2">
            <w:pPr>
              <w:spacing w:line="360" w:lineRule="auto"/>
              <w:ind w:left="76" w:right="7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«Կոլեկտիվ բանակցություններ կազմակերպելու և վարելու իրավունքի սկզբունքների կիրառման մասին» Աշխատանքի միջազգային կազմակերպության N 98 կոնվենցիայի 4-րդ հոդվածի (կոլեկտիվ բանակցությունները պետք է տեղի ունենան աշխատողների կազմակերպությունների՝ անկախ դրանց մակարդակից և գործատուների և նրանց կազմակերպությունների միջև) և Աշխատանքի միջազգային կազմակերպության N 135 կոնվենցիայի 5-րդ հոդվածի պահանջները հիմք ընդունելով՝ նախագծով վերանայվել են աշխատողների ներկայացուցիչներին վերաբերող կարգավորումները՝ արհեստակցական միությունների դերի առաջմղման և բարձրացման կարևորության տեսանկյունից (Օրենսգրքի 23-րդ հոդվածը շարադրվել է նոր խմբագրությամբ)։ Օրենսգրքի՝ նոր խմբագրությամբ շարադրված 23-րդ հոդվածի 1-ին մասով սահմանվում է, որ աշխատողների իրավունքներն ու շահերը ներկայացնելու և աշխատանքային հարաբերություններում դրանք պաշտպանելու իրավունք ունեն արհեստակցական միությունները: Կազմակերպությունում արհեստակցական միության բացակայության դեպքում աշխատողների ժողովի (համաժողովի) կողմից աշխատողների ներկայացուցչության և շահերի պաշտպանության գործառույթները կարող են փոխանցվել համապատասխան ճյուղային կամ տարածքային արհեստակցական միությանը: Այդ դեպքում աշխատողների ժողովը (համաժողովը) ընտրում է ներկայացուցիչ (ներկայացուցիչներ), որը ճյուղային կամ տարածքային արհեստակցական միության պատվիրակության կազմում մասնակցում է տվյալ գործատուի հետ վարվող կոլեկտիվ բանակցություններին: Օրենսգրքի՝ նոր խմբագրությամբ շարադրվող 23-րդ հոդվածի 2-րդ մասի 3-րդ կետում նախատեսվում է, որ եթե կազմակերպությունում առկա չէ արհեստակցական միություն (այդ թվում՝ ճյուղային կամ տարածքային), ապա կոլեկտիվ աշխատանքային հարաբերություններում բոլոր աշխատողների իրավունքներն ու շահերը ներկայացնելու և դրանք պաշտպանելու նպատակով, աշխատողների ժողովի (համաժողովի) կողմից կարող են ընտրվել ներկայացուցիչներ (մարմին)։ Հետևաբար, ստացվում է, որ կազմակերպությունում արհեստակցական միության բացակայության և միաժամանակ համապատասխան ճյուղային կամ տարածքային արհեստակցական միության բացակայության դեպքում կոլեկտիվ աշխատանքային հարաբերություններում բոլոր աշխատողների իրավունքներն ու շահերը ներկայացնելու և դրանք պաշտպանելու նպատակով, աշխատողների ժողովի (համաժողովի) կողմից կարող են ընտրվել ներկայացուցիչներ (մարմին)։ Ուստի, Օրենսգրքի 25-րդ հոդվածի 1-ին մասի 4-րդ կետի կարգավորումն այս պարագայում ապահովում է, որպեսզի վերոնշյալ դեպքում աշխատողների ժողովի (համաժողովի) կողմից ընտրված ներկայացուցիչները (մարմինը) կարողանա կազմակերպությունում վարել բանակցություններ, կնքել կոլեկտիվ պայմանագրեր, իրականացնել դրանց նկատմամբ հսկողություն։</w:t>
            </w:r>
          </w:p>
        </w:tc>
        <w:tc>
          <w:tcPr>
            <w:tcW w:w="2250" w:type="dxa"/>
            <w:tcBorders>
              <w:top w:val="single" w:sz="1" w:space="0" w:color="000000"/>
              <w:left w:val="single" w:sz="1" w:space="0" w:color="000000"/>
              <w:bottom w:val="single" w:sz="1" w:space="0" w:color="000000"/>
              <w:right w:val="single" w:sz="1" w:space="0" w:color="000000"/>
            </w:tcBorders>
          </w:tcPr>
          <w:p w14:paraId="5D48DE79" w14:textId="77777777" w:rsidR="007555DA" w:rsidRPr="009455B9" w:rsidRDefault="007555DA" w:rsidP="002C21F2">
            <w:pPr>
              <w:spacing w:line="360" w:lineRule="auto"/>
              <w:jc w:val="both"/>
              <w:rPr>
                <w:rFonts w:ascii="GHEA Grapalat" w:hAnsi="GHEA Grapalat"/>
                <w:sz w:val="24"/>
                <w:szCs w:val="24"/>
              </w:rPr>
            </w:pPr>
          </w:p>
        </w:tc>
      </w:tr>
      <w:tr w:rsidR="007555DA" w:rsidRPr="009455B9" w14:paraId="6F3D88FC" w14:textId="77777777" w:rsidTr="001D359F">
        <w:tc>
          <w:tcPr>
            <w:tcW w:w="540" w:type="dxa"/>
            <w:tcBorders>
              <w:top w:val="single" w:sz="1" w:space="0" w:color="000000"/>
              <w:left w:val="single" w:sz="1" w:space="0" w:color="000000"/>
              <w:bottom w:val="single" w:sz="1" w:space="0" w:color="000000"/>
              <w:right w:val="single" w:sz="1" w:space="0" w:color="000000"/>
            </w:tcBorders>
          </w:tcPr>
          <w:p w14:paraId="3AF5FED8" w14:textId="77777777" w:rsidR="007555DA" w:rsidRPr="009455B9" w:rsidRDefault="000C6C16" w:rsidP="005B4C5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20</w:t>
            </w:r>
          </w:p>
        </w:tc>
        <w:tc>
          <w:tcPr>
            <w:tcW w:w="1710" w:type="dxa"/>
            <w:tcBorders>
              <w:top w:val="single" w:sz="1" w:space="0" w:color="000000"/>
              <w:left w:val="single" w:sz="1" w:space="0" w:color="000000"/>
              <w:bottom w:val="single" w:sz="1" w:space="0" w:color="000000"/>
              <w:right w:val="single" w:sz="1" w:space="0" w:color="000000"/>
            </w:tcBorders>
          </w:tcPr>
          <w:p w14:paraId="0A3E6669" w14:textId="77777777" w:rsidR="007555DA" w:rsidRPr="009455B9" w:rsidRDefault="000C6C16" w:rsidP="005B4C5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16EB77A1" w14:textId="49410981" w:rsidR="007555DA" w:rsidRPr="009455B9" w:rsidRDefault="000C6C16" w:rsidP="005B4C5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625918C7" w14:textId="3C5B6E17" w:rsidR="007555DA" w:rsidRPr="009455B9" w:rsidRDefault="000C6C16" w:rsidP="005B4C50">
            <w:pPr>
              <w:spacing w:line="360" w:lineRule="auto"/>
              <w:ind w:left="76" w:right="7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12-րդ հոդվածով Օրենսգրքի 23-րդ հոդվածը, որը վերաբերում է աշխատողների ներկայացուցիչներին, շարադրվում է նոր խմբագրությամբ։ Նախագծի ուսումնասիրությունը ցույց է տալիս, որ նախկին իրավակարգավորման հետ համեմատ, առաջարկվող նոր խմագրությունը բովանդակային որևէ լուրջ փոփոխության չի ենթարկվել և չի բխում Խարտիայի 28-րդ հոդվածի վերաբերյալ ՀՀ-ի մասով Կոմիտեի կողմից տրված եզրակացության պահանջներից (https://hudoc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esc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coe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int/eng#{%22sort%22:[%22ESCPublicationDate%20Descending%22],%22tabview%22:[%22document%22],%22ESCDcIdentifier%22:[%222018/def/ARM/28/EN%22]})։ Մասնավորապես, թե գործող, թե առաջարկվող խմբագրությամբ կոլեկտիվ բանակցությունների նպատակով արհեստակցական միությունն (այսուհետ՝ արհմիություն) իրավունք ունի ներկայացնելու կազմակերպության բոլոր աշխատողներին, եթե արհմիությունը ներկայացնում է կազմակերպության աշխատողների կեսից ավելիին: Եթե արհմիությունը ներկայացնում է կազմակերպության բոլոր աշխատողների կեսից պակասի շահերը, ապա արհմիությունը կարող է գործել միայն իր անդամների անունից: Արհմիության բացակայության դեպքում ներկայացուցչական գործառույթներն իրականացնում են համապատասխան տարածաշրջանային կամ ճյուղային արհմիությունները, իսկ եթե կազմակերպությունում բացակայում են նաև ճյուղային և տարածաշրջանային արհմիությունները, ապա աշխատողների ժողովը (համաժողովը) կարող է ընտրել այլ ներկայացուցիչների։ Աշխատանքի միջազգային կազմակերպության (այսուհետ՝ ԱՄԿ) փորձագետների կոմիտեն ՀՀ-ի վերաբերյալ 2021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իր հետևություններում նշել է, որ հիմք ընդունելով ԱՄԿ թիվ 98 կոնվենցիայի դրույթները, կոլեկտիվ բանակցությունների իրավունքը ցանկացած մակարդակում պատկանում է աշխատողների կազմակերպություններին, և գործատուների կամ նրանց կազմակերպությունների և ոչ արհմիութենական աշխատողների ներկայացուցիչների միջև բանակցությունները հնարավոր են միայն այն դեպքում, երբ տվյալ մակարդակում արհմիություններ պարզապես չկան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ԱՄԿ փորձագետների կոմիտեն ընդգծել է, որ այնտեղ, որտեղ առկա է ներկայացուցչական արհմիություն, և այն ակտիվ գործում է կազմակերպությունում կամ գործունեության համապատասխան ճյուղում, աշխատողների այլ ներկայացուցիչների կոլեկտիվ բանակցություններ վարելու թույլտվությունը ոչ միայն թուլացնում է արհմիության դիրքը, այլև խարխլում է ԱՄԿ-ի իրավունքները և սկզբունքները կոլեկտիվ բանակցությունների վերաբերյալ (https://ec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europa</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eu/anti-trafficking/sites/default/files/giving_globalization_a_human_face_1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pd):  Հետևաբար, առաջարկում ենք վերանայել Նախագծի 12-րդ հոդվածով սահմանված և Օրենսգրքով դրան վերաբերելի կարգավորումները՝ հաշվի առնելով ԱՄԿ փորձագետների կոմիտեի կողմից ներկայացված առաջարկները (https://www</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ilo</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org/dyn/normlex/en/f?p=1000:13100:0::NO:13100:P13100_COMMENT_ID:4062777):</w:t>
            </w:r>
          </w:p>
        </w:tc>
        <w:tc>
          <w:tcPr>
            <w:tcW w:w="4320" w:type="dxa"/>
            <w:tcBorders>
              <w:top w:val="single" w:sz="1" w:space="0" w:color="000000"/>
              <w:left w:val="single" w:sz="1" w:space="0" w:color="000000"/>
              <w:bottom w:val="single" w:sz="1" w:space="0" w:color="000000"/>
              <w:right w:val="single" w:sz="1" w:space="0" w:color="000000"/>
            </w:tcBorders>
          </w:tcPr>
          <w:p w14:paraId="0F187A77" w14:textId="77777777" w:rsidR="007555DA" w:rsidRPr="009455B9" w:rsidRDefault="000C6C16" w:rsidP="005B4C50">
            <w:pPr>
              <w:spacing w:line="360" w:lineRule="auto"/>
              <w:ind w:left="76" w:right="7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«Կոլեկտիվ բանակցություններ կազմակերպելու և վարելու իրավունքի սկզբունքների կիրառման մասին» Աշխատանքի միջազգային կազմակերպության N 98 կոնվենցիայի 4-րդ հոդվածի (կոլեկտիվ բանակցությունները պետք է տեղի ունենան աշխատողների կազմակերպությունների՝ անկախ դրանց մակարդակից և գործատուների և նրանց կազմակերպությունների միջև) և Աշխատանքի միջազգային կազմակերպության N 135 կոնվենցիայի 5-րդ հոդվածի պահանջները հիմք ընդունելով՝ նախագծով վերանայվել են աշխատողների ներկայացուցիչներին վերաբերող կարգավորումները՝ արհեստակցական միությունների դերի առաջմղման և բարձրացման կարևորության տեսանկյունից (Օրենսգրքի 23-րդ հոդվածը շարադրվել է նոր խմբագրությամբ)։ Օրենսգրքի՝ նոր խմբագրությամբ շարադրված 23-րդ հոդվածի 1-ին մասով սահմանվում է, որ աշխատողների իրավունքներն ու շահերը ներկայացնելու և աշխատանքային հարաբերություններում դրանք պաշտպանելու իրավունք ունեն արհեստակցական միությունները: Կազմակերպությունում արհեստակցական միության բացակայության դեպքում աշխատողների ժողովի (համաժողովի) կողմից աշխատողների ներկայացուցչության և շահերի պաշտպանության գործառույթները կարող են փոխանցվել համապատասխան ճյուղային կամ տարածքային արհեստակցական միությանը: Այդ դեպքում աշխատողների ժողովը (համաժողովը) ընտրում է ներկայացուցիչ (ներկայացուցիչներ), որը ճյուղային կամ տարածքային արհեստակցական միության պատվիրակության կազմում մասնակցում է տվյալ գործատուի հետ վարվող կոլեկտիվ բանակցություններին: Օրենսգրքի՝ նոր խմբագրությամբ շարադրվող 23-րդ հոդվածի 2-րդ մասի 3-րդ կետում նախատեսվում է, որ եթե կազմակերպությունում առկա չէ արհեստակցական միություն (այդ թվում՝ ճյուղային կամ տարածքային), ապա կոլեկտիվ աշխատանքային հարաբերություններում բոլոր աշխատողների իրավունքներն ու շահերը ներկայացնելու և դրանք պաշտպանելու նպատակով, աշխատողների ժողովի (համաժողովի) կողմից կարող են ընտրվել ներկայացուցիչներ (մարմին)։ Հետևաբար, ստացվում է, որ կազմակերպությունում արհեստակցական միության բացակայության և միաժամանակ համապատասխան ճյուղային կամ տարածքային արհեստակցական միության բացակայության դեպքում է, որ աշխատողների ժողովի (համաժողովի) կողմից ընտրված ներկայացուցիչները (մարմինը) կարող են կոլեկտիվ աշխատանքային հարաբերություններում ներկայացնել բոլոր աշխատողների իրավունքներն ու շահերը և պաշտպանել դրանք:  Նախագծով Օրենսգրքի՝ նոր խմբագրությամբ շարադրվող 23-րդ հոդվածի 3-րդ կետով սահմանվում է, որ կազմակերպությունում մեկից ավելի արհեստակցական միության առկայության դեպքում կոլեկտիվ աշխատանքային հարաբերություններում բոլոր աշխատողների իրավունքներն ու շահերը ներկայացնելու և դրանք պաշտպանելու նպատակով, Օրենսգրքի 56-րդ հոդվածի 3-րդ մասով սահմանված կարգով կարող է ստեղծվել աշխատողների ներկայացուցչական միասնական մարմին: Ուստի, ամփոփելով վերոգրյալը, հարկ է նկատել, որ նախագծով առաջարկվող փոփոխությունները կարգավորում են առաջարկության մեջ նշված խնդիրները։</w:t>
            </w:r>
          </w:p>
        </w:tc>
        <w:tc>
          <w:tcPr>
            <w:tcW w:w="2250" w:type="dxa"/>
            <w:tcBorders>
              <w:top w:val="single" w:sz="1" w:space="0" w:color="000000"/>
              <w:left w:val="single" w:sz="1" w:space="0" w:color="000000"/>
              <w:bottom w:val="single" w:sz="1" w:space="0" w:color="000000"/>
              <w:right w:val="single" w:sz="1" w:space="0" w:color="000000"/>
            </w:tcBorders>
          </w:tcPr>
          <w:p w14:paraId="391ED77C" w14:textId="77777777" w:rsidR="007555DA" w:rsidRPr="009455B9" w:rsidRDefault="007555DA" w:rsidP="005B4C50">
            <w:pPr>
              <w:spacing w:line="360" w:lineRule="auto"/>
              <w:jc w:val="both"/>
              <w:rPr>
                <w:rFonts w:ascii="GHEA Grapalat" w:hAnsi="GHEA Grapalat"/>
                <w:sz w:val="24"/>
                <w:szCs w:val="24"/>
              </w:rPr>
            </w:pPr>
          </w:p>
        </w:tc>
      </w:tr>
      <w:tr w:rsidR="007555DA" w:rsidRPr="009455B9" w14:paraId="5019F4C3" w14:textId="77777777" w:rsidTr="001D359F">
        <w:tc>
          <w:tcPr>
            <w:tcW w:w="540" w:type="dxa"/>
            <w:tcBorders>
              <w:top w:val="single" w:sz="1" w:space="0" w:color="000000"/>
              <w:left w:val="single" w:sz="1" w:space="0" w:color="000000"/>
              <w:bottom w:val="single" w:sz="1" w:space="0" w:color="000000"/>
              <w:right w:val="single" w:sz="1" w:space="0" w:color="000000"/>
            </w:tcBorders>
          </w:tcPr>
          <w:p w14:paraId="26BD1CB1" w14:textId="77777777" w:rsidR="007555DA" w:rsidRPr="009455B9" w:rsidRDefault="000C6C16" w:rsidP="005B4C5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21</w:t>
            </w:r>
          </w:p>
        </w:tc>
        <w:tc>
          <w:tcPr>
            <w:tcW w:w="1710" w:type="dxa"/>
            <w:tcBorders>
              <w:top w:val="single" w:sz="1" w:space="0" w:color="000000"/>
              <w:left w:val="single" w:sz="1" w:space="0" w:color="000000"/>
              <w:bottom w:val="single" w:sz="1" w:space="0" w:color="000000"/>
              <w:right w:val="single" w:sz="1" w:space="0" w:color="000000"/>
            </w:tcBorders>
          </w:tcPr>
          <w:p w14:paraId="40027091" w14:textId="77777777" w:rsidR="007555DA" w:rsidRPr="009455B9" w:rsidRDefault="000C6C16" w:rsidP="005B4C5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38A54258" w14:textId="6482F3C1" w:rsidR="007555DA" w:rsidRPr="009455B9" w:rsidRDefault="000C6C16" w:rsidP="005B4C5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36EEF160" w14:textId="77777777" w:rsidR="007555DA" w:rsidRPr="009455B9" w:rsidRDefault="000C6C16" w:rsidP="005B4C50">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11-րդ հոդվածով նախատեսվում է Օրենսգրքի 20-րդ հոդվածի 2-րդ մասը շարադրել նոր խմբագրությամբ, որի ընդունման դեպքում աշխատանքային ստաժի տեսակ այլևս չի համարվելու հատուկ աշխատանքային ստաժը։ Ուսումնասիրելով նախագիծը տեսնում ենք, որ այն որևէ հիմնավորում չի պարունակում նման փոփոխություն կատարելու անհրաժեշտության վերաբերյալ։ Մինչդեռ հատուկ աշխատանքային ստաժը վերաբերվում է աշխատանքի առանձնահատուկ պայմաններում կատարված աշխատանքին, երկարամյա ծառայության կենսաթոշակի և արտոնյալ պայմաններով կենսաթոշակի իրավունք տվող աշխատանքներին։ Աշխատանքի հատուկ ստաժը նկատի ունի աշխատանքի տևականությունն առանձին պաշտոններում, պայմաններում կամ աշխատանքի առանձին տեսակներում։ Նման իրավակարգավորման ընդունման դեպքում կարող է առաջանալ համապատասխանության խնդիր Խարտիայի 12-րդ հոդվածով երաշխավորված սոցիալական ապահովության իրավունքի դրույթի, ՀՀ Սահմանադրության 83-րդ հոդվածի հետ։ Նշված պնդումն արդիական է նաև Նախագծի 11-րդ հոդվածի 3-րդ կետի վերաբերյալ, որի համաձայն նախատեսվում է ուժը կորցրած ճանաչել Օրենսգրքի 20-րդ հոդվածի 1-ին մասի 5-րդ կետը, որն աշխատանքային ստաժի տեսակ է համարում նաև ապահովագրական ստաժը։ Հաշվի առնելով վերը նշվածը, առաջարկում ենք Նախագծի 11-րդ հոդվածից հանել 2-րդ և 3-րդ կետերը։</w:t>
            </w:r>
          </w:p>
        </w:tc>
        <w:tc>
          <w:tcPr>
            <w:tcW w:w="4320" w:type="dxa"/>
            <w:tcBorders>
              <w:top w:val="single" w:sz="1" w:space="0" w:color="000000"/>
              <w:left w:val="single" w:sz="1" w:space="0" w:color="000000"/>
              <w:bottom w:val="single" w:sz="1" w:space="0" w:color="000000"/>
              <w:right w:val="single" w:sz="1" w:space="0" w:color="000000"/>
            </w:tcBorders>
          </w:tcPr>
          <w:p w14:paraId="07AECDB0" w14:textId="77777777" w:rsidR="007555DA" w:rsidRPr="009455B9" w:rsidRDefault="000C6C16" w:rsidP="005B4C50">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58159C4C" w14:textId="77777777" w:rsidR="007555DA" w:rsidRPr="009455B9" w:rsidRDefault="007555DA" w:rsidP="005B4C50">
            <w:pPr>
              <w:spacing w:line="360" w:lineRule="auto"/>
              <w:jc w:val="both"/>
              <w:rPr>
                <w:rFonts w:ascii="GHEA Grapalat" w:hAnsi="GHEA Grapalat"/>
                <w:sz w:val="24"/>
                <w:szCs w:val="24"/>
              </w:rPr>
            </w:pPr>
          </w:p>
        </w:tc>
      </w:tr>
      <w:tr w:rsidR="007555DA" w:rsidRPr="009455B9" w14:paraId="55D9D03A" w14:textId="77777777" w:rsidTr="001D359F">
        <w:tc>
          <w:tcPr>
            <w:tcW w:w="540" w:type="dxa"/>
            <w:tcBorders>
              <w:top w:val="single" w:sz="1" w:space="0" w:color="000000"/>
              <w:left w:val="single" w:sz="1" w:space="0" w:color="000000"/>
              <w:bottom w:val="single" w:sz="1" w:space="0" w:color="000000"/>
              <w:right w:val="single" w:sz="1" w:space="0" w:color="000000"/>
            </w:tcBorders>
          </w:tcPr>
          <w:p w14:paraId="0ECFBEED" w14:textId="77777777" w:rsidR="007555DA" w:rsidRPr="009455B9" w:rsidRDefault="000C6C16" w:rsidP="000B7DAA">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22</w:t>
            </w:r>
          </w:p>
        </w:tc>
        <w:tc>
          <w:tcPr>
            <w:tcW w:w="1710" w:type="dxa"/>
            <w:tcBorders>
              <w:top w:val="single" w:sz="1" w:space="0" w:color="000000"/>
              <w:left w:val="single" w:sz="1" w:space="0" w:color="000000"/>
              <w:bottom w:val="single" w:sz="1" w:space="0" w:color="000000"/>
              <w:right w:val="single" w:sz="1" w:space="0" w:color="000000"/>
            </w:tcBorders>
          </w:tcPr>
          <w:p w14:paraId="52DC34A8" w14:textId="77777777" w:rsidR="007555DA" w:rsidRPr="009455B9" w:rsidRDefault="000C6C16" w:rsidP="000B7DAA">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64DCF176" w14:textId="1C14F183" w:rsidR="007555DA" w:rsidRPr="009455B9" w:rsidRDefault="000C6C16" w:rsidP="000B7DAA">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0B28334E" w14:textId="7A341FCD" w:rsidR="007555DA" w:rsidRPr="009455B9" w:rsidRDefault="000C6C16" w:rsidP="000B7DAA">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2-րդ հոդվածի վերաբերյալ հարկ է նշել, որ թեև Օրենսգրքի 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1 հոդվածով սահմանվում է խտրականության հասկացությունը և արգելումը աշխատանքային հարաբերություններում, սակայն Օրենսգրքում հստակեցված չէ պատասխանատվության միջոցն աշխատանքային հարաբերություններում խտրականություն դրսևորելու փաստի հաստատման դեպքում։ Այս մասով Օրենսգրքի 265-րդ հոդվածը նախատեսում է փոխհատուցում բացառապես աշխատանքից անօրինական ազատման դեպքում (ինչը ենթադրաբար կարող է պայմանավորված լինել նաև խտրականության հիմքով ազատման դեպքերով</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այս մասով ևս օրենսգրքով ուղղակի կարգավորում նախատեսված չէ), և չի անդրադառնում աշխատանքային հարաբերություններում խտրականության դրսևորման այլ դեպքերին, ինչն ուղղակիորեն հակասում է Խարտիայի դրույթներին (Therefore, compensation for all acts of discrimination including discriminatory dismissal must be both proportionate to the loss suffered by the victim and sufficiently dissuasive for employers (Conclusions 2016 - Armenia - Article 1-2 2016/def/ARM/1/2/EN, December 2018 DIGEST OF THE CASE LAW OF THE EUROPEAN COMMITTEE OF SOCIAL RIGHTS): Ըստ այդմ՝ ներկայիս օրենսդրական կարգավորումներով խտրականության հիմքով խախտման դեպքում (բացառությամբ Օրենսգրքով սահմանված խիստ սահմանափակ դեպքերի, ինչից անուղղակիորեն կարող է բխել խտրականության դրսևորման հիմքով աշխատանքից ազատումը) դիմողը չի կարող ոչ նյութական վնասի փոխհատուցում ստանալ, քանի որ ՀՀ քաղաքացիական օրենսգքրի 17-րդ հոդվածի 4-րդ մասի համաձայն՝ ոչ նյութական վնասը ենթակա է հատուցման միայն օրենքով նախատեսված դեպքերում։ Ներկայիս ՀՀ քաղաքացիական օրենսգրքի կարգավորումները թույլ չեն տալիս մասնավոր իրավահարաբերություններից բխող խախտումների համար սահմանել ոչ նյութական վնասի փոխհատուցում, որևէ այլ, այդ թվում՝ աշխատանքային օրենսդրությամբ ևս սահմանված չեն նման կարգավորումներ։ Սակայն Մարդու իրավունքների եվրոպական դատարանն անձին պատճառված բարոյական վնասի դիմաց նյութական փոխհատուցում չտրամադրելը դիտել է որպես «Մարդու իրավունքների և հիմնարար ազատությունների պաշտպանության մասին» եվրոպական կոնվենցիայի (կից արձանագրություններով) համապատասխան դրույթների խախտում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Հաշվի առնելով միջազգային կարգավորումները մարդու հիմնարար իրավունքների խախտման և արդյունավետ դատական պաշտպանության իրացման սահմանների վերաբերյալ՝ կրկին առաջարկում ենք Օրենսգրքում նախատեսել անձի հիմնարար՝ խտրականության արգելքի իրավունքի խախտման դեպքում ոչ նյութական վնասի հատուցում ստանալու հնարավորությունը (Նման մոտեցումը ընդունված է նաև արտասահմանյան երկրներում, ինչպես, օրինակ, ՌԴ օրենսդրությամբ (հոդված 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անձինք, որոնք կարծում են, որ իրենք ենթարկվել են խտրականության աշխատանքային ոլորտում, իրավունք ունեն դիմելու դատարան՝ իրենց իրավունքների վերականգնման, ինչպես նաև գույքային և ոչ գույքային (բարոյական վնասի) հատուցման պահանջներով):</w:t>
            </w:r>
          </w:p>
        </w:tc>
        <w:tc>
          <w:tcPr>
            <w:tcW w:w="4320" w:type="dxa"/>
            <w:tcBorders>
              <w:top w:val="single" w:sz="1" w:space="0" w:color="000000"/>
              <w:left w:val="single" w:sz="1" w:space="0" w:color="000000"/>
              <w:bottom w:val="single" w:sz="1" w:space="0" w:color="000000"/>
              <w:right w:val="single" w:sz="1" w:space="0" w:color="000000"/>
            </w:tcBorders>
          </w:tcPr>
          <w:p w14:paraId="2044FF58" w14:textId="77777777" w:rsidR="007555DA" w:rsidRPr="009455B9" w:rsidRDefault="000C6C16" w:rsidP="000B7DAA">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12049BCD" w14:textId="77777777" w:rsidR="007555DA" w:rsidRPr="009455B9" w:rsidRDefault="007555DA" w:rsidP="000B7DAA">
            <w:pPr>
              <w:spacing w:line="360" w:lineRule="auto"/>
              <w:jc w:val="both"/>
              <w:rPr>
                <w:rFonts w:ascii="GHEA Grapalat" w:hAnsi="GHEA Grapalat"/>
                <w:sz w:val="24"/>
                <w:szCs w:val="24"/>
              </w:rPr>
            </w:pPr>
          </w:p>
        </w:tc>
      </w:tr>
      <w:tr w:rsidR="007555DA" w:rsidRPr="009455B9" w14:paraId="3F615680" w14:textId="77777777" w:rsidTr="001D359F">
        <w:tc>
          <w:tcPr>
            <w:tcW w:w="540" w:type="dxa"/>
            <w:tcBorders>
              <w:top w:val="single" w:sz="1" w:space="0" w:color="000000"/>
              <w:left w:val="single" w:sz="1" w:space="0" w:color="000000"/>
              <w:bottom w:val="single" w:sz="1" w:space="0" w:color="000000"/>
              <w:right w:val="single" w:sz="1" w:space="0" w:color="000000"/>
            </w:tcBorders>
          </w:tcPr>
          <w:p w14:paraId="20162939" w14:textId="77777777" w:rsidR="007555DA" w:rsidRPr="009455B9" w:rsidRDefault="000C6C16" w:rsidP="00C3599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23</w:t>
            </w:r>
          </w:p>
        </w:tc>
        <w:tc>
          <w:tcPr>
            <w:tcW w:w="1710" w:type="dxa"/>
            <w:tcBorders>
              <w:top w:val="single" w:sz="1" w:space="0" w:color="000000"/>
              <w:left w:val="single" w:sz="1" w:space="0" w:color="000000"/>
              <w:bottom w:val="single" w:sz="1" w:space="0" w:color="000000"/>
              <w:right w:val="single" w:sz="1" w:space="0" w:color="000000"/>
            </w:tcBorders>
          </w:tcPr>
          <w:p w14:paraId="0D38359E" w14:textId="77777777" w:rsidR="007555DA" w:rsidRPr="009455B9" w:rsidRDefault="000C6C16" w:rsidP="00C3599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406DB3EF" w14:textId="2DFDA16D" w:rsidR="007555DA" w:rsidRPr="009455B9" w:rsidRDefault="000C6C16" w:rsidP="00C3599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4B9CA0E1" w14:textId="4A95C40F" w:rsidR="007555DA" w:rsidRPr="009455B9" w:rsidRDefault="000C6C16" w:rsidP="00C35990">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1-ին հոդվածով առաջարկվում է Օրենսգրքի 3-րդ հոդվածի 3-րդ կետում «ռասայից» բառից հետո լրացնել «մաշկի գույնից» բառերը, որի վերաբերյալ կրկին հարկ է նշել, որ Վերանայված եվրոպական սոցիալական խարտիայի (այսուհետ՝ Խարտիա) նկատմամբ հսկողություն իրականացնող մարմնի` Սոցիալական իրավունքների եվրոպական կոմիտեի (այսուհետ՝ Կոմիտե) Հայաստանի Հանրապետության վերաբերյալ տրված եզրակացությամբ նշվել է, որ բացակայում է սեռական կողմնորոշման հիմքով խտրականության դեմ պաշտպանությունը (ESCR Conclusions, Armenia 2016, http://hudoc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esc</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coe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int/eng?i=2016/def/ARM/1/2/EN ): Հետևաբար, կրկին առաջարկում ենք Օրենսգրքի 3-րդ հոդվածի 1-ին մասի 3-րդ կետում «ռասայից» բառից հետո լրացնել «մաշկի գույնից, սեռական կողմնորոշումից» բառերը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w:t>
            </w:r>
          </w:p>
        </w:tc>
        <w:tc>
          <w:tcPr>
            <w:tcW w:w="4320" w:type="dxa"/>
            <w:tcBorders>
              <w:top w:val="single" w:sz="1" w:space="0" w:color="000000"/>
              <w:left w:val="single" w:sz="1" w:space="0" w:color="000000"/>
              <w:bottom w:val="single" w:sz="1" w:space="0" w:color="000000"/>
              <w:right w:val="single" w:sz="1" w:space="0" w:color="000000"/>
            </w:tcBorders>
          </w:tcPr>
          <w:p w14:paraId="52D4B566" w14:textId="77777777" w:rsidR="007555DA" w:rsidRPr="009455B9" w:rsidRDefault="000C6C16" w:rsidP="00C35990">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առաջարկությունը լրացուցիչ կուսումնասիրվի ՀՀ աշխատանքային օրենսգրքում նախատեսելու նպատակահարմարությունը քննարկելու համար:</w:t>
            </w:r>
          </w:p>
        </w:tc>
        <w:tc>
          <w:tcPr>
            <w:tcW w:w="2250" w:type="dxa"/>
            <w:tcBorders>
              <w:top w:val="single" w:sz="1" w:space="0" w:color="000000"/>
              <w:left w:val="single" w:sz="1" w:space="0" w:color="000000"/>
              <w:bottom w:val="single" w:sz="1" w:space="0" w:color="000000"/>
              <w:right w:val="single" w:sz="1" w:space="0" w:color="000000"/>
            </w:tcBorders>
          </w:tcPr>
          <w:p w14:paraId="453FE5D8" w14:textId="77777777" w:rsidR="007555DA" w:rsidRPr="009455B9" w:rsidRDefault="007555DA" w:rsidP="00C35990">
            <w:pPr>
              <w:spacing w:line="360" w:lineRule="auto"/>
              <w:jc w:val="both"/>
              <w:rPr>
                <w:rFonts w:ascii="GHEA Grapalat" w:hAnsi="GHEA Grapalat"/>
                <w:sz w:val="24"/>
                <w:szCs w:val="24"/>
              </w:rPr>
            </w:pPr>
          </w:p>
        </w:tc>
      </w:tr>
      <w:tr w:rsidR="007555DA" w:rsidRPr="009455B9" w14:paraId="7F460C82" w14:textId="77777777" w:rsidTr="000E46F2">
        <w:tc>
          <w:tcPr>
            <w:tcW w:w="540" w:type="dxa"/>
            <w:tcBorders>
              <w:top w:val="single" w:sz="1" w:space="0" w:color="000000"/>
              <w:left w:val="single" w:sz="1" w:space="0" w:color="000000"/>
              <w:bottom w:val="single" w:sz="1" w:space="0" w:color="000000"/>
              <w:right w:val="single" w:sz="1" w:space="0" w:color="000000"/>
            </w:tcBorders>
          </w:tcPr>
          <w:p w14:paraId="14404DD6" w14:textId="77777777" w:rsidR="007555DA" w:rsidRPr="009455B9" w:rsidRDefault="000C6C16" w:rsidP="000E46F2">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24</w:t>
            </w:r>
          </w:p>
        </w:tc>
        <w:tc>
          <w:tcPr>
            <w:tcW w:w="1710" w:type="dxa"/>
            <w:tcBorders>
              <w:top w:val="single" w:sz="1" w:space="0" w:color="000000"/>
              <w:left w:val="single" w:sz="1" w:space="0" w:color="000000"/>
              <w:bottom w:val="single" w:sz="1" w:space="0" w:color="000000"/>
              <w:right w:val="single" w:sz="1" w:space="0" w:color="000000"/>
            </w:tcBorders>
          </w:tcPr>
          <w:p w14:paraId="01F6BC59" w14:textId="77777777" w:rsidR="007555DA" w:rsidRPr="009455B9" w:rsidRDefault="000C6C16" w:rsidP="000E46F2">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Հելսինկյան Քաղաքացիական Ասամբլեայի Վանաձորի գրասենյակ</w:t>
            </w:r>
          </w:p>
          <w:p w14:paraId="71A45F3F" w14:textId="32FDF657" w:rsidR="007555DA" w:rsidRPr="009455B9" w:rsidRDefault="000C6C16" w:rsidP="000E46F2">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18:38:06</w:t>
            </w:r>
          </w:p>
        </w:tc>
        <w:tc>
          <w:tcPr>
            <w:tcW w:w="7110" w:type="dxa"/>
            <w:tcBorders>
              <w:top w:val="single" w:sz="1" w:space="0" w:color="000000"/>
              <w:left w:val="single" w:sz="1" w:space="0" w:color="000000"/>
              <w:bottom w:val="single" w:sz="1" w:space="0" w:color="000000"/>
              <w:right w:val="single" w:sz="1" w:space="0" w:color="000000"/>
            </w:tcBorders>
          </w:tcPr>
          <w:p w14:paraId="49E6E794" w14:textId="1D801ABD" w:rsidR="007555DA" w:rsidRPr="009455B9" w:rsidRDefault="000C6C16" w:rsidP="000E46F2">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1-ին հոդվածի 1-ին մասի 1-ին կետում առաջարկվող փոփոխության («աշխատանքի ազատությունը» բառերը փոխարինել «աշխատանքի ազատ ընտրությունը» բառերով) վերաբերյալ դեռևս 2021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քաղաքացիական հասարակության կազմակերպությունները դիրքորոշում էին հայտնել այն մասին, որ առաջարկվող փոփոխության արդյունքում կստացվի, որ աշխատանքի ազատ ընտրությունը ներառում է աշխատանքի իրավունքը, մինչդեռ աշխատանքի իրավունքն ավելի լայն եզրույթ է, և աշխատանքի իրավունքն է, որը ներառում է աշխատանքի ազատ ընտրությունը/աշխատանքն ազատորեն ընտրելը (ՄԱԿ-ի 1966 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Տնտեսական, սոցիալական և մշակութային իրավունքների միջազգային դաշնագրի 6-րդ հոդված): Միաժամանակ, նույն դրույթի կարգավորումն ունի վերանայման կարիք, քանի որ դրանով նախատեսված է, որ աշխատանքի ազատությունը ներառում է աշխատանքի իրավունքը (որը յուրաքանչյուրն ազատորեն ընտրում է, կամ որին ազատորեն համաձայնում է), մինչդեռ անձն ընտրում է  ոչ թե աշխատանքի իրավունքը, այլ` աշխատանքը։  Հետևաբար, կրկին առաջարկում ենք Օրենսգրքի 3-րդ հոդվածի 1-ին մասում սահմանել, որ հիմնական սկզբունք է հանդիսանում աշխատանքի ազատությունը և այն ներառում է աշխատանքի, մասնագիտության և գործունեության տեսակի ազատ ընտրությունը և աշխատանքային ունակություններն ազատորեն տնօրինելը (https://hcav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am/labor-rights-research/ ):</w:t>
            </w:r>
          </w:p>
        </w:tc>
        <w:tc>
          <w:tcPr>
            <w:tcW w:w="4320" w:type="dxa"/>
            <w:tcBorders>
              <w:top w:val="single" w:sz="1" w:space="0" w:color="000000"/>
              <w:left w:val="single" w:sz="1" w:space="0" w:color="000000"/>
              <w:bottom w:val="single" w:sz="1" w:space="0" w:color="000000"/>
              <w:right w:val="single" w:sz="1" w:space="0" w:color="000000"/>
            </w:tcBorders>
          </w:tcPr>
          <w:p w14:paraId="3A4EF4B4" w14:textId="77777777" w:rsidR="007555DA" w:rsidRPr="009455B9" w:rsidRDefault="000C6C16" w:rsidP="000E46F2">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020E725D" w14:textId="77777777" w:rsidR="007555DA" w:rsidRPr="009455B9" w:rsidRDefault="007555DA" w:rsidP="000E46F2">
            <w:pPr>
              <w:spacing w:line="360" w:lineRule="auto"/>
              <w:jc w:val="both"/>
              <w:rPr>
                <w:rFonts w:ascii="GHEA Grapalat" w:hAnsi="GHEA Grapalat"/>
                <w:sz w:val="24"/>
                <w:szCs w:val="24"/>
              </w:rPr>
            </w:pPr>
          </w:p>
        </w:tc>
      </w:tr>
      <w:tr w:rsidR="007555DA" w:rsidRPr="009455B9" w14:paraId="736BEB0A" w14:textId="77777777" w:rsidTr="001D359F">
        <w:tc>
          <w:tcPr>
            <w:tcW w:w="540" w:type="dxa"/>
            <w:tcBorders>
              <w:top w:val="single" w:sz="1" w:space="0" w:color="000000"/>
              <w:left w:val="single" w:sz="1" w:space="0" w:color="000000"/>
              <w:bottom w:val="single" w:sz="1" w:space="0" w:color="000000"/>
              <w:right w:val="single" w:sz="1" w:space="0" w:color="000000"/>
            </w:tcBorders>
          </w:tcPr>
          <w:p w14:paraId="3D5AD64F" w14:textId="77777777" w:rsidR="007555DA" w:rsidRPr="009455B9" w:rsidRDefault="000C6C16" w:rsidP="00DE6B58">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25</w:t>
            </w:r>
          </w:p>
        </w:tc>
        <w:tc>
          <w:tcPr>
            <w:tcW w:w="1710" w:type="dxa"/>
            <w:tcBorders>
              <w:top w:val="single" w:sz="1" w:space="0" w:color="000000"/>
              <w:left w:val="single" w:sz="1" w:space="0" w:color="000000"/>
              <w:bottom w:val="single" w:sz="1" w:space="0" w:color="000000"/>
              <w:right w:val="single" w:sz="1" w:space="0" w:color="000000"/>
            </w:tcBorders>
          </w:tcPr>
          <w:p w14:paraId="60DC61A6" w14:textId="77777777" w:rsidR="007555DA" w:rsidRPr="009455B9" w:rsidRDefault="000C6C16" w:rsidP="00DE6B58">
            <w:pPr>
              <w:spacing w:line="360" w:lineRule="auto"/>
              <w:ind w:right="75"/>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019B0C0E" w14:textId="44A1EF9A" w:rsidR="007555DA" w:rsidRPr="009455B9" w:rsidRDefault="000C6C16" w:rsidP="00DE6B58">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342A1408" w14:textId="0EE3A659" w:rsidR="007555DA" w:rsidRPr="009455B9" w:rsidRDefault="000C6C16" w:rsidP="00DE6B58">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Հոդված 8-ով առաջարկվող Օրենսգրքի հոդված 17</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1-ի խմբագրության մեջ 4-րդ կետը լիարժեք չի ձևակերպված, «ընդգրկվել աշխատանքի կատարմանը» ձևակերպումը հնարավորություն է ստեղծում ընդգրկել անձանց աշխատանքներին՝ առանց պատշաճ վարձատրման։ Անհրաժեշտ է հստակեցնել, որ մինչև տասնչորս տարեկան անձանց աշխատանքների ընդգրկելու ժամանակ գործատուն պարտավոր է աշխատանքային պայմանագիր կնքել անձի ծնողի հետ։</w:t>
            </w:r>
          </w:p>
        </w:tc>
        <w:tc>
          <w:tcPr>
            <w:tcW w:w="4320" w:type="dxa"/>
            <w:tcBorders>
              <w:top w:val="single" w:sz="1" w:space="0" w:color="000000"/>
              <w:left w:val="single" w:sz="1" w:space="0" w:color="000000"/>
              <w:bottom w:val="single" w:sz="1" w:space="0" w:color="000000"/>
              <w:right w:val="single" w:sz="1" w:space="0" w:color="000000"/>
            </w:tcBorders>
          </w:tcPr>
          <w:p w14:paraId="4D4F516C" w14:textId="77777777" w:rsidR="007555DA" w:rsidRPr="009455B9" w:rsidRDefault="000C6C16" w:rsidP="00327672">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 xml:space="preserve">Առաջարկն ընդունվել է։ </w:t>
            </w:r>
          </w:p>
        </w:tc>
        <w:tc>
          <w:tcPr>
            <w:tcW w:w="2250" w:type="dxa"/>
            <w:tcBorders>
              <w:top w:val="single" w:sz="1" w:space="0" w:color="000000"/>
              <w:left w:val="single" w:sz="1" w:space="0" w:color="000000"/>
              <w:bottom w:val="single" w:sz="1" w:space="0" w:color="000000"/>
              <w:right w:val="single" w:sz="1" w:space="0" w:color="000000"/>
            </w:tcBorders>
          </w:tcPr>
          <w:p w14:paraId="76F36B65" w14:textId="77777777" w:rsidR="007555DA" w:rsidRPr="009455B9" w:rsidRDefault="00327672" w:rsidP="00DE6B58">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Օրենսգրքի 85-րդ հոդվածում կատարվող փոփոխություններն առաջարկությանը համապատասխան լրամշակվել են։ Մասնավորապես, հստակեցվել է մինչև տասնչորս տարեկան անձանց աշխատանքների ընդգրկելու ժամանակ  աշխատանքային պայմանագիրը ստորագրող սուբյեկտների շրջանակը։</w:t>
            </w:r>
          </w:p>
        </w:tc>
      </w:tr>
      <w:tr w:rsidR="007555DA" w:rsidRPr="009455B9" w14:paraId="16C4BDDD" w14:textId="77777777" w:rsidTr="001D359F">
        <w:tc>
          <w:tcPr>
            <w:tcW w:w="540" w:type="dxa"/>
            <w:tcBorders>
              <w:top w:val="single" w:sz="1" w:space="0" w:color="000000"/>
              <w:left w:val="single" w:sz="1" w:space="0" w:color="000000"/>
              <w:bottom w:val="single" w:sz="1" w:space="0" w:color="000000"/>
              <w:right w:val="single" w:sz="1" w:space="0" w:color="000000"/>
            </w:tcBorders>
          </w:tcPr>
          <w:p w14:paraId="0E24C776" w14:textId="77777777" w:rsidR="007555DA" w:rsidRPr="009455B9" w:rsidRDefault="000C6C16" w:rsidP="00DE6B58">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26</w:t>
            </w:r>
          </w:p>
        </w:tc>
        <w:tc>
          <w:tcPr>
            <w:tcW w:w="1710" w:type="dxa"/>
            <w:tcBorders>
              <w:top w:val="single" w:sz="1" w:space="0" w:color="000000"/>
              <w:left w:val="single" w:sz="1" w:space="0" w:color="000000"/>
              <w:bottom w:val="single" w:sz="1" w:space="0" w:color="000000"/>
              <w:right w:val="single" w:sz="1" w:space="0" w:color="000000"/>
            </w:tcBorders>
          </w:tcPr>
          <w:p w14:paraId="3404B1D7" w14:textId="77777777" w:rsidR="007555DA" w:rsidRPr="009455B9" w:rsidRDefault="000C6C16" w:rsidP="00DE6B58">
            <w:pPr>
              <w:spacing w:line="360" w:lineRule="auto"/>
              <w:ind w:right="165"/>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332752E2" w14:textId="18D1F3AE" w:rsidR="007555DA" w:rsidRPr="009455B9" w:rsidRDefault="000C6C16" w:rsidP="00DE6B58">
            <w:pPr>
              <w:spacing w:line="360" w:lineRule="auto"/>
              <w:ind w:right="165"/>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06A37069" w14:textId="12D48C3A" w:rsidR="007555DA" w:rsidRPr="009455B9" w:rsidRDefault="000C6C16" w:rsidP="00DE6B58">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Գործող Օրենսգրքի հոդված 80-ի 1-ին մասում ավելացնել 4-րդ կետ</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«հայտարարել լոքաուտ՝  աշխատանքային վեճի ընթացքում գործատուի կողմից նախաձեռնվող աշխատանքի դադարեցումը կամ կազմակերպության լուծարումը»։        —————————-     Հիմնավորում</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միջազգային պրակտիկայում նման կարգավորումներ առկա են։ Հայաստանում վերջին շրջանում նույնպես եղել են դեպքեր, երբ գործադուլի ժամանակ գործատուն սպառնացել է կազմակերպության լուծարմամբ և աշխատատեղերի վերացմամբ։</w:t>
            </w:r>
          </w:p>
        </w:tc>
        <w:tc>
          <w:tcPr>
            <w:tcW w:w="4320" w:type="dxa"/>
            <w:tcBorders>
              <w:top w:val="single" w:sz="1" w:space="0" w:color="000000"/>
              <w:left w:val="single" w:sz="1" w:space="0" w:color="000000"/>
              <w:bottom w:val="single" w:sz="1" w:space="0" w:color="000000"/>
              <w:right w:val="single" w:sz="1" w:space="0" w:color="000000"/>
            </w:tcBorders>
          </w:tcPr>
          <w:p w14:paraId="471C2A7C" w14:textId="59BC89CE" w:rsidR="007555DA" w:rsidRPr="009455B9" w:rsidRDefault="000C6C16" w:rsidP="00DE6B58">
            <w:pPr>
              <w:spacing w:line="360" w:lineRule="auto"/>
              <w:ind w:left="76" w:right="165"/>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չի ընդունվել։  Հարկ է նկատել, որ առաջարկին համանման կարգավորում արդեն իսկ ամրագրված է Օրենսգրքի 80-րդ հոդվածի 1-ին մասի 2-րդ կետում, որտեղ մասնավորապես սահմանված է, որ գործադուլ հայտարարվելու մասին որոշումն ընդունվելուց հետո և գործադուլի ընթացքում գործատուն իրավունք չունի` հրաժարվելու աշխատողներին աշխատանք տրամադրելուց։ Միաժամանակ հարկ է նկատել, որ լոքաուտը սահմանվում է որպես գործատուի գործողությունը արգելելու աշխատողներին կամ նրանց մի մասին կատարելու իրենց աշխատանքը` նպատակ ունենալով դիմադրել նրանց ներկայացրած պահանջներին  (Աշխատանքի միջազգային կազմակերպության որոշ փաստաթղթերին հղումները՝ https://www</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ilo</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org/wcmsp5/groups/public/---asia/---ro-bangkok/---ilo-jakarta/documents/publication/wcms_122037</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pdf,  https://www</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ilo</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org/wcmsp5/groups/public/---dgreports/---stat/documents/publication/wcms_087921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pdf)։</w:t>
            </w:r>
          </w:p>
        </w:tc>
        <w:tc>
          <w:tcPr>
            <w:tcW w:w="2250" w:type="dxa"/>
            <w:tcBorders>
              <w:top w:val="single" w:sz="1" w:space="0" w:color="000000"/>
              <w:left w:val="single" w:sz="1" w:space="0" w:color="000000"/>
              <w:bottom w:val="single" w:sz="1" w:space="0" w:color="000000"/>
              <w:right w:val="single" w:sz="1" w:space="0" w:color="000000"/>
            </w:tcBorders>
          </w:tcPr>
          <w:p w14:paraId="1E96B5AF" w14:textId="77777777" w:rsidR="007555DA" w:rsidRPr="009455B9" w:rsidRDefault="007555DA" w:rsidP="00DE6B58">
            <w:pPr>
              <w:spacing w:line="360" w:lineRule="auto"/>
              <w:ind w:left="76" w:right="165"/>
              <w:jc w:val="both"/>
              <w:rPr>
                <w:rFonts w:ascii="GHEA Grapalat" w:hAnsi="GHEA Grapalat"/>
                <w:sz w:val="24"/>
                <w:szCs w:val="24"/>
              </w:rPr>
            </w:pPr>
          </w:p>
        </w:tc>
      </w:tr>
      <w:tr w:rsidR="007555DA" w:rsidRPr="009455B9" w14:paraId="66804E73" w14:textId="77777777" w:rsidTr="001D359F">
        <w:tc>
          <w:tcPr>
            <w:tcW w:w="540" w:type="dxa"/>
            <w:tcBorders>
              <w:top w:val="single" w:sz="1" w:space="0" w:color="000000"/>
              <w:left w:val="single" w:sz="1" w:space="0" w:color="000000"/>
              <w:bottom w:val="single" w:sz="1" w:space="0" w:color="000000"/>
              <w:right w:val="single" w:sz="1" w:space="0" w:color="000000"/>
            </w:tcBorders>
          </w:tcPr>
          <w:p w14:paraId="14B47F1C" w14:textId="77777777" w:rsidR="007555DA" w:rsidRPr="009455B9" w:rsidRDefault="000C6C16" w:rsidP="00E2101C">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27</w:t>
            </w:r>
          </w:p>
        </w:tc>
        <w:tc>
          <w:tcPr>
            <w:tcW w:w="1710" w:type="dxa"/>
            <w:tcBorders>
              <w:top w:val="single" w:sz="1" w:space="0" w:color="000000"/>
              <w:left w:val="single" w:sz="1" w:space="0" w:color="000000"/>
              <w:bottom w:val="single" w:sz="1" w:space="0" w:color="000000"/>
              <w:right w:val="single" w:sz="1" w:space="0" w:color="000000"/>
            </w:tcBorders>
          </w:tcPr>
          <w:p w14:paraId="6B7D1502" w14:textId="77777777" w:rsidR="007555DA" w:rsidRPr="009455B9" w:rsidRDefault="000C6C16" w:rsidP="00E2101C">
            <w:pPr>
              <w:spacing w:line="360" w:lineRule="auto"/>
              <w:ind w:right="75"/>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389BE4A3" w14:textId="04DC65D4" w:rsidR="007555DA" w:rsidRPr="009455B9" w:rsidRDefault="000C6C16" w:rsidP="00E2101C">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4F9F253E" w14:textId="64E560ED" w:rsidR="007555DA" w:rsidRPr="009455B9" w:rsidRDefault="000C6C16" w:rsidP="00E2101C">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Օրենսգրքի հոդված 48-ի 2-րդ կետում  ավելացնել՝ «Քաղաքացիական ծառայողների դեպքում ճյուղային կոլեկտիվ պայմանագրի կողմերն են համապատասխան ոլորտի  ճյուղային հանրապետական միությունը և ՀՀ կառավարության որոշմամբ ստեղծված համապատասխան հանձնաժողովը կամ լիազորված մարմինը։  Համայնքային ծառայողների դեպքում ճյուղային կոլեկտիվ պայմանագրի կողմերն են համապատասխան ոլորտի ճյուղային հանրապետական միությունը և ՀՀ կառավարության որոշմամբ ստեղծված համապատասխան հանձնաժողովը կամ լիազորված մարմինը»:     ————————      Հիմնավորում</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չնայած գործող օրենսգրքում սահմանված է, որ «եթե գործատուն Հայաստանի Հանրապետությունն է կամ համայնքը, ապա ճյուղային կոլեկտիվ պայմանագրի կողմերն են արհեստակցական կազմակերպությունների ճյուղային հանրապետական միությունը և համապատասխան պետական կառավարման մարմինը կամ համայնքի ղեկավարը», սակայն անհրաժեշտ է, որ ընդունվի որոշում և սահմանվի  համապատասխան կառավարման մարմինը, որի հետ  պետք է բանակցի ճյուղային հանրապետական արհմիությունը:  Քանի որ կոլեկտիվ բանակցությունների հիմնական խնդիրներից է նաև աշխատողների վարձատրության հետ կապված բանակցությունները, անհրաժեշտ է, որ բանակցող կողմը ունենա համապատասխան  իրավասություն:  Լիազորված մարմնի/հանձնաժողովի բացակայությունը թույլ չի տալիս կնքել ճյուղային մակարդակով կոլեկտիվ պայմանագիր վերը նշված աշխատողների համար: Այս կարգավորումների բացակայության պատճառով  քաղաքացիական ու համայնքային ծառայողների համար սահմանափակվում է կոլեկտիվ բանակցելու ազատությունը, ինչը հակասում է միջազգային օրենսդրությանը (ՀՀ կողմից վավերացված ԱՄԿ կոնվենցիաներ 151 և 154):           Օրինակներ միջազգային փորձից</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Իտալիայիում, պետական աշխատողների և քաղաքացիական ծառայողների համար լիազորված բանակցող կողմ է ստեղծվել 1993թ</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-ին՝ Կառավարության ներկայացուցչային բանակցության գործակալությունը  (Agency for Negotiating Representation of Public Administration - ARAN):  Դանիայում քաղացիական ծառայողների համար համար որպես բանակցային մարմին է լիազորված Ֆինանսների նախարարությունը։                  Տես՝ ILO</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Social dialogue in the public service in selected countries of European Union</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Working Paper, Sectoral Policies Department, ILO, Geneva: ILO, 2018</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WALTHERY, P</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2001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Institutional representativeness of local public sector trade union and employers’ organisations in the EU, Lille: Institut des Sciences du Travail</w:t>
            </w:r>
            <w:r w:rsidR="009455B9" w:rsidRPr="009455B9">
              <w:rPr>
                <w:rFonts w:ascii="GHEA Grapalat" w:eastAsia="GHEA Grapalat" w:hAnsi="GHEA Grapalat" w:cs="GHEA Grapalat"/>
                <w:color w:val="000000"/>
                <w:sz w:val="24"/>
                <w:szCs w:val="24"/>
              </w:rPr>
              <w:t>.</w:t>
            </w:r>
          </w:p>
        </w:tc>
        <w:tc>
          <w:tcPr>
            <w:tcW w:w="4320" w:type="dxa"/>
            <w:tcBorders>
              <w:top w:val="single" w:sz="1" w:space="0" w:color="000000"/>
              <w:left w:val="single" w:sz="1" w:space="0" w:color="000000"/>
              <w:bottom w:val="single" w:sz="1" w:space="0" w:color="000000"/>
              <w:right w:val="single" w:sz="1" w:space="0" w:color="000000"/>
            </w:tcBorders>
          </w:tcPr>
          <w:p w14:paraId="2764A82C" w14:textId="77777777" w:rsidR="007555DA" w:rsidRPr="009455B9" w:rsidRDefault="000C6C16" w:rsidP="00E2101C">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5B9461FF" w14:textId="77777777" w:rsidR="007555DA" w:rsidRPr="009455B9" w:rsidRDefault="007555DA" w:rsidP="00E2101C">
            <w:pPr>
              <w:spacing w:line="360" w:lineRule="auto"/>
              <w:jc w:val="both"/>
              <w:rPr>
                <w:rFonts w:ascii="GHEA Grapalat" w:hAnsi="GHEA Grapalat"/>
                <w:sz w:val="24"/>
                <w:szCs w:val="24"/>
              </w:rPr>
            </w:pPr>
          </w:p>
        </w:tc>
      </w:tr>
      <w:tr w:rsidR="007555DA" w:rsidRPr="009455B9" w14:paraId="712AF669" w14:textId="77777777" w:rsidTr="001D359F">
        <w:tc>
          <w:tcPr>
            <w:tcW w:w="540" w:type="dxa"/>
            <w:tcBorders>
              <w:top w:val="single" w:sz="1" w:space="0" w:color="000000"/>
              <w:left w:val="single" w:sz="1" w:space="0" w:color="000000"/>
              <w:bottom w:val="single" w:sz="1" w:space="0" w:color="000000"/>
              <w:right w:val="single" w:sz="1" w:space="0" w:color="000000"/>
            </w:tcBorders>
          </w:tcPr>
          <w:p w14:paraId="634E714F"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28</w:t>
            </w:r>
          </w:p>
        </w:tc>
        <w:tc>
          <w:tcPr>
            <w:tcW w:w="1710" w:type="dxa"/>
            <w:tcBorders>
              <w:top w:val="single" w:sz="1" w:space="0" w:color="000000"/>
              <w:left w:val="single" w:sz="1" w:space="0" w:color="000000"/>
              <w:bottom w:val="single" w:sz="1" w:space="0" w:color="000000"/>
              <w:right w:val="single" w:sz="1" w:space="0" w:color="000000"/>
            </w:tcBorders>
          </w:tcPr>
          <w:p w14:paraId="535DD43E"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51A4219E" w14:textId="4EDE55C9"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20AA9519" w14:textId="578C975A" w:rsidR="007555DA" w:rsidRPr="009455B9" w:rsidRDefault="000C6C16" w:rsidP="00AA2240">
            <w:pPr>
              <w:spacing w:line="360" w:lineRule="auto"/>
              <w:ind w:left="76" w:firstLine="270"/>
              <w:rPr>
                <w:rFonts w:ascii="GHEA Grapalat" w:hAnsi="GHEA Grapalat"/>
                <w:sz w:val="24"/>
                <w:szCs w:val="24"/>
              </w:rPr>
            </w:pPr>
            <w:r w:rsidRPr="009455B9">
              <w:rPr>
                <w:rFonts w:ascii="GHEA Grapalat" w:eastAsia="GHEA Grapalat" w:hAnsi="GHEA Grapalat" w:cs="GHEA Grapalat"/>
                <w:color w:val="000000"/>
                <w:sz w:val="24"/>
                <w:szCs w:val="24"/>
              </w:rPr>
              <w:t>Գործող Օրենսգրքի Հոդված 41-ի 2-րդ մասի վերջում ավելացնել «իսկ պետական կամ համայնքային աշխատողների դեպքում՝ Կառավարության կողմից լիազորված մարմինը»։     ———————————      Հիմնավորում</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ներկայիս ձևակերպմամբ հաշվի չի առնվել, որ ճյուղային մակարդակում սոցիալական գործընկերության կողմ են ոչ միայն մասնավոր ոլորտի աշխատողները, այլ նաև պետական համակարգի աշխատողները։</w:t>
            </w:r>
          </w:p>
        </w:tc>
        <w:tc>
          <w:tcPr>
            <w:tcW w:w="4320" w:type="dxa"/>
            <w:tcBorders>
              <w:top w:val="single" w:sz="1" w:space="0" w:color="000000"/>
              <w:left w:val="single" w:sz="1" w:space="0" w:color="000000"/>
              <w:bottom w:val="single" w:sz="1" w:space="0" w:color="000000"/>
              <w:right w:val="single" w:sz="1" w:space="0" w:color="000000"/>
            </w:tcBorders>
          </w:tcPr>
          <w:p w14:paraId="4B26ACBC" w14:textId="77777777" w:rsidR="007555DA" w:rsidRPr="009455B9" w:rsidRDefault="000C6C16" w:rsidP="00DA04C1">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25BD7B2B" w14:textId="77777777" w:rsidR="007555DA" w:rsidRPr="009455B9" w:rsidRDefault="007555DA" w:rsidP="00DA04C1">
            <w:pPr>
              <w:spacing w:line="360" w:lineRule="auto"/>
              <w:jc w:val="both"/>
              <w:rPr>
                <w:rFonts w:ascii="GHEA Grapalat" w:hAnsi="GHEA Grapalat"/>
                <w:sz w:val="24"/>
                <w:szCs w:val="24"/>
              </w:rPr>
            </w:pPr>
          </w:p>
        </w:tc>
      </w:tr>
      <w:tr w:rsidR="007555DA" w:rsidRPr="009455B9" w14:paraId="3172C03E" w14:textId="77777777" w:rsidTr="001D359F">
        <w:tc>
          <w:tcPr>
            <w:tcW w:w="540" w:type="dxa"/>
            <w:tcBorders>
              <w:top w:val="single" w:sz="1" w:space="0" w:color="000000"/>
              <w:left w:val="single" w:sz="1" w:space="0" w:color="000000"/>
              <w:bottom w:val="single" w:sz="1" w:space="0" w:color="000000"/>
              <w:right w:val="single" w:sz="1" w:space="0" w:color="000000"/>
            </w:tcBorders>
          </w:tcPr>
          <w:p w14:paraId="183C1986" w14:textId="77777777" w:rsidR="007555DA" w:rsidRPr="009455B9" w:rsidRDefault="000C6C16" w:rsidP="00AA224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29</w:t>
            </w:r>
          </w:p>
        </w:tc>
        <w:tc>
          <w:tcPr>
            <w:tcW w:w="1710" w:type="dxa"/>
            <w:tcBorders>
              <w:top w:val="single" w:sz="1" w:space="0" w:color="000000"/>
              <w:left w:val="single" w:sz="1" w:space="0" w:color="000000"/>
              <w:bottom w:val="single" w:sz="1" w:space="0" w:color="000000"/>
              <w:right w:val="single" w:sz="1" w:space="0" w:color="000000"/>
            </w:tcBorders>
          </w:tcPr>
          <w:p w14:paraId="54ABFB6D" w14:textId="77777777" w:rsidR="007555DA" w:rsidRPr="009455B9" w:rsidRDefault="000C6C16" w:rsidP="00AA224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64D964F4" w14:textId="6C92D86F" w:rsidR="007555DA" w:rsidRPr="009455B9" w:rsidRDefault="000C6C16" w:rsidP="00AA224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0302D51D" w14:textId="0C2264DE" w:rsidR="007555DA" w:rsidRPr="009455B9" w:rsidRDefault="000C6C16" w:rsidP="00AA2240">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Գործող Օրենսգրքի հոդված 22-ում 1-ին մասի երրորդ նախադասությունը շարադրել հետևյալ կերպ</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«Ներկայացուցչությունը կոլեկտիվ կամ անհատական աշխատանքային հարաբերություններում կարգավորվում է սույն օրենսգրքով և այլ օրենքներով»։         2-րդ մասը հանել։       —————————————   Հիմնավորում՝  1</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Հոդված 22-ի 1-ին մասի վերջին նախադասության մեջ սխալմունք կա</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նշված է, որ ներկայացուցչությունը անհատական աշխատանքային հարաբերություններում կարգավորվում է ՀՀ քաղաքացիական օրենսգրքով, սակայն հարաբերությունների զգալի մասը կարգավորվում է աշխատանքային օրենսգրքով։        2</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Ներկայիս խմբագրությունում կոլեկտիվ աշխատանքային հարաբերություններում աշխատողների կեսից ավելիի կամքը ներկայացնելու պահանջը անհիմն է։ Մեծ  կոլեկտիվներում աշխատողները կարող են միավորվել տարբեր արհմիություններում, նաև ըստ ոլորտների, նմանատիպ մասնագիտական աշխատանք կատարողները մեկ արհմիության մեջ, այլ աշխատողները՝ մեկ ուրիշի մեջ։ Օրինակ՝ 1000 աշխատող ունեցող խոշոր կազմակերպությունում հնարավոր է լինի դեպք,  երբ 100 տեխնիկական աշխատողները միավորված են մեկ արհմիությունում, 200 մասնագետներ այլ արհմիությունում, 50 վարորդները՝ երրորդում, դրանցից ոչ մեկը չի միավորում աշխատողների կեսից ավելին, բայց յուրաքանչյուրը ներկայացնում է նույն ոլորտի բոլոր աշխատողներին։ Ըստ այդմ՝ աշխատողների ընդհանուր թվաքանակի հետ կապված կարգավորումները տեղին չեն։ Մանավանդ, որ համաձայն ԱՄԿ միավորման ազատության հանձնաժողովի որոշման, արհմիության անդամների համեմատաբար նվազ թվաքանակը չի կարող պատճառ հանդիսանալ արհմիության՝ որպես աշխատողների ներկայացուցչի, լիազորությունները սահմանափակելու համար։ (Տես՝ Հանձնաժողովի որոշումների ժողովածուի 525 և 526 կետերը)։  Միաժամանակ, համաձայն «Արհեստակցական միությունների մասին» ՀՀ օրենքի՝ 3 և ավելի աշխատող կարող են ստեղծել արհեստակցական միություն, որը աշխատողների ներկայացուցչական մարմինն է, այս դեպքում ներկայացուցչությունը ծագում է արհեստակցական միության ստեղծման պահից։ Այն դեպքում, երբ աշխատողների ներկայացուցիչ է հանդիսանում ոչ թե արհմիությունը, այլ ժողովի կողմից ընտրված ներկայացուցիչը, ներկայացուցչությունը ծագում է ժողովի կայացման ու ներկայացուցիչներ ընտրելու պահից՝ անկախ ժողովի մասնակիցների քանակից։</w:t>
            </w:r>
          </w:p>
        </w:tc>
        <w:tc>
          <w:tcPr>
            <w:tcW w:w="4320" w:type="dxa"/>
            <w:tcBorders>
              <w:top w:val="single" w:sz="1" w:space="0" w:color="000000"/>
              <w:left w:val="single" w:sz="1" w:space="0" w:color="000000"/>
              <w:bottom w:val="single" w:sz="1" w:space="0" w:color="000000"/>
              <w:right w:val="single" w:sz="1" w:space="0" w:color="000000"/>
            </w:tcBorders>
          </w:tcPr>
          <w:p w14:paraId="1EB65F4D" w14:textId="77777777" w:rsidR="007555DA" w:rsidRPr="009455B9" w:rsidRDefault="000C6C16" w:rsidP="00AA2240">
            <w:pPr>
              <w:spacing w:line="360" w:lineRule="auto"/>
              <w:ind w:left="76" w:right="7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մասամբ։ Օրենսգրքի 22-րդ հոդվածի 1-ին մասը առաջարկվող խմբագրությամբ շարադրելը գտնում ենք ոչ նպատակահարմար, քանի որ անհատի ներկայացուցչության հետ կապված հարաբերությունները կարգավորվում են ՀՀ քաղաքացիական օրենսգրքով։ Օրենսգրքի 22-րդ հոդվածի 2-րդ մասը հանելու առաջարկության կապակցությամբ հարկ է նկատել, որ Օրենսգրքի 22-րդ հոդվածը գործող խմբագրությամբ, սահմանելով անհատական և կոլեկտիվ աշխատանքային հարաբերություններում ներկայացուցչության հիմունքները,  2-րդ մասով մասնավորապես ամրագրում է կոլեկտիվ աշխատանքային հարաբերություններում ներկայացուցչության ծագման հիմքը: Հիշյալ նորմն ըստ էության սահմանում է կոլեկտիվ աշխատանքային հարաբերություններում ներկայացուցչության ծագման ընդհանուր կանոնը, իսկ կոլեկտիվ աշխատանքային հարաբերություններում ներկայացուցչության իրականացման  հետ կապված այլ հարաբերությունները կարգավորվում են Օրենսգրքի 3-րդ գլխի, ինչպես նաև Օրենսգրքի մի շարք այլ հոդվածներում զետեղված դրույթներով: Ընդ որում, Նախագծով Օրենսգրքի 23-րդ հոդվածում  առաջարկվող փոփոխությամբ առավել քան պարզեցվում և մասնավորեցվում են կոլեկտիվ աշխատանքային հարաբերություններում ներկայացուցչությունը ստանձնելու և իրականացնելու կանոնները, որոնք կիրառելի են նաև Հայաստանի պետհիմնարկների, ՏԻՄ-երի աշխատողների ճյուղային հանրապետական արհմիության կողմից ներկայացված առաջարկությամբ մատնանշված օրինակում:  Վկայակոչված օրինակում կազմակերպությունում գոյություն ունեցող արհեստակցական միություններից որևէ մեկը չի միավորում կազմակերպության աշխատողների կեսից ավելիին, հետևաբար կոլեկտիվ աշխատանքային հարաբերություններում դրանցից յուրաքանչյուրը կարող է ներկայացնել և պաշտպանել միայն իր անդամների իրավունքները և շահերը, իսկ կոլեկտիվ աշխատանքային հարաբերություններում բոլոր աշխատողների իրավունքներն ու շահերը ներկայացնելու և դրանք պաշտպանելու նպատակով, կարող է ստեղծվել աշխատողների ներկայացուցչական միասնական մարմին՝ Նախագծով առաջարկվող փոփոխությամբ Օրենսգրքի 23-րդ հոդվածի կարգավորումներին և Օրենսգրքի 56-րդ հոդվածին համապատասխան:  Միաժամանակ, հաշվի առնելով Հայաստանի պետհիմնարկների, ՏԻՄ-երի աշխատողների ճյուղային հանրապետական արհմիության կողմից ներկայացված առաջարկությունը, Օրենսգրքի 22-րդ հոդվածի 2-րդ մասում կատարվել է համապատասխան լրացում, ինչն ուղղված է կոլեկտիվ աշխատանքային հարաբերություններում ներկայացուցչության հիմունքների մասին տարակարծությունների բացառմանը: Օրենսգրքի 22-րդ հոդվածի 2-րդ մասը «ոլորտում են» բառերից հետո լրացվել է «, եթե այլ բան սահմանված չէ սույն օրենսգրքով» բառերով:</w:t>
            </w:r>
          </w:p>
        </w:tc>
        <w:tc>
          <w:tcPr>
            <w:tcW w:w="2250" w:type="dxa"/>
            <w:tcBorders>
              <w:top w:val="single" w:sz="1" w:space="0" w:color="000000"/>
              <w:left w:val="single" w:sz="1" w:space="0" w:color="000000"/>
              <w:bottom w:val="single" w:sz="1" w:space="0" w:color="000000"/>
              <w:right w:val="single" w:sz="1" w:space="0" w:color="000000"/>
            </w:tcBorders>
          </w:tcPr>
          <w:p w14:paraId="5572D56E" w14:textId="77777777" w:rsidR="007555DA" w:rsidRPr="009455B9" w:rsidRDefault="007555DA" w:rsidP="00AA2240">
            <w:pPr>
              <w:spacing w:line="360" w:lineRule="auto"/>
              <w:jc w:val="both"/>
              <w:rPr>
                <w:rFonts w:ascii="GHEA Grapalat" w:hAnsi="GHEA Grapalat"/>
                <w:sz w:val="24"/>
                <w:szCs w:val="24"/>
              </w:rPr>
            </w:pPr>
          </w:p>
        </w:tc>
      </w:tr>
      <w:tr w:rsidR="007555DA" w:rsidRPr="009455B9" w14:paraId="7BF98B88" w14:textId="77777777" w:rsidTr="001D359F">
        <w:tc>
          <w:tcPr>
            <w:tcW w:w="540" w:type="dxa"/>
            <w:tcBorders>
              <w:top w:val="single" w:sz="1" w:space="0" w:color="000000"/>
              <w:left w:val="single" w:sz="1" w:space="0" w:color="000000"/>
              <w:bottom w:val="single" w:sz="1" w:space="0" w:color="000000"/>
              <w:right w:val="single" w:sz="1" w:space="0" w:color="000000"/>
            </w:tcBorders>
          </w:tcPr>
          <w:p w14:paraId="1A45D7DA" w14:textId="77777777" w:rsidR="007555DA" w:rsidRPr="009455B9" w:rsidRDefault="000C6C16" w:rsidP="00B95451">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30</w:t>
            </w:r>
          </w:p>
        </w:tc>
        <w:tc>
          <w:tcPr>
            <w:tcW w:w="1710" w:type="dxa"/>
            <w:tcBorders>
              <w:top w:val="single" w:sz="1" w:space="0" w:color="000000"/>
              <w:left w:val="single" w:sz="1" w:space="0" w:color="000000"/>
              <w:bottom w:val="single" w:sz="1" w:space="0" w:color="000000"/>
              <w:right w:val="single" w:sz="1" w:space="0" w:color="000000"/>
            </w:tcBorders>
          </w:tcPr>
          <w:p w14:paraId="04768B0F" w14:textId="77777777" w:rsidR="007555DA" w:rsidRPr="009455B9" w:rsidRDefault="000C6C16" w:rsidP="00B95451">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52C16F27" w14:textId="03E3BF8C" w:rsidR="007555DA" w:rsidRPr="009455B9" w:rsidRDefault="000C6C16" w:rsidP="00B95451">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61D2078E" w14:textId="77777777" w:rsidR="007555DA" w:rsidRPr="009455B9" w:rsidRDefault="000C6C16" w:rsidP="00B95451">
            <w:pPr>
              <w:spacing w:line="360" w:lineRule="auto"/>
              <w:ind w:left="76" w:right="75" w:firstLine="180"/>
              <w:jc w:val="both"/>
              <w:rPr>
                <w:rFonts w:ascii="GHEA Grapalat" w:hAnsi="GHEA Grapalat"/>
                <w:sz w:val="24"/>
                <w:szCs w:val="24"/>
              </w:rPr>
            </w:pPr>
            <w:r w:rsidRPr="009455B9">
              <w:rPr>
                <w:rFonts w:ascii="GHEA Grapalat" w:eastAsia="GHEA Grapalat" w:hAnsi="GHEA Grapalat" w:cs="GHEA Grapalat"/>
                <w:color w:val="000000"/>
                <w:sz w:val="24"/>
                <w:szCs w:val="24"/>
              </w:rPr>
              <w:t>Հոդված 53-ում  4)-րդ կետում «աշխատավարձի առնվազն երկու երրորդի չափով։» բառերը փոխարինել «աշխատավարձը» բառով։</w:t>
            </w:r>
          </w:p>
        </w:tc>
        <w:tc>
          <w:tcPr>
            <w:tcW w:w="4320" w:type="dxa"/>
            <w:tcBorders>
              <w:top w:val="single" w:sz="1" w:space="0" w:color="000000"/>
              <w:left w:val="single" w:sz="1" w:space="0" w:color="000000"/>
              <w:bottom w:val="single" w:sz="1" w:space="0" w:color="000000"/>
              <w:right w:val="single" w:sz="1" w:space="0" w:color="000000"/>
            </w:tcBorders>
          </w:tcPr>
          <w:p w14:paraId="5178AB00" w14:textId="77777777" w:rsidR="007555DA" w:rsidRPr="009455B9" w:rsidRDefault="000C6C16" w:rsidP="00B95451">
            <w:pPr>
              <w:spacing w:line="360" w:lineRule="auto"/>
              <w:ind w:left="76" w:right="165"/>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առաջարկությունը գործարար հատվածի հետ հավելյալ քննարկման կարիք ունի։ Համապատասխան քննարկումներից հետո կորոշվի առաջարկությանը համապատասխան փոփոխություն կատարելու նպատակահարմարությունը։</w:t>
            </w:r>
          </w:p>
        </w:tc>
        <w:tc>
          <w:tcPr>
            <w:tcW w:w="2250" w:type="dxa"/>
            <w:tcBorders>
              <w:top w:val="single" w:sz="1" w:space="0" w:color="000000"/>
              <w:left w:val="single" w:sz="1" w:space="0" w:color="000000"/>
              <w:bottom w:val="single" w:sz="1" w:space="0" w:color="000000"/>
              <w:right w:val="single" w:sz="1" w:space="0" w:color="000000"/>
            </w:tcBorders>
          </w:tcPr>
          <w:p w14:paraId="1D4505BB" w14:textId="77777777" w:rsidR="007555DA" w:rsidRPr="009455B9" w:rsidRDefault="007555DA" w:rsidP="00B95451">
            <w:pPr>
              <w:spacing w:line="360" w:lineRule="auto"/>
              <w:jc w:val="both"/>
              <w:rPr>
                <w:rFonts w:ascii="GHEA Grapalat" w:hAnsi="GHEA Grapalat"/>
                <w:sz w:val="24"/>
                <w:szCs w:val="24"/>
              </w:rPr>
            </w:pPr>
          </w:p>
        </w:tc>
      </w:tr>
      <w:tr w:rsidR="007555DA" w:rsidRPr="009455B9" w14:paraId="3AF053C6" w14:textId="77777777" w:rsidTr="001D359F">
        <w:tc>
          <w:tcPr>
            <w:tcW w:w="540" w:type="dxa"/>
            <w:tcBorders>
              <w:top w:val="single" w:sz="1" w:space="0" w:color="000000"/>
              <w:left w:val="single" w:sz="1" w:space="0" w:color="000000"/>
              <w:bottom w:val="single" w:sz="1" w:space="0" w:color="000000"/>
              <w:right w:val="single" w:sz="1" w:space="0" w:color="000000"/>
            </w:tcBorders>
          </w:tcPr>
          <w:p w14:paraId="2F6ACDE1" w14:textId="77777777" w:rsidR="007555DA" w:rsidRPr="009455B9" w:rsidRDefault="000C6C16" w:rsidP="00B95451">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31</w:t>
            </w:r>
          </w:p>
        </w:tc>
        <w:tc>
          <w:tcPr>
            <w:tcW w:w="1710" w:type="dxa"/>
            <w:tcBorders>
              <w:top w:val="single" w:sz="1" w:space="0" w:color="000000"/>
              <w:left w:val="single" w:sz="1" w:space="0" w:color="000000"/>
              <w:bottom w:val="single" w:sz="1" w:space="0" w:color="000000"/>
              <w:right w:val="single" w:sz="1" w:space="0" w:color="000000"/>
            </w:tcBorders>
          </w:tcPr>
          <w:p w14:paraId="2F68F2C0" w14:textId="77777777" w:rsidR="007555DA" w:rsidRPr="009455B9" w:rsidRDefault="000C6C16" w:rsidP="00B95451">
            <w:pPr>
              <w:spacing w:line="360" w:lineRule="auto"/>
              <w:ind w:left="76" w:right="75"/>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68358A90" w14:textId="199F4A65" w:rsidR="007555DA" w:rsidRPr="009455B9" w:rsidRDefault="000C6C16" w:rsidP="00B95451">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691195D8" w14:textId="7C32F062" w:rsidR="007555DA" w:rsidRPr="009455B9" w:rsidRDefault="000C6C16" w:rsidP="00B95451">
            <w:pPr>
              <w:spacing w:line="360" w:lineRule="auto"/>
              <w:ind w:left="76" w:right="165" w:firstLine="36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Հոդված 49-ի         1)-ին կետի «բ</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ենթակետը հանել։        2)-րդ կետի 1</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1 մասում «լուծելիս» բառից հետո լրացնել՝ «աշխատանքում մնալու նախապատվությունը տրվում է ավելի բարձր որակավորում ունեցող աշխատողներին», իսկ «օգտվում են» բառից հետո ավելացնել «տվյալ աշխատատեղում ավելի երկար ստաժ ունեցող, խնամքի տակ անչափահաս երեխաներ կամ հաշմանդամություն ունեցող անձ ունեցող, ընտանիքի միակ աշխատող անձ հանդիսացող աշխատողները»։       1</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1 մասի վերջում ավելացնել «Կոլեկտիվ պայմանագրով կարող են սահմանվել այլ հավասար պայմաններում աշխատավայրում մնալու արտոնյալ իրավունքից օգտվող աշխատողների այլ կատեգորիաներ։» նախադասությունը։   ———————     Հիմնավորում</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1</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առաջարկությունը կապված է հայերեն ոճաբանության հետ։  2</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առաջարկությունը միտված է սոցիալական արդարության սկզբունքները պաշտպանելուն</w:t>
            </w:r>
          </w:p>
        </w:tc>
        <w:tc>
          <w:tcPr>
            <w:tcW w:w="4320" w:type="dxa"/>
            <w:tcBorders>
              <w:top w:val="single" w:sz="1" w:space="0" w:color="000000"/>
              <w:left w:val="single" w:sz="1" w:space="0" w:color="000000"/>
              <w:bottom w:val="single" w:sz="1" w:space="0" w:color="000000"/>
              <w:right w:val="single" w:sz="1" w:space="0" w:color="000000"/>
            </w:tcBorders>
          </w:tcPr>
          <w:p w14:paraId="62AE7002" w14:textId="77777777" w:rsidR="007555DA" w:rsidRPr="009455B9" w:rsidRDefault="000C6C16" w:rsidP="00B95451">
            <w:pPr>
              <w:spacing w:line="360" w:lineRule="auto"/>
              <w:ind w:left="76"/>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590BF62F" w14:textId="77777777" w:rsidR="007555DA" w:rsidRPr="009455B9" w:rsidRDefault="007555DA" w:rsidP="00B95451">
            <w:pPr>
              <w:spacing w:line="360" w:lineRule="auto"/>
              <w:jc w:val="both"/>
              <w:rPr>
                <w:rFonts w:ascii="GHEA Grapalat" w:hAnsi="GHEA Grapalat"/>
                <w:sz w:val="24"/>
                <w:szCs w:val="24"/>
              </w:rPr>
            </w:pPr>
          </w:p>
        </w:tc>
      </w:tr>
      <w:tr w:rsidR="007555DA" w:rsidRPr="009455B9" w14:paraId="3C15BC2C" w14:textId="77777777" w:rsidTr="001D359F">
        <w:tc>
          <w:tcPr>
            <w:tcW w:w="540" w:type="dxa"/>
            <w:tcBorders>
              <w:top w:val="single" w:sz="1" w:space="0" w:color="000000"/>
              <w:left w:val="single" w:sz="1" w:space="0" w:color="000000"/>
              <w:bottom w:val="single" w:sz="1" w:space="0" w:color="000000"/>
              <w:right w:val="single" w:sz="1" w:space="0" w:color="000000"/>
            </w:tcBorders>
          </w:tcPr>
          <w:p w14:paraId="30CA9F95" w14:textId="77777777" w:rsidR="007555DA" w:rsidRPr="009455B9" w:rsidRDefault="000C6C16" w:rsidP="00B95451">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32</w:t>
            </w:r>
          </w:p>
        </w:tc>
        <w:tc>
          <w:tcPr>
            <w:tcW w:w="1710" w:type="dxa"/>
            <w:tcBorders>
              <w:top w:val="single" w:sz="1" w:space="0" w:color="000000"/>
              <w:left w:val="single" w:sz="1" w:space="0" w:color="000000"/>
              <w:bottom w:val="single" w:sz="1" w:space="0" w:color="000000"/>
              <w:right w:val="single" w:sz="1" w:space="0" w:color="000000"/>
            </w:tcBorders>
          </w:tcPr>
          <w:p w14:paraId="6858E9FF" w14:textId="77777777" w:rsidR="007555DA" w:rsidRPr="009455B9" w:rsidRDefault="000C6C16" w:rsidP="00B95451">
            <w:pPr>
              <w:spacing w:line="360" w:lineRule="auto"/>
              <w:ind w:left="76" w:right="75" w:firstLine="180"/>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3615D7CB" w14:textId="2E02D0E7" w:rsidR="007555DA" w:rsidRPr="009455B9" w:rsidRDefault="000C6C16" w:rsidP="00B95451">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7F045FC2" w14:textId="11A66CB2" w:rsidR="007555DA" w:rsidRPr="009455B9" w:rsidRDefault="000C6C16" w:rsidP="00391DBC">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Հոդված 48-ի        3)-րդ կետում մինչև «լրացնել» բառը գրել</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«3-րդ մասի առաջին նախադասության վերջում ավելացնել «անկախ աշխատանքային պայմանագրի լուծման ծանուցման մեջ նշված ամսաթվից կամ ծանուցման ժամկետից»»։     ———————     Հիմնավորում</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վերջին տարիներին շատացել են դեպքերը, երբ գործատուները աշխատողներին դրդում են դիմում գրել (ծանուցել) աշխատանքից ազատվելու մասին, նշելով աշխատանքից ազատվելու օրն ու ամիսը, օրինակ՝ դիմում ներկայացնելու  օրվան հաջորդող օրերից մեկը, դրանից հետո գործատուներն անմիջապես ազատում են աշխատողին աշխատանքից, չսպասելով 3-օրյա ժամկետի ավարտին, որի ընթացքում աշխատողն իրավունք ունի ազատման մասին ծանուցումը հետ վերցնելու։ Եթե աշխատողը նոր դիմում է գրում և խնդրում հաշվի չառնել նախորդ դիմումը, խնդրելով իրեն հետ տալ աշխատանքից ազատման մասին իր դիմումը, գործատուն մերժում է այն պատրվակով, որ աշխատողն ազատման համար կոնկրետ ամսաթիվ է նշել և արդեն իրավունք չունի հիմնվել ԱՕ հոդված 112-ի 3-րդ մասին։ Ավելին, նման դեպքի համար առկա  է Վերաքննիչ դատարանի որոշում և աշխատողը չի կարողանում դատական կարգով պաշտպանել իր աշխատանքային պայմանագիրը լուծելու ծանուցումը սահմանված ժամկետում հետ վերցնելու իրավունքը։</w:t>
            </w:r>
          </w:p>
        </w:tc>
        <w:tc>
          <w:tcPr>
            <w:tcW w:w="4320" w:type="dxa"/>
            <w:tcBorders>
              <w:top w:val="single" w:sz="1" w:space="0" w:color="000000"/>
              <w:left w:val="single" w:sz="1" w:space="0" w:color="000000"/>
              <w:bottom w:val="single" w:sz="1" w:space="0" w:color="000000"/>
              <w:right w:val="single" w:sz="1" w:space="0" w:color="000000"/>
            </w:tcBorders>
          </w:tcPr>
          <w:p w14:paraId="65DA8D96" w14:textId="77777777" w:rsidR="007555DA" w:rsidRPr="009455B9" w:rsidRDefault="000C6C16" w:rsidP="00B95451">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0C7693EE" w14:textId="77777777" w:rsidR="007555DA" w:rsidRPr="009455B9" w:rsidRDefault="007555DA" w:rsidP="00B95451">
            <w:pPr>
              <w:spacing w:line="360" w:lineRule="auto"/>
              <w:jc w:val="both"/>
              <w:rPr>
                <w:rFonts w:ascii="GHEA Grapalat" w:hAnsi="GHEA Grapalat"/>
                <w:sz w:val="24"/>
                <w:szCs w:val="24"/>
              </w:rPr>
            </w:pPr>
          </w:p>
        </w:tc>
      </w:tr>
      <w:tr w:rsidR="007555DA" w:rsidRPr="009455B9" w14:paraId="19583CF7" w14:textId="77777777" w:rsidTr="001D359F">
        <w:tc>
          <w:tcPr>
            <w:tcW w:w="540" w:type="dxa"/>
            <w:tcBorders>
              <w:top w:val="single" w:sz="1" w:space="0" w:color="000000"/>
              <w:left w:val="single" w:sz="1" w:space="0" w:color="000000"/>
              <w:bottom w:val="single" w:sz="1" w:space="0" w:color="000000"/>
              <w:right w:val="single" w:sz="1" w:space="0" w:color="000000"/>
            </w:tcBorders>
          </w:tcPr>
          <w:p w14:paraId="28E0ABFE" w14:textId="77777777" w:rsidR="007555DA" w:rsidRPr="009455B9" w:rsidRDefault="000C6C16" w:rsidP="009455B9">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33</w:t>
            </w:r>
          </w:p>
        </w:tc>
        <w:tc>
          <w:tcPr>
            <w:tcW w:w="1710" w:type="dxa"/>
            <w:tcBorders>
              <w:top w:val="single" w:sz="1" w:space="0" w:color="000000"/>
              <w:left w:val="single" w:sz="1" w:space="0" w:color="000000"/>
              <w:bottom w:val="single" w:sz="1" w:space="0" w:color="000000"/>
              <w:right w:val="single" w:sz="1" w:space="0" w:color="000000"/>
            </w:tcBorders>
          </w:tcPr>
          <w:p w14:paraId="4E32F81A" w14:textId="77777777" w:rsidR="007555DA" w:rsidRPr="009455B9" w:rsidRDefault="000C6C16" w:rsidP="009455B9">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1464EC91" w14:textId="6D81678C" w:rsidR="007555DA" w:rsidRPr="009455B9" w:rsidRDefault="000C6C16" w:rsidP="009455B9">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7ED43876" w14:textId="4A1B6628" w:rsidR="007555DA" w:rsidRPr="009455B9" w:rsidRDefault="000C6C16" w:rsidP="009455B9">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Հոդված 38-ի      1)</w:t>
            </w:r>
            <w:r w:rsidRPr="009455B9">
              <w:rPr>
                <w:rFonts w:ascii="GHEA Grapalat" w:eastAsia="GHEA Grapalat" w:hAnsi="GHEA Grapalat" w:cs="GHEA Grapalat"/>
                <w:color w:val="000000"/>
                <w:sz w:val="24"/>
                <w:szCs w:val="24"/>
              </w:rPr>
              <w:tab/>
              <w:t>կետում վերջակետի փոխարեն դնել ստորակետ և ավելացնել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14:00-ը։»</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 Հիմնավորում</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Համաձայն Հարկային օրենսգրքի 156 հոդվածի 2-րդ մասի՝  «Հարկային գործակալները նոր աշխատողին [</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հարկային մարմին են ներկայացնում նոր աշխատողի գրանցման հայտը», ինչը նշանակում է, որ աշխատանքային պայմանագիրը պետք է պատրաստ լինի նույն ժամանակահատվածում և աշխատողը պետք է տեղյակ լինի իր աշխատանքային պայմանագրով սահմանված պայմաններին։</w:t>
            </w:r>
          </w:p>
        </w:tc>
        <w:tc>
          <w:tcPr>
            <w:tcW w:w="4320" w:type="dxa"/>
            <w:tcBorders>
              <w:top w:val="single" w:sz="1" w:space="0" w:color="000000"/>
              <w:left w:val="single" w:sz="1" w:space="0" w:color="000000"/>
              <w:bottom w:val="single" w:sz="1" w:space="0" w:color="000000"/>
              <w:right w:val="single" w:sz="1" w:space="0" w:color="000000"/>
            </w:tcBorders>
          </w:tcPr>
          <w:p w14:paraId="2E86F324" w14:textId="77777777" w:rsidR="007555DA" w:rsidRPr="009455B9" w:rsidRDefault="000C6C16" w:rsidP="00391DBC">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0A2A71B1" w14:textId="77777777" w:rsidR="007555DA" w:rsidRPr="009455B9" w:rsidRDefault="007555DA" w:rsidP="00F94DB3">
            <w:pPr>
              <w:spacing w:line="360" w:lineRule="auto"/>
              <w:jc w:val="center"/>
              <w:rPr>
                <w:rFonts w:ascii="GHEA Grapalat" w:hAnsi="GHEA Grapalat"/>
                <w:sz w:val="24"/>
                <w:szCs w:val="24"/>
              </w:rPr>
            </w:pPr>
          </w:p>
        </w:tc>
      </w:tr>
      <w:tr w:rsidR="007555DA" w:rsidRPr="009455B9" w14:paraId="057FE7CF" w14:textId="77777777" w:rsidTr="001D359F">
        <w:tc>
          <w:tcPr>
            <w:tcW w:w="540" w:type="dxa"/>
            <w:tcBorders>
              <w:top w:val="single" w:sz="1" w:space="0" w:color="000000"/>
              <w:left w:val="single" w:sz="1" w:space="0" w:color="000000"/>
              <w:bottom w:val="single" w:sz="1" w:space="0" w:color="000000"/>
              <w:right w:val="single" w:sz="1" w:space="0" w:color="000000"/>
            </w:tcBorders>
          </w:tcPr>
          <w:p w14:paraId="692782E8"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34</w:t>
            </w:r>
          </w:p>
        </w:tc>
        <w:tc>
          <w:tcPr>
            <w:tcW w:w="1710" w:type="dxa"/>
            <w:tcBorders>
              <w:top w:val="single" w:sz="1" w:space="0" w:color="000000"/>
              <w:left w:val="single" w:sz="1" w:space="0" w:color="000000"/>
              <w:bottom w:val="single" w:sz="1" w:space="0" w:color="000000"/>
              <w:right w:val="single" w:sz="1" w:space="0" w:color="000000"/>
            </w:tcBorders>
          </w:tcPr>
          <w:p w14:paraId="2BD5DA72" w14:textId="77777777"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462A0AED" w14:textId="2127524C" w:rsidR="007555DA" w:rsidRPr="009455B9" w:rsidRDefault="000C6C16" w:rsidP="00F94DB3">
            <w:pPr>
              <w:spacing w:line="360" w:lineRule="auto"/>
              <w:jc w:val="center"/>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55F1F2D3" w14:textId="34344D4F" w:rsidR="007555DA" w:rsidRPr="009455B9" w:rsidRDefault="000C6C16" w:rsidP="00391DBC">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Հոդված 21-ում ավելացնել երկրորդ պարբերությունը հետևյալ խմբագրությամբ</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«Հոդվածի 2-րդ մասում «տարածվում է» բառից հետո գրել «արհմիության անդամների վրա»։»  ———————— Հիմնավորում</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եթե աշխատողները չեն ցանկացել լինել արհեստակցական կազմակերպության անդամ, բանակցությունների արդյունքում կնքված պայմանագրով սահմանված արտոնությունները չպետք է տարածվեն նրանց վրա։ Քանի որ դա արդար չէ արհմիության անդամավճարներ վճարող անդամների հանդեպ, այնինչ միայն արհմիության անդամների վրա դրույթների տարածվելը արհմիությանն անդամակցելու մոտիվացիա կարող է հանդիսանալ։</w:t>
            </w:r>
          </w:p>
        </w:tc>
        <w:tc>
          <w:tcPr>
            <w:tcW w:w="4320" w:type="dxa"/>
            <w:tcBorders>
              <w:top w:val="single" w:sz="1" w:space="0" w:color="000000"/>
              <w:left w:val="single" w:sz="1" w:space="0" w:color="000000"/>
              <w:bottom w:val="single" w:sz="1" w:space="0" w:color="000000"/>
              <w:right w:val="single" w:sz="1" w:space="0" w:color="000000"/>
            </w:tcBorders>
          </w:tcPr>
          <w:p w14:paraId="3DFD627E" w14:textId="77777777" w:rsidR="007555DA" w:rsidRPr="009455B9" w:rsidRDefault="000C6C16" w:rsidP="00391DBC">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3CB84D72" w14:textId="77777777" w:rsidR="007555DA" w:rsidRPr="009455B9" w:rsidRDefault="007555DA" w:rsidP="00F94DB3">
            <w:pPr>
              <w:spacing w:line="360" w:lineRule="auto"/>
              <w:jc w:val="center"/>
              <w:rPr>
                <w:rFonts w:ascii="GHEA Grapalat" w:hAnsi="GHEA Grapalat"/>
                <w:sz w:val="24"/>
                <w:szCs w:val="24"/>
              </w:rPr>
            </w:pPr>
          </w:p>
        </w:tc>
      </w:tr>
      <w:tr w:rsidR="007555DA" w:rsidRPr="009455B9" w14:paraId="0D3C3C34" w14:textId="77777777" w:rsidTr="001D359F">
        <w:tc>
          <w:tcPr>
            <w:tcW w:w="540" w:type="dxa"/>
            <w:tcBorders>
              <w:top w:val="single" w:sz="1" w:space="0" w:color="000000"/>
              <w:left w:val="single" w:sz="1" w:space="0" w:color="000000"/>
              <w:bottom w:val="single" w:sz="1" w:space="0" w:color="000000"/>
              <w:right w:val="single" w:sz="1" w:space="0" w:color="000000"/>
            </w:tcBorders>
          </w:tcPr>
          <w:p w14:paraId="16EC9810" w14:textId="77777777" w:rsidR="007555DA" w:rsidRPr="009455B9" w:rsidRDefault="000C6C16" w:rsidP="00391DBC">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35</w:t>
            </w:r>
          </w:p>
        </w:tc>
        <w:tc>
          <w:tcPr>
            <w:tcW w:w="1710" w:type="dxa"/>
            <w:tcBorders>
              <w:top w:val="single" w:sz="1" w:space="0" w:color="000000"/>
              <w:left w:val="single" w:sz="1" w:space="0" w:color="000000"/>
              <w:bottom w:val="single" w:sz="1" w:space="0" w:color="000000"/>
              <w:right w:val="single" w:sz="1" w:space="0" w:color="000000"/>
            </w:tcBorders>
          </w:tcPr>
          <w:p w14:paraId="0D926992" w14:textId="77777777" w:rsidR="007555DA" w:rsidRPr="009455B9" w:rsidRDefault="000C6C16" w:rsidP="00391DBC">
            <w:pPr>
              <w:spacing w:line="360" w:lineRule="auto"/>
              <w:ind w:right="165"/>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44E8ABA7" w14:textId="1AC39F47" w:rsidR="007555DA" w:rsidRPr="009455B9" w:rsidRDefault="000C6C16" w:rsidP="00391DBC">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2D0E068D" w14:textId="7B6CDCC6" w:rsidR="007555DA" w:rsidRPr="009455B9" w:rsidRDefault="000C6C16" w:rsidP="00391DBC">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Հոդված 18-ի  1) կետի «բառերով» բառից հետո դնել ստորակետ և ավելացնել «իսկ վերջին նախադասությունը հանել</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2) կետը շարադրել հետևյալ կերպ</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«2-րդ մասը «պահանջները:» բառից հետո լրացնել նոր նախադասություններով</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«Կոլեկտիվ բանակցությունների անցկացման մասին ծանուցում ստացած կողմը կոլեկտիվ բանակցություններին մասնակցելու իր համաձայնության մասին պարտավոր է սույն օրենսգրքի 66-րդ հոդվածով սահմանված ժամկետում տեղեկացնել կոլեկտիվ բանակցությունների ցանկություն հայտնած կողմին: Կոլեկտիվ բանակցությունների առաջարկ ստացած կողմը իրավունք չունի հրաժարվել բանակցություններից։»</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3) կետը ձևակերպել հետևյալ կերպ</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«3-րդ մասը շարադրել հետևյալ կերպ`  «Կոլեկտիվ բանակցության  կողմերը 7 օրվա ընթացքում պայմանավորում են կոլեկտիվ բանակցությունները սկսելու օրվա և ընթացակարգի վերաբերյալ:» </w:t>
            </w:r>
            <w:r w:rsidRPr="009455B9">
              <w:rPr>
                <w:rFonts w:ascii="GHEA Grapalat" w:eastAsia="GHEA Grapalat" w:hAnsi="GHEA Grapalat" w:cs="GHEA Grapalat"/>
                <w:color w:val="000000"/>
                <w:sz w:val="24"/>
                <w:szCs w:val="24"/>
              </w:rPr>
              <w:tab/>
              <w:t xml:space="preserve">     4) կետը ձևակերպել հետևյալ կերպ</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«7-րդ մասը «կնքելու» բառից հետո լրացնել «կամ կոլեկտիվ պայմանագրում կատարված փոփոխությունները կամ լրացումներն ուժի մեջ մտնելու» բառերով»:    ——————————    Հիմնավորում</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1</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սահմանումներից պարզ է, որ կոլեկտիվ պայմանագրերը հիմնականում երկկողմ եմ, իսկ հանրապետական կոլեկտիվ պայմանագիրը եռակողմ է։ Միաժամանակ, կառավարության հետ կնքվող պայմանագիրը, բացի հանրապետական կոլեկտիվ պայմանագրից, որը եռակողմ է, կարող է լինել նաև երկկողմ, եթե այն կնքվում է Կառավարության և պետական ծառայողներին ներկայացնող ճյուղային արհմիության միջև կամ պետական ծառայողների շահերը ներկայացնող Հայաստանի արհմիությունների կոնֆեդերացիան։ Միջազգային նման փորձ առկա է։           2</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բանակցային գործընթացը ձեռնտու է ինչպես աշխատողներին, այնպես էլ գործատուներին, այնպես որ, դրանից հրաժարվելու հնարավորություն տալը կառուցողական մոտեցում չէ: Մանավանդ, որ Օրենսգրքի հոդված 26-ում սահմանված է, որ գործատուն պարտավոր է ապահովել կոլեկտիվ բանակցությունների վարումը սեղմ ժամկետներում։          3</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Միաժամանակ  պետք է լինի հստակ ժամկետ բանակցությունները սկսվելու օրվա և ընթացակարգի վերաբերյալ՝ անտեղի ձգձգումներից խուսափելու համար:</w:t>
            </w:r>
          </w:p>
        </w:tc>
        <w:tc>
          <w:tcPr>
            <w:tcW w:w="4320" w:type="dxa"/>
            <w:tcBorders>
              <w:top w:val="single" w:sz="1" w:space="0" w:color="000000"/>
              <w:left w:val="single" w:sz="1" w:space="0" w:color="000000"/>
              <w:bottom w:val="single" w:sz="1" w:space="0" w:color="000000"/>
              <w:right w:val="single" w:sz="1" w:space="0" w:color="000000"/>
            </w:tcBorders>
          </w:tcPr>
          <w:p w14:paraId="0E1E23BF" w14:textId="77777777" w:rsidR="007555DA" w:rsidRPr="009455B9" w:rsidRDefault="000C6C16" w:rsidP="00391DBC">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354E05AB" w14:textId="77777777" w:rsidR="007555DA" w:rsidRPr="009455B9" w:rsidRDefault="007555DA" w:rsidP="00391DBC">
            <w:pPr>
              <w:spacing w:line="360" w:lineRule="auto"/>
              <w:jc w:val="both"/>
              <w:rPr>
                <w:rFonts w:ascii="GHEA Grapalat" w:hAnsi="GHEA Grapalat"/>
                <w:sz w:val="24"/>
                <w:szCs w:val="24"/>
              </w:rPr>
            </w:pPr>
          </w:p>
        </w:tc>
      </w:tr>
      <w:tr w:rsidR="007555DA" w:rsidRPr="009455B9" w14:paraId="05810B05" w14:textId="77777777" w:rsidTr="001D359F">
        <w:tc>
          <w:tcPr>
            <w:tcW w:w="540" w:type="dxa"/>
            <w:tcBorders>
              <w:top w:val="single" w:sz="1" w:space="0" w:color="000000"/>
              <w:left w:val="single" w:sz="1" w:space="0" w:color="000000"/>
              <w:bottom w:val="single" w:sz="1" w:space="0" w:color="000000"/>
              <w:right w:val="single" w:sz="1" w:space="0" w:color="000000"/>
            </w:tcBorders>
          </w:tcPr>
          <w:p w14:paraId="5ADE4A84" w14:textId="77777777" w:rsidR="007555DA" w:rsidRPr="009455B9" w:rsidRDefault="000C6C16" w:rsidP="006F02D6">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36</w:t>
            </w:r>
          </w:p>
        </w:tc>
        <w:tc>
          <w:tcPr>
            <w:tcW w:w="1710" w:type="dxa"/>
            <w:tcBorders>
              <w:top w:val="single" w:sz="1" w:space="0" w:color="000000"/>
              <w:left w:val="single" w:sz="1" w:space="0" w:color="000000"/>
              <w:bottom w:val="single" w:sz="1" w:space="0" w:color="000000"/>
              <w:right w:val="single" w:sz="1" w:space="0" w:color="000000"/>
            </w:tcBorders>
          </w:tcPr>
          <w:p w14:paraId="1CDD8990" w14:textId="77777777" w:rsidR="007555DA" w:rsidRPr="009455B9" w:rsidRDefault="000C6C16" w:rsidP="006F02D6">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79F32A75" w14:textId="5155481C" w:rsidR="007555DA" w:rsidRPr="009455B9" w:rsidRDefault="000C6C16" w:rsidP="006F02D6">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00B0BFD9" w14:textId="65579035" w:rsidR="007555DA" w:rsidRPr="009455B9" w:rsidRDefault="000C6C16" w:rsidP="006F02D6">
            <w:pPr>
              <w:spacing w:line="360" w:lineRule="auto"/>
              <w:ind w:left="76" w:right="255" w:firstLine="18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Հոդված 14—ում «Օրենսգրքի 26-րդ հոդվածի 1-ին մասի» բառերից հետո դնել միջակետ և ավելացնել «1-ին կետում «չխոչընդոտել նրանց գործունեությունը» բառերից հետո ավելացնել նոր նախադասություն՝ «Այս օրենքի իմաստով գործունեությանը խոչընդոտել է համարվում գործատուի կողմից արհմիությունների գործունեության և իրավաչափության վերաբերյալ ընդհանրացված բնույթի գնահատականներ տալը, գործատուի կողմից արհմիության և դրա ղեկավարի գործունեությունը կասկածի տակ դնելը, արհմիության ընտրություններում կամ ժողովներում ներկա գտնվելով թեկնածուների կամ ընտրությունների հետևանքների մասին կարծիքներ հայտնելը, արհմիության ղեկավար կազմում իր ներկայացուցչին առաջադրելը, արհմիության անդամների շրջանում արհմիության անդամակցության վերաբերյալ և ֆինանսական գործունեության մասին հարցումներ անցկացնելը, արհմիությունից ֆինանսական ակնկալիքներ ունենալու դիմաց արհմիությանը աջակցելը։ 2-րդ կետը խմբագրել հետևյալ կերպ</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«աշխատողների վրա ազդող որոշումներ ընդունելուց առաջ քննարկել այն աշխատողների ներկայացուցիչների հետ, իսկ սույն օրենսգրքով նախատեսված դեպքերում ստանալ նրանց համաձայնությունը»»։   8)-րդ կետը առաջարկվում է ձևակերպել հետևյալ կերպ</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«աշխատողների ներկայացուցիչների՝ իրենց լիազորությունների իրականացման համար տրամադրել անհրաժեշտ պայմաններ՝ տարածք և նյութատեխնիկական միջոցներ, այդ թվում՝ գրասեղան, համակարգիչ, կապի միջոց։ Կոլեկտիվ պայմանագրով կամ կողմերի համաձայնությամբ կարող է սահմանվել պայմանների և նյութատեխնիկական միջոցների ավելի լայն շրջանակ։»   ——————— Հիմնավորում՝  1</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Թվարկածները սահմանված են միջազգային օրենսդրությամբ (ԱՄԿ միավորման ազատության կոմիտեի որոշումներով), սակայն գործատուները, ինչպես նաև պետական մարմինները սովորաբար տեղյակ չեն լինում այդ նորմերից, և արհմիության գործունեության խոչընդոտումը մեկնաբանում են յուրովի։ Գտնում ենք, որ հստակեցումը արհմիությունների իրավունքների իրացման համար նշանակություն կունենա։ Գործնականում, դեպք ենք ունեցել, որ ՀՀ առողջապահության և աշխատանքի տեսչական մարմինը կասեցրել է վարույթը՝ համարելով, որ ներկայացված փաստերը չեն վկայում, որ արհմիության գործունեությունը խոչընդոտվել է։ Հենց տեսչական մարմնի ղեկավարությունը միջազգային նորմերի խախտում է կատարել՝ ԶԼՄ-ին տրված հարցազրույցներից մեկում նշելով, որ կարգի է բերվել իր կազմակերպության արհմիությունը, ինչպես նաև տեսչական մարմնի կնիքով կնքվել են արհմիության կողմից շնորհված պատվոգրերը (հրապարակվել է ֆեյսբուքյան էջում)։   2</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Սոցիալական գործընկերության ու կոլեկտիվ բանակցությունների տեսանկյունից անհրաժեշտ  է, որպեսզի օրենքը պահանջի, որ որոշումներ ընդունելուց առաջ գործատուն դրանք քննարկի աշխատողների ներկայացուցչի հետ։ Նման պահանջի բացակայությունը գործնականում ստեղծում է իրավիճակ, երբ գործատուները սոցիալական երկխոսության իմիտացիան պահպանելու համար արդեն իսկ ընդունված որոշման մասին պոստֆակտում տեղեկացնում են աշխատողների ներկայացուցչին, կամ ներգրավում են վերջինիս որոշումների ընդունման ընթացքում այնպես, որ չի պահպանվում նրանց լիարժեք ընդգրկումը պրոցեսին։       3</w:t>
            </w:r>
            <w:r w:rsidR="009455B9" w:rsidRPr="009455B9">
              <w:rPr>
                <w:rFonts w:ascii="GHEA Grapalat" w:eastAsia="GHEA Grapalat" w:hAnsi="GHEA Grapalat" w:cs="GHEA Grapalat"/>
                <w:color w:val="000000"/>
                <w:sz w:val="24"/>
                <w:szCs w:val="24"/>
                <w:lang w:val="hy-AM"/>
              </w:rPr>
              <w:t>.</w:t>
            </w:r>
            <w:r w:rsidRPr="009455B9">
              <w:rPr>
                <w:rFonts w:ascii="GHEA Grapalat" w:eastAsia="GHEA Grapalat" w:hAnsi="GHEA Grapalat" w:cs="GHEA Grapalat"/>
                <w:color w:val="000000"/>
                <w:sz w:val="24"/>
                <w:szCs w:val="24"/>
              </w:rPr>
              <w:t xml:space="preserve"> Կարևոր է, որ գործատուն պարտավորվածություն ունենա տրամադրելու նվազագույն պայմաններ և նյութատեխնիկական միջոցներ նույնիսկ այն դեպքում, եթե հրաժարվի պայմանավորվել կամ կոլեկտիվ պայմանագիր կնքել։</w:t>
            </w:r>
          </w:p>
        </w:tc>
        <w:tc>
          <w:tcPr>
            <w:tcW w:w="4320" w:type="dxa"/>
            <w:tcBorders>
              <w:top w:val="single" w:sz="1" w:space="0" w:color="000000"/>
              <w:left w:val="single" w:sz="1" w:space="0" w:color="000000"/>
              <w:bottom w:val="single" w:sz="1" w:space="0" w:color="000000"/>
              <w:right w:val="single" w:sz="1" w:space="0" w:color="000000"/>
            </w:tcBorders>
          </w:tcPr>
          <w:p w14:paraId="17BC8655" w14:textId="77777777" w:rsidR="007555DA" w:rsidRPr="009455B9" w:rsidRDefault="000C6C16" w:rsidP="006F02D6">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367A1B96" w14:textId="77777777" w:rsidR="007555DA" w:rsidRPr="009455B9" w:rsidRDefault="007555DA" w:rsidP="006F02D6">
            <w:pPr>
              <w:spacing w:line="360" w:lineRule="auto"/>
              <w:jc w:val="both"/>
              <w:rPr>
                <w:rFonts w:ascii="GHEA Grapalat" w:hAnsi="GHEA Grapalat"/>
                <w:sz w:val="24"/>
                <w:szCs w:val="24"/>
              </w:rPr>
            </w:pPr>
          </w:p>
        </w:tc>
      </w:tr>
      <w:tr w:rsidR="007555DA" w:rsidRPr="009455B9" w14:paraId="471AFCE9" w14:textId="77777777" w:rsidTr="001D359F">
        <w:tc>
          <w:tcPr>
            <w:tcW w:w="540" w:type="dxa"/>
            <w:tcBorders>
              <w:top w:val="single" w:sz="1" w:space="0" w:color="000000"/>
              <w:left w:val="single" w:sz="1" w:space="0" w:color="000000"/>
              <w:bottom w:val="single" w:sz="1" w:space="0" w:color="000000"/>
              <w:right w:val="single" w:sz="1" w:space="0" w:color="000000"/>
            </w:tcBorders>
          </w:tcPr>
          <w:p w14:paraId="42907F8E" w14:textId="77777777" w:rsidR="007555DA" w:rsidRPr="009455B9" w:rsidRDefault="000C6C16" w:rsidP="006F02D6">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37</w:t>
            </w:r>
          </w:p>
        </w:tc>
        <w:tc>
          <w:tcPr>
            <w:tcW w:w="1710" w:type="dxa"/>
            <w:tcBorders>
              <w:top w:val="single" w:sz="1" w:space="0" w:color="000000"/>
              <w:left w:val="single" w:sz="1" w:space="0" w:color="000000"/>
              <w:bottom w:val="single" w:sz="1" w:space="0" w:color="000000"/>
              <w:right w:val="single" w:sz="1" w:space="0" w:color="000000"/>
            </w:tcBorders>
          </w:tcPr>
          <w:p w14:paraId="3C7A4207" w14:textId="77777777" w:rsidR="007555DA" w:rsidRPr="009455B9" w:rsidRDefault="000C6C16" w:rsidP="006F02D6">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3943DF69" w14:textId="2C18EB5D" w:rsidR="007555DA" w:rsidRPr="009455B9" w:rsidRDefault="000C6C16" w:rsidP="006F02D6">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7BDE82F4" w14:textId="65043351" w:rsidR="007555DA" w:rsidRPr="009455B9" w:rsidRDefault="000C6C16" w:rsidP="006F02D6">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Հոդված 13-ում  6-րդ կետը առաջարկում ենք թողնել անփոփոխ։    Ավելացնել նոր կետ, հետևյալ խմբագրությամբ</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«4-րդ կետը տեղափոխել հոդվածի 2-րդ մաս, և լրացնել հետևյալ նախադասությամբ «Կոլեկտիվ բանակցություններ վարելը և կոլեկտիվ պայմանագրեր կնքելը արհեստակցական միությունների բացառիկ իրավունքն է»։     ——————   Հիմնավորում</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w:t>
            </w:r>
            <w:r w:rsidRPr="009455B9">
              <w:rPr>
                <w:rFonts w:ascii="GHEA Grapalat" w:eastAsia="GHEA Grapalat" w:hAnsi="GHEA Grapalat" w:cs="GHEA Grapalat"/>
                <w:color w:val="000000"/>
                <w:sz w:val="24"/>
                <w:szCs w:val="24"/>
              </w:rPr>
              <w:tab/>
              <w:t>Օրենսգրքի հոդված 25-ի նշված կետից «ներկայացուցիչ» բառը հանել չի կարելի։  Համաձայն ԱՕ 4-րդ հոդվածի 8-րդ կետի՝ աշխատողների ներկայացուցիչներ են հանդիսանում արհեստակցական միությունները և աշխատողների ժողովի (համաժողովի) կողմից ընտրված ներկայացուցիչները։  Հետևաբար, եթե «ներկայացուցչի» բառը հանվում է, արհմիությունը զրկվում է իր իրավունքի խախտման դեպքով դատարան դիմելու հնարավորությունից։ Մյուս կողմից, արհմիությանը լիազորություն տալ բոլոր աշխատողների իրավունքների խախտման համար դատարան դիմելու համար ընդունելի չէ</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աշխատողների մեծ մասը արհմիության անդամ չեն հանդիսանում։  Իսկ արհմիությունը աշխատում է անդամների կողմից վճարված անդամավճարներով։ Հետևաբար, արդար չի լինի, որ արհմիության ռեսուրսը ծախսվի ոչ անդամների վրա։ Դա հնարավոր է անել միայն այն դեպքում, եթե պետությունը այդ լիազորությունը պատվիրակի արհմիություններին և վճարի դրա համար։    -</w:t>
            </w:r>
            <w:r w:rsidRPr="009455B9">
              <w:rPr>
                <w:rFonts w:ascii="GHEA Grapalat" w:eastAsia="GHEA Grapalat" w:hAnsi="GHEA Grapalat" w:cs="GHEA Grapalat"/>
                <w:color w:val="000000"/>
                <w:sz w:val="24"/>
                <w:szCs w:val="24"/>
              </w:rPr>
              <w:tab/>
              <w:t>Կոլեկտիվ բանակցություններ վարելու և գործադուլներ իրականացնելու իրավունքը միջազգային նորմերով արհմիություններին վերապահված երկու գործիքներն են։ Եվ դրանք չպետք է փոխանցվեն այլ մարմիններին։</w:t>
            </w:r>
          </w:p>
        </w:tc>
        <w:tc>
          <w:tcPr>
            <w:tcW w:w="4320" w:type="dxa"/>
            <w:tcBorders>
              <w:top w:val="single" w:sz="1" w:space="0" w:color="000000"/>
              <w:left w:val="single" w:sz="1" w:space="0" w:color="000000"/>
              <w:bottom w:val="single" w:sz="1" w:space="0" w:color="000000"/>
              <w:right w:val="single" w:sz="1" w:space="0" w:color="000000"/>
            </w:tcBorders>
          </w:tcPr>
          <w:p w14:paraId="2252B33E" w14:textId="77777777" w:rsidR="007555DA" w:rsidRPr="009455B9" w:rsidRDefault="000C6C16" w:rsidP="006F02D6">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59B31AE1" w14:textId="77777777" w:rsidR="007555DA" w:rsidRPr="009455B9" w:rsidRDefault="007555DA" w:rsidP="006F02D6">
            <w:pPr>
              <w:spacing w:line="360" w:lineRule="auto"/>
              <w:jc w:val="both"/>
              <w:rPr>
                <w:rFonts w:ascii="GHEA Grapalat" w:hAnsi="GHEA Grapalat"/>
                <w:sz w:val="24"/>
                <w:szCs w:val="24"/>
              </w:rPr>
            </w:pPr>
          </w:p>
        </w:tc>
      </w:tr>
      <w:tr w:rsidR="007555DA" w:rsidRPr="009455B9" w14:paraId="6ACF0663" w14:textId="77777777" w:rsidTr="001D359F">
        <w:tc>
          <w:tcPr>
            <w:tcW w:w="540" w:type="dxa"/>
            <w:tcBorders>
              <w:top w:val="single" w:sz="1" w:space="0" w:color="000000"/>
              <w:left w:val="single" w:sz="1" w:space="0" w:color="000000"/>
              <w:bottom w:val="single" w:sz="1" w:space="0" w:color="000000"/>
              <w:right w:val="single" w:sz="1" w:space="0" w:color="000000"/>
            </w:tcBorders>
          </w:tcPr>
          <w:p w14:paraId="716541F2" w14:textId="77777777" w:rsidR="007555DA" w:rsidRPr="009455B9" w:rsidRDefault="000C6C16" w:rsidP="009455B9">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38</w:t>
            </w:r>
          </w:p>
        </w:tc>
        <w:tc>
          <w:tcPr>
            <w:tcW w:w="1710" w:type="dxa"/>
            <w:tcBorders>
              <w:top w:val="single" w:sz="1" w:space="0" w:color="000000"/>
              <w:left w:val="single" w:sz="1" w:space="0" w:color="000000"/>
              <w:bottom w:val="single" w:sz="1" w:space="0" w:color="000000"/>
              <w:right w:val="single" w:sz="1" w:space="0" w:color="000000"/>
            </w:tcBorders>
          </w:tcPr>
          <w:p w14:paraId="549FCFCF" w14:textId="77777777" w:rsidR="007555DA" w:rsidRPr="009455B9" w:rsidRDefault="000C6C16" w:rsidP="009455B9">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14:paraId="11F40B73" w14:textId="4808B62A" w:rsidR="007555DA" w:rsidRPr="009455B9" w:rsidRDefault="000C6C16" w:rsidP="009455B9">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06</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18:20:26</w:t>
            </w:r>
          </w:p>
        </w:tc>
        <w:tc>
          <w:tcPr>
            <w:tcW w:w="7110" w:type="dxa"/>
            <w:tcBorders>
              <w:top w:val="single" w:sz="1" w:space="0" w:color="000000"/>
              <w:left w:val="single" w:sz="1" w:space="0" w:color="000000"/>
              <w:bottom w:val="single" w:sz="1" w:space="0" w:color="000000"/>
              <w:right w:val="single" w:sz="1" w:space="0" w:color="000000"/>
            </w:tcBorders>
          </w:tcPr>
          <w:p w14:paraId="5A67E6AF" w14:textId="20219817" w:rsidR="007555DA" w:rsidRPr="009455B9" w:rsidRDefault="000C6C16" w:rsidP="009455B9">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Նախագծի Հոդված 12-ով սահմանված հոդված 23-ի խմբագրության մեջ, հոդվածի երկրորդ մասը շարադրել հետևյալ կերպ</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«Եթե կազմակերպության  1) աշխատողների կեսից ավելին միավորված են մեկ արհեստակցական միությունում, ապա կոլեկտիվ աշխատանքային հարաբերություններում, այդ արհեստակցական միությունը ներկայացնում և պաշտպանում է կազմակերպության բոլոր աշխատողների իրավունքներն ու շահերը</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2) աշխատողները միավորված են մեկ կամ մի քանի արհեստակցական միություններում, որոնցից որևէ մեկը չի միավորում կազմակերպության աշխատողների կեսից ավելիին, ապա կոլեկտիվ աշխատանքային հարաբերություններում տվյալ արհեստակցական միությունները ներկայացնում և պաշտպանում են միայն իր անդամների իրավունքները և շահերը, եթե չունեն մնացած աշխատողների համաձայնությունը՝ ներկայացնելու նաև իրենց շահերը</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3) աշխատողները միավորված չեն որևէ արհեստակցական միությունում, ապա կոլեկտիվ աշխատանքային հարաբերություններում աշխատողների իրավունքներն ու շահերը ներկայացնելու և դրանք պաշտպանելու նպատակով, աշխատողների ժողովի (համաժողովի) կողմից կարող են ընտրվել ներկայացուցիչներ (մարմին)</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Կազմակերպությունում աշխատողների ներկայացուցիչների բացակայության դեպքում աշխատողների ժողովի (համաժողովի) կողմից աշխատողների ներկայացուցչության և շահերի պաշտպանության գործառույթները կարող են փոխանցվել համապատասխան ճյուղային կամ տարածքային արհեստակցական միությանը: Այդ դեպքում աշխատողների ժողովը (համաժողովը) ընտրում է ներկայացուցիչ (ներկայացուցիչներ), որը ճյուղային կամ տարածքային արհեստակցական միության պատվիրակության կազմում մասնակցում է տվյալ գործատուի հետ վարվող կոլեկտիվ բանակցություններին:  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Միևնույն անձը միաժամանակ չի կարող ներկայացնել աշխատողների և գործատուների շահերն ու պաշտպանել դրանք:"  ———————   Հիմնավորում</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Առաջարկվող խմբագրությունը կախված է լեզվամտածողության հետ։ Երբ գրվում է, որ կազմակերպությունում գոյություն ունի արհմիություն, գործատուն այդպես էլ պատկերացնում է, որ դա իր կազմակերպության ենթակա արհմիությունն է։ Այնինչ, դա կազմակերպության աշխատողների միավորում է։</w:t>
            </w:r>
          </w:p>
        </w:tc>
        <w:tc>
          <w:tcPr>
            <w:tcW w:w="4320" w:type="dxa"/>
            <w:tcBorders>
              <w:top w:val="single" w:sz="1" w:space="0" w:color="000000"/>
              <w:left w:val="single" w:sz="1" w:space="0" w:color="000000"/>
              <w:bottom w:val="single" w:sz="1" w:space="0" w:color="000000"/>
              <w:right w:val="single" w:sz="1" w:space="0" w:color="000000"/>
            </w:tcBorders>
          </w:tcPr>
          <w:p w14:paraId="5F09B258" w14:textId="77777777" w:rsidR="007555DA" w:rsidRPr="009455B9" w:rsidRDefault="000C6C16" w:rsidP="009455B9">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առաջարկը կքննարկվի Նախագծի լրամշակման փուլում։</w:t>
            </w:r>
          </w:p>
        </w:tc>
        <w:tc>
          <w:tcPr>
            <w:tcW w:w="2250" w:type="dxa"/>
            <w:tcBorders>
              <w:top w:val="single" w:sz="1" w:space="0" w:color="000000"/>
              <w:left w:val="single" w:sz="1" w:space="0" w:color="000000"/>
              <w:bottom w:val="single" w:sz="1" w:space="0" w:color="000000"/>
              <w:right w:val="single" w:sz="1" w:space="0" w:color="000000"/>
            </w:tcBorders>
          </w:tcPr>
          <w:p w14:paraId="120BD3F5" w14:textId="77777777" w:rsidR="007555DA" w:rsidRPr="009455B9" w:rsidRDefault="007555DA" w:rsidP="009455B9">
            <w:pPr>
              <w:spacing w:line="360" w:lineRule="auto"/>
              <w:jc w:val="both"/>
              <w:rPr>
                <w:rFonts w:ascii="GHEA Grapalat" w:hAnsi="GHEA Grapalat"/>
                <w:sz w:val="24"/>
                <w:szCs w:val="24"/>
              </w:rPr>
            </w:pPr>
          </w:p>
        </w:tc>
      </w:tr>
      <w:tr w:rsidR="007555DA" w:rsidRPr="009455B9" w14:paraId="0DD48895" w14:textId="77777777" w:rsidTr="001D359F">
        <w:tc>
          <w:tcPr>
            <w:tcW w:w="540" w:type="dxa"/>
            <w:tcBorders>
              <w:top w:val="single" w:sz="1" w:space="0" w:color="000000"/>
              <w:left w:val="single" w:sz="1" w:space="0" w:color="000000"/>
              <w:bottom w:val="single" w:sz="1" w:space="0" w:color="000000"/>
              <w:right w:val="single" w:sz="1" w:space="0" w:color="000000"/>
            </w:tcBorders>
          </w:tcPr>
          <w:p w14:paraId="2335007F" w14:textId="77777777" w:rsidR="007555DA" w:rsidRPr="009455B9" w:rsidRDefault="000C6C16" w:rsidP="009455B9">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39</w:t>
            </w:r>
          </w:p>
        </w:tc>
        <w:tc>
          <w:tcPr>
            <w:tcW w:w="1710" w:type="dxa"/>
            <w:tcBorders>
              <w:top w:val="single" w:sz="1" w:space="0" w:color="000000"/>
              <w:left w:val="single" w:sz="1" w:space="0" w:color="000000"/>
              <w:bottom w:val="single" w:sz="1" w:space="0" w:color="000000"/>
              <w:right w:val="single" w:sz="1" w:space="0" w:color="000000"/>
            </w:tcBorders>
          </w:tcPr>
          <w:p w14:paraId="4360DDC8" w14:textId="77777777" w:rsidR="007555DA" w:rsidRPr="009455B9" w:rsidRDefault="000C6C16" w:rsidP="009455B9">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Կանանց ռեսուրսային կենտրոն ՀԿ</w:t>
            </w:r>
          </w:p>
          <w:p w14:paraId="76290CBB" w14:textId="429E7597" w:rsidR="007555DA" w:rsidRPr="009455B9" w:rsidRDefault="000C6C16" w:rsidP="009455B9">
            <w:pPr>
              <w:spacing w:line="360" w:lineRule="auto"/>
              <w:rPr>
                <w:rFonts w:ascii="GHEA Grapalat" w:hAnsi="GHEA Grapalat"/>
                <w:sz w:val="24"/>
                <w:szCs w:val="24"/>
              </w:rPr>
            </w:pPr>
            <w:r w:rsidRPr="009455B9">
              <w:rPr>
                <w:rFonts w:ascii="GHEA Grapalat" w:eastAsia="GHEA Grapalat" w:hAnsi="GHEA Grapalat" w:cs="GHEA Grapalat"/>
                <w:color w:val="000000"/>
                <w:sz w:val="24"/>
                <w:szCs w:val="24"/>
              </w:rPr>
              <w:t>24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18:47:05</w:t>
            </w:r>
          </w:p>
        </w:tc>
        <w:tc>
          <w:tcPr>
            <w:tcW w:w="7110" w:type="dxa"/>
            <w:tcBorders>
              <w:top w:val="single" w:sz="1" w:space="0" w:color="000000"/>
              <w:left w:val="single" w:sz="1" w:space="0" w:color="000000"/>
              <w:bottom w:val="single" w:sz="1" w:space="0" w:color="000000"/>
              <w:right w:val="single" w:sz="1" w:space="0" w:color="000000"/>
            </w:tcBorders>
          </w:tcPr>
          <w:p w14:paraId="1FDA624A" w14:textId="2E6B4976" w:rsidR="007555DA" w:rsidRPr="009455B9" w:rsidRDefault="000C6C16" w:rsidP="009455B9">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ԳԵՆԴԵՐԱՅԻՆ ԲՌՆՈՒԹՅՈՒՆԻՑ ՊԱՇՏՊԱՆՈՒԹՅԱՆ ԱՅԼ ՄԵԽԱՆԻԶՄՆԵՐԻ ՆԵՐԱՌՈՒՄՆ ԱՇԽԱՏԱՆՔԱՅԻՆ ՕՐԵՆՍԳՐՔՈՒՄ  Առաջարկում ենք ՀՀ աշխատանքային օրենսգրքում կատարել փոփոխություններ ամրագրելով</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w:t>
            </w:r>
            <w:r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 xml:space="preserve">սեռական ազատության և սեռական անձեռնմխելիության դեմ ուղղված հանցագործությունների համար դատապարտված անձանց՝ կրթական հաստատություններում աշխատելու արգելքը, </w:t>
            </w:r>
            <w:r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անհետաձգելի միջամտության կամ պաշտպանական որոշման ժամանակահատվածում ընտանեկան բռնության ենթարկված անձանց իրավունքը պահանջելու արձակուրդ կամ այլ վայրից աշխատելու հնարավորությունը։  Հիմնավորում Ժամանակակից իրավական ստանդարտները , աշխատանքի ոլորտում ներառում են նաև առանձնահատուկ կարգավորումներ, որոնք միտված են պաշտպանել ոչ միայն բռնության ու ոտնձգության այն դրսևորումներից, որոնք տեղի են ունենում աշխատավայրում կամ աշխատանքային հարաբերությունների բերումով, այլ նաև զգայուն են աշխատանքային հարաբերություններից դուրս տեղի ունեցած բռնության և դրա հետևանքների նկատմամբ։ Այսպես, մի շարք երկրներում ընտանեկան բռնության ենթարկված աշխատակիցներն ունեն լրացուցիչ արձակուրդի և/կամ աշխատավայրի ժամանակավոր փոփոխության իրավունք։ Որոշ իրավական համակարգերում դրանք դիտարկվում են աշխատանքի անվտանգության տեսանկյունից, այլ համակարգերում՝ որպես խելամիտ հարմարեցում հակախտրական կարգավորումների տեսանկյունից։  Վրաստանի աշխատանքային օրենսգրքում 2020թ</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կատարված փոփոխություններով /https://matsne</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gov</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ge/en/document/view/1155567?publication=20 / հստակ սահմանվել է կրթական հաստատություններում և ընտանեկան բռնության աջակցման կենտրոններում ու ապաստարաններում այն անձանց աշխատանքը, ովքեր նախկինում սեռական ազատության և սեռական անձեռնմխելիության դեմ հանցանք են կատարել։   Կանանց նկատմամբ խտրականության բոլոր ձևերի վերացման մասին կոնվենցիայի կոմիտեն 2016 թ</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իր Եզրափակիչ դիտարկումներում առաջարկել է ՀՀ-ին ստեղծել և ապահովել աշխատավայրում գենդերային խտրականության և սեռական ոտնձգությունների հետ կապված բողոքներ ներկայացնելու գաղտնի և անվտանգ համակարգ և այդպիսի փոխհատուցման միջոցների արդյունավետ հասանելիություն /Report of the Committee on the Elimination of Discrimination against Women (Concluding observations, 2016), CEDAW/C/ARM/CO/5-6, § 25-(e)&amp;(g)/:</w:t>
            </w:r>
          </w:p>
        </w:tc>
        <w:tc>
          <w:tcPr>
            <w:tcW w:w="4320" w:type="dxa"/>
            <w:tcBorders>
              <w:top w:val="single" w:sz="1" w:space="0" w:color="000000"/>
              <w:left w:val="single" w:sz="1" w:space="0" w:color="000000"/>
              <w:bottom w:val="single" w:sz="1" w:space="0" w:color="000000"/>
              <w:right w:val="single" w:sz="1" w:space="0" w:color="000000"/>
            </w:tcBorders>
          </w:tcPr>
          <w:p w14:paraId="17F96A35" w14:textId="77777777" w:rsidR="007555DA" w:rsidRPr="009455B9" w:rsidRDefault="000C6C16" w:rsidP="009455B9">
            <w:pPr>
              <w:spacing w:line="360" w:lineRule="auto"/>
              <w:ind w:left="76" w:right="165" w:firstLine="180"/>
              <w:jc w:val="both"/>
              <w:rPr>
                <w:rFonts w:ascii="GHEA Grapalat" w:hAnsi="GHEA Grapalat"/>
                <w:sz w:val="24"/>
                <w:szCs w:val="24"/>
              </w:rPr>
            </w:pPr>
            <w:r w:rsidRPr="009455B9">
              <w:rPr>
                <w:rFonts w:ascii="GHEA Grapalat" w:eastAsia="GHEA Grapalat" w:hAnsi="GHEA Grapalat" w:cs="GHEA Grapalat"/>
                <w:color w:val="000000"/>
                <w:sz w:val="24"/>
                <w:szCs w:val="24"/>
              </w:rPr>
              <w:t>Առաջարկը չի ընդունվել, քանի որ կարծում ենք, որ ներկայացված առաջարկությունը ՀՀ աշխատանքային օրենսգրքով չէ, որ պետք է կարգավորվի, քանի որ ՀՀ աշխատանքային օրենսգրքով ընդհանուր առմամբ չկա որևէ կարգավորում, որով նախատեսվի, թե որ բնագավառներում է արգելվում աշխատանքներ իրականացնել։ Վերջինիցս բացառություն կարող է կազմել մինչև 18 տարեկան աշխատողների մասով որոշակի աշխատանքներում ներգրավելու արգելքը (այս մասով նախագծում նախատեսվել է համապատասխան առաջարկ)։ Միաժամանակ, առաջարկում ենք Ձեր առաջարկը ներկայացնել կրթության ոլորտի լիազոր պետական մարմին։ Ինչ վերաբերում է 2-րդ առաջարկին, ապա այն կարող է դիտարկվել ընդհանուր ընտանեկան բռնությունից պաշտպանության ոլորտի քաղաքականության կարգավորումների համատեքստում։</w:t>
            </w:r>
          </w:p>
        </w:tc>
        <w:tc>
          <w:tcPr>
            <w:tcW w:w="2250" w:type="dxa"/>
            <w:tcBorders>
              <w:top w:val="single" w:sz="1" w:space="0" w:color="000000"/>
              <w:left w:val="single" w:sz="1" w:space="0" w:color="000000"/>
              <w:bottom w:val="single" w:sz="1" w:space="0" w:color="000000"/>
              <w:right w:val="single" w:sz="1" w:space="0" w:color="000000"/>
            </w:tcBorders>
          </w:tcPr>
          <w:p w14:paraId="566C2501" w14:textId="77777777" w:rsidR="007555DA" w:rsidRPr="009455B9" w:rsidRDefault="007555DA" w:rsidP="009455B9">
            <w:pPr>
              <w:spacing w:line="360" w:lineRule="auto"/>
              <w:ind w:left="76" w:right="165" w:firstLine="180"/>
              <w:jc w:val="both"/>
              <w:rPr>
                <w:rFonts w:ascii="GHEA Grapalat" w:hAnsi="GHEA Grapalat"/>
                <w:sz w:val="24"/>
                <w:szCs w:val="24"/>
              </w:rPr>
            </w:pPr>
          </w:p>
        </w:tc>
      </w:tr>
      <w:tr w:rsidR="007555DA" w:rsidRPr="009455B9" w14:paraId="746742AD" w14:textId="77777777" w:rsidTr="001D359F">
        <w:tc>
          <w:tcPr>
            <w:tcW w:w="540" w:type="dxa"/>
            <w:tcBorders>
              <w:top w:val="single" w:sz="1" w:space="0" w:color="000000"/>
              <w:left w:val="single" w:sz="1" w:space="0" w:color="000000"/>
              <w:bottom w:val="single" w:sz="1" w:space="0" w:color="000000"/>
              <w:right w:val="single" w:sz="1" w:space="0" w:color="000000"/>
            </w:tcBorders>
          </w:tcPr>
          <w:p w14:paraId="2D888137" w14:textId="77777777" w:rsidR="007555DA" w:rsidRPr="009455B9" w:rsidRDefault="000C6C16" w:rsidP="009455B9">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40</w:t>
            </w:r>
          </w:p>
        </w:tc>
        <w:tc>
          <w:tcPr>
            <w:tcW w:w="1710" w:type="dxa"/>
            <w:tcBorders>
              <w:top w:val="single" w:sz="1" w:space="0" w:color="000000"/>
              <w:left w:val="single" w:sz="1" w:space="0" w:color="000000"/>
              <w:bottom w:val="single" w:sz="1" w:space="0" w:color="000000"/>
              <w:right w:val="single" w:sz="1" w:space="0" w:color="000000"/>
            </w:tcBorders>
          </w:tcPr>
          <w:p w14:paraId="68D1E096" w14:textId="77777777" w:rsidR="007555DA" w:rsidRPr="009455B9" w:rsidRDefault="000C6C16" w:rsidP="009455B9">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Կանանց ռեսուրսային կենտրոն ՀԿ</w:t>
            </w:r>
          </w:p>
          <w:p w14:paraId="56A1D0E1" w14:textId="76B52E9A" w:rsidR="007555DA" w:rsidRPr="009455B9" w:rsidRDefault="000C6C16" w:rsidP="009455B9">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18:47:05</w:t>
            </w:r>
          </w:p>
        </w:tc>
        <w:tc>
          <w:tcPr>
            <w:tcW w:w="7110" w:type="dxa"/>
            <w:tcBorders>
              <w:top w:val="single" w:sz="1" w:space="0" w:color="000000"/>
              <w:left w:val="single" w:sz="1" w:space="0" w:color="000000"/>
              <w:bottom w:val="single" w:sz="1" w:space="0" w:color="000000"/>
              <w:right w:val="single" w:sz="1" w:space="0" w:color="000000"/>
            </w:tcBorders>
          </w:tcPr>
          <w:p w14:paraId="18D72148" w14:textId="432291F1" w:rsidR="007555DA" w:rsidRPr="009455B9" w:rsidRDefault="000C6C16" w:rsidP="009455B9">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2</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ԱՌԱՋԱՐԿՈՒԹՅՈՒՆ 2 - ՍԵՌԱԿԱՆ ՈՏՆՁԳՈՒԹՅՈՒՆՆԵՐԻ ԱՐԳԵԼՔԻ ԱՄՐԱԳՐՈՒՄԸ և ՊԱՏԱՍԽԱՆԱՏՎՈՒԹՅԱՆ ՄԻՋՈՑՆԵՐԻ ՍԱՀՄԱՆՈՒՄԸ  Առաջարկում ենք ՀՀ աշխատանքային օրենսգրքի 3</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1</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հոդվածը լրացնել հետևյալ բովանդակությամբ 4, 5 և 6 կետերով</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w:t>
            </w:r>
            <w:r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Աշխատանքում սեռական ոտնձգությունը սեռական բնույթի արարք է աշխատավայրում կամ աշխատանքային պարտականությունների կտարման այլ վայրում աշխատակցի կամ երրորդ անձի (փորձնակի, այցելուի, ուսանողի</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նկատմամբ, որի նպատակը և/կամ ադյունքը վերջինիս արժանապատվությունը նվաստացնելն և/կամ վերջինիս համար վիրավորական, թշնամական, նվաստացուցիչ մթնոլորտ ստեղծելը։ Սույն օրենքի իմաստով սեռական բնույթի արարքները ներառում են նաև անձին կանչելը կամ դիմելը սեռական բնույթի արտահայտություններով, սեռական օրգանների ցուցադրումը կամ սեռական բնույթի ցանկացած ոչ խոսքային ֆիզիկական արարք։ </w:t>
            </w:r>
            <w:r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 xml:space="preserve">Աշխատանքում սեռական ոտնձգություն կատարելը հիմք է աշխատողի նկատմամբ կարգապահական տույժերի կիրառման համար՝ ընդհուպ մինչև աշխատանքային պայմանագրի լուծումը։ </w:t>
            </w:r>
            <w:r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Գործատուները, որոնց աշխատողների քանակը գերազանցում է 50 և գործատուները, որոնք իրականացնում են կրթական, ուսումնադաստիրակչական գործունեություն՝ անկախ աշխատողներրի քանակից պարտավոր են ընդունել սեռական ոտնձգությունների կանխարգելման քաղաքականություններ և  նշանակել քաղաքականության գործողության վերահսկողության համար պատասխանատու անձ։ ՀՀ աշխատանքային օրենսգրքի 108-րդ հոդվածը լրացնել հետևյալ բովանդակությամբ 1</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1-րդ մասով</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w:t>
            </w:r>
            <w:r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Ուսումնադաստիարակչական կամ կրթական գործունեություն իրականացնող գործատուն աշխատողին չի թույլատրում կատարել իր աշխատանքային պարտականությունները և չի վճարում աշխատավարձ, եթե աշխատողի նկատմամբ Գործատուի սեռական ոտնձգությունների կանխարգելման քաղաքականության հիման վրա հարուցվել է վարույթ՝ մինչև վարույթի հիման վրա համապատասխան որոշման կայացումը։   Հիմնավորում Միջազգային իրավական առաջադեմ ստանդարտների համաձայն, որոնք ամրագրված են ինչպես ԱՄԿ Ց190 կոնվենցիայում, այնպես էլ ՀՀ կողմից վավերացված ԱՄԿ Ց111  կոնվենցիայում և հետագա մեկնաբանություններում, սեռական ոտնձգության սահմանումը պետք է ներառի ինչպես quid pro quo, այնպես էլ անբարենպաստ աշխատանքային միջավայր ստեղծող ոտնձգությունների էլեմենտները։ Quid pro quo – ցանկացած ֆիզիկական, խոսքային կամ ոչ խոսքային սեռական բնույթի կամ այլ արարք՝ սեռի հիմքով, որն անցանկալի է, ոչ ողջամիտ և վիրավորական հասցեատիրոջ համար, և եթե անձի մերժումը կամ առարկությունը նման արարքին բացահայտ կամ քողարկված կերպով օգտագործվում է որպես հիմք՝ անձի աշխատանքի վրա ազդող որոշում կայացնելու համար։ Անբարենպաստ աշխատանքային միջավայր ստեղծող ոտնձգություն՝ արարք, որը ստեղծում է վիրավորական, թշնամական կամ նվաստացուցիչ աշխատանքային միջավայր աշխատողի համար։ Սեռական ոտնձգության սահմանումն ու արգելքը տարբեր երկրներում ներառված է տարբեր օրենսդրական կարգավորումներում։ Երկրների մի մասը դրանք ներառում են հակախտրական կարգավորումների, մյուսները՝ աշխատանքային օրենսդրության շրջանակներում։ Կարևորն այնպիսի սահմանում և արգելք ամրագրելն է, որն արդյունավետ կերպով կկանխարգելի և կպաշտպանի սեռական ոտնձգության բոլոր դրսևորումներից։  ՀՀ աշխատանքային օրենսգիրքը չի պարունակում անդրադարձ սեռական ոտնձգության խնդրին, չի սահմանում աշխատանքում սեռական ոտնձգությունը և չի արգելում այն։  Սեռական ոտնձգությունն աշխատանքային օրենսդրությամբ կարգապահական տույժի կիրառման կամ աշխատանքային պայմանագրի դադարեցման հիմք չէ, ինչին անդրադարձել է նաև ԱՄԿ փորձագետների կոմիտեն Աշխատանքի և զբաղվածության ոլորտում խտրականության վերացման մասին C111 ԱՄԿ կոնվենցիայի վերաբերյալ 2016թ</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իր ուղիղ հարցմամբ / Direct Request (CEACR) - adopted 2016, published 106th ILC session (2017), Discrimination (Employment and Occupation) Convention, 1958 (No</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 xml:space="preserve"> 111) - Armenia (Ratification: 1994)/:  Կոմիտեն Հայաստանին առաջարկել է միջոցներ ձեռնարկել Աշխատանքային օրենսգրքում փոփոխություններ կատարելու կամ առանձին օրենսդրական ակտ ընդունելու ուղղությամբ, որով կսահմանվի սեռական ոտնձգության հասկացությունը, դրա արգելքը և պատժման մեխանիզմները ինչպես quid pro quo ոտնձգությունների այնպես էլ անբարենպաստ աշխատանքային միջավայր ստեղծելու հետ կապված ոտնձգությունների համար ։ Սեռական ոտնձգությունների կարգավորման խնդրին անդրադարձել է նաև Կանանց նկատմամբ խտրականության բոլոր ձևերի վերացման մասին Կոնվենցիայի (CEDAW) կոմիտեն 2016 թ</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իր Եզրափակիչ դիտարկումների 25-րդ կետում: / https://www</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refworld</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org/docid/583863b34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html/  Կոմիտեն կոչ է արել ՀՀ-ին ընդունել աշխատավայրում սեռական ոտնձգություն հասկացությունը սահմանող և արգելող օրենսդրություն:  Միջազգային իրավական ստանդարտներն անդրադառնում են նաև գործատուի պատասխանատվության կարգավորման հարցին՝ սեռական ոտնձգությունների կանխարգելման և դրա դեմ պայքարի գործում։ Այս համատեքստում մի շարք երկրներ ընդունել են որոշ գործատուների համար պարտադիր կանոններ՝ ապահովելու իրենց աշխատողների սեռական ոտնձգություններից զերծ աշխատանքը։ Այսպես, Ֆրանսիայում գործող օրենսդրության համաձայն 250 և ավել աշխատողների ունեցող գործատուները պարտավոր են նշանակել  պատասխանատու անձի, ով կուղղորդի, տեղեկություն կտրամադրի և կաջակցի աշխատողներին սեռական ոտնձգության և սեքսիստական վարքագծի  դեմ պայքարի գործում  (այսպես կոչված ՛՛ոտնձգության ծառայող’’):  Պորտուգալիայում աշխատանքային օրենսգիրքը 2017թ</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լրացվեց սեռական ոտնձգության կանխարգելման քաղաքականություն ընդունելու պահանջով` 7-ից ավել աշխատող ունեցող գործատուների համար, ինչպես նաև վարչական պատասխանատվություն նախատեսող դրույթով այդ գործատուների կողմից ոտնձգության գործերի քննությանն ընթացք չտալու համար։ ՀՀ-ում գործատուները չունեն որևէ իրավական պարտավորություն սեռական ոտնձգության կանխարգելման կամ դրա դեմ պայքարի ոլորտում։ Հատկապես կարևոր է ուսումնադաստիրակչական կամ կրթական գործունեություն իրականացնող գործատուների մոտ սեռական ոտնձգության կանխարգելմանն ուղղբված քայլերի ձեռնարկումը, քանի որ դրանւց տուժում են նաև ուսանողները կամ աշակերտները։ Այսպիսով, ելնելով ՀՀ ստանձնած միջազգային պարտավորություններից և միջազգային լավագույն փորձից, առաջարկում ենք ընդունել վերոնշյալ առաջարկները և ներառել դրանք Նախագծում:</w:t>
            </w:r>
          </w:p>
        </w:tc>
        <w:tc>
          <w:tcPr>
            <w:tcW w:w="4320" w:type="dxa"/>
            <w:tcBorders>
              <w:top w:val="single" w:sz="1" w:space="0" w:color="000000"/>
              <w:left w:val="single" w:sz="1" w:space="0" w:color="000000"/>
              <w:bottom w:val="single" w:sz="1" w:space="0" w:color="000000"/>
              <w:right w:val="single" w:sz="1" w:space="0" w:color="000000"/>
            </w:tcBorders>
          </w:tcPr>
          <w:p w14:paraId="10247CF5" w14:textId="77777777" w:rsidR="007555DA" w:rsidRPr="009455B9" w:rsidRDefault="000C6C16" w:rsidP="009455B9">
            <w:pPr>
              <w:spacing w:line="360" w:lineRule="auto"/>
              <w:ind w:left="76" w:right="165" w:firstLine="27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առաջարկությունը լրացուցիչ կուսումնասիրվի ՀՀ աշխատանքային օրենսգրքում նախատեսելու նպատակահարմարությունը քննարկելու համար:</w:t>
            </w:r>
          </w:p>
        </w:tc>
        <w:tc>
          <w:tcPr>
            <w:tcW w:w="2250" w:type="dxa"/>
            <w:tcBorders>
              <w:top w:val="single" w:sz="1" w:space="0" w:color="000000"/>
              <w:left w:val="single" w:sz="1" w:space="0" w:color="000000"/>
              <w:bottom w:val="single" w:sz="1" w:space="0" w:color="000000"/>
              <w:right w:val="single" w:sz="1" w:space="0" w:color="000000"/>
            </w:tcBorders>
          </w:tcPr>
          <w:p w14:paraId="62DA8683" w14:textId="77777777" w:rsidR="007555DA" w:rsidRPr="009455B9" w:rsidRDefault="007555DA" w:rsidP="009455B9">
            <w:pPr>
              <w:spacing w:line="360" w:lineRule="auto"/>
              <w:ind w:left="76" w:right="165" w:firstLine="270"/>
              <w:jc w:val="both"/>
              <w:rPr>
                <w:rFonts w:ascii="GHEA Grapalat" w:hAnsi="GHEA Grapalat"/>
                <w:sz w:val="24"/>
                <w:szCs w:val="24"/>
              </w:rPr>
            </w:pPr>
          </w:p>
        </w:tc>
      </w:tr>
      <w:tr w:rsidR="007555DA" w:rsidRPr="009455B9" w14:paraId="29386B6C" w14:textId="77777777" w:rsidTr="001D359F">
        <w:tc>
          <w:tcPr>
            <w:tcW w:w="540" w:type="dxa"/>
            <w:tcBorders>
              <w:top w:val="single" w:sz="1" w:space="0" w:color="000000"/>
              <w:left w:val="single" w:sz="1" w:space="0" w:color="000000"/>
              <w:bottom w:val="single" w:sz="1" w:space="0" w:color="000000"/>
              <w:right w:val="single" w:sz="1" w:space="0" w:color="000000"/>
            </w:tcBorders>
          </w:tcPr>
          <w:p w14:paraId="3875E70D" w14:textId="77777777" w:rsidR="007555DA" w:rsidRPr="009455B9" w:rsidRDefault="000C6C16" w:rsidP="00FA12D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41</w:t>
            </w:r>
          </w:p>
        </w:tc>
        <w:tc>
          <w:tcPr>
            <w:tcW w:w="1710" w:type="dxa"/>
            <w:tcBorders>
              <w:top w:val="single" w:sz="1" w:space="0" w:color="000000"/>
              <w:left w:val="single" w:sz="1" w:space="0" w:color="000000"/>
              <w:bottom w:val="single" w:sz="1" w:space="0" w:color="000000"/>
              <w:right w:val="single" w:sz="1" w:space="0" w:color="000000"/>
            </w:tcBorders>
          </w:tcPr>
          <w:p w14:paraId="1E2DAF79" w14:textId="77777777" w:rsidR="007555DA" w:rsidRPr="009455B9" w:rsidRDefault="000C6C16" w:rsidP="00FA12D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Կանանց ռեսուրսային կենտրոն ՀԿ</w:t>
            </w:r>
          </w:p>
          <w:p w14:paraId="59B16EF3" w14:textId="2F89EC3F" w:rsidR="007555DA" w:rsidRPr="009455B9" w:rsidRDefault="000C6C16" w:rsidP="00FA12D0">
            <w:pPr>
              <w:spacing w:line="360" w:lineRule="auto"/>
              <w:jc w:val="both"/>
              <w:rPr>
                <w:rFonts w:ascii="GHEA Grapalat" w:hAnsi="GHEA Grapalat"/>
                <w:sz w:val="24"/>
                <w:szCs w:val="24"/>
              </w:rPr>
            </w:pPr>
            <w:r w:rsidRPr="009455B9">
              <w:rPr>
                <w:rFonts w:ascii="GHEA Grapalat" w:eastAsia="GHEA Grapalat" w:hAnsi="GHEA Grapalat" w:cs="GHEA Grapalat"/>
                <w:color w:val="000000"/>
                <w:sz w:val="24"/>
                <w:szCs w:val="24"/>
              </w:rPr>
              <w:t>24</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03</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2022 18:34:19</w:t>
            </w:r>
          </w:p>
        </w:tc>
        <w:tc>
          <w:tcPr>
            <w:tcW w:w="7110" w:type="dxa"/>
            <w:tcBorders>
              <w:top w:val="single" w:sz="1" w:space="0" w:color="000000"/>
              <w:left w:val="single" w:sz="1" w:space="0" w:color="000000"/>
              <w:bottom w:val="single" w:sz="1" w:space="0" w:color="000000"/>
              <w:right w:val="single" w:sz="1" w:space="0" w:color="000000"/>
            </w:tcBorders>
          </w:tcPr>
          <w:p w14:paraId="06FA50C0" w14:textId="3B1303C9" w:rsidR="007555DA" w:rsidRPr="009455B9" w:rsidRDefault="000C6C16" w:rsidP="00FA12D0">
            <w:pPr>
              <w:spacing w:line="360" w:lineRule="auto"/>
              <w:ind w:left="166" w:right="165" w:firstLine="90"/>
              <w:jc w:val="both"/>
              <w:rPr>
                <w:rFonts w:ascii="GHEA Grapalat" w:hAnsi="GHEA Grapalat"/>
                <w:sz w:val="24"/>
                <w:szCs w:val="24"/>
              </w:rPr>
            </w:pPr>
            <w:r w:rsidRPr="009455B9">
              <w:rPr>
                <w:rFonts w:ascii="GHEA Grapalat" w:eastAsia="GHEA Grapalat" w:hAnsi="GHEA Grapalat" w:cs="GHEA Grapalat"/>
                <w:color w:val="000000"/>
                <w:sz w:val="24"/>
                <w:szCs w:val="24"/>
              </w:rPr>
              <w:t>1</w:t>
            </w:r>
            <w:r w:rsidR="009455B9"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ԱՌԱՋԱՐԿՈՒԹՅՈՒՆ 1 –  ԱՇԽԱՏԱՆՔՈՒՄ ԲՌՆՈՒԹՅԱՆ  ՍԱՀՄԱՆՈՒՄԸ, ՎԵՐՋԻՆԻՍ ԱՐԳԵԼՔԻ ԱՄՐԱԳՐՈՒՄԸ  Առաջարկում ենք ՀՀ աշխատանքային օրենսգիրքը լրացնել «Աշխատանքում բռնության և ոտնձգություն» վերնագրով 3</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2</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հոդվածով հետևյալ բովանդակությամբ</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w:t>
            </w:r>
            <w:r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1</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Աշխատանքում բռնությունը և/կամ ոտնձգությունն արգելվում են։  </w:t>
            </w:r>
            <w:r w:rsidRPr="009455B9">
              <w:rPr>
                <w:rFonts w:ascii="GHEA Grapalat" w:eastAsia="GHEA Grapalat" w:hAnsi="GHEA Grapalat" w:cs="GHEA Grapalat"/>
                <w:color w:val="000000"/>
                <w:sz w:val="24"/>
                <w:szCs w:val="24"/>
              </w:rPr>
              <w:t></w:t>
            </w:r>
            <w:r w:rsidRPr="009455B9">
              <w:rPr>
                <w:rFonts w:ascii="GHEA Grapalat" w:eastAsia="GHEA Grapalat" w:hAnsi="GHEA Grapalat" w:cs="GHEA Grapalat"/>
                <w:color w:val="000000"/>
                <w:sz w:val="24"/>
                <w:szCs w:val="24"/>
              </w:rPr>
              <w:tab/>
              <w:t>2</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Աշխատանքում բռնությունը  մեկանգամյա կամ պարբերաբար կրկնվող անցանկալի արարք է կամ այդպիսի արարքի սպառնալիք աշխատողի կողմից աշխատավայրում կամ աշխատանքային պարտականությունների կատարման այլ վայրում (ներառյալ գործուղումները)՝ ուղղված այլ աշխատողի կամ երրորդ անձի նկատմամբ, որի նպատակը կամ արդյունքը անձի արժանապատվությունը նվաստացնելն է և վերջինիս ֆիզիկական և/կամ հոգեկան և /կամ սեռական և/կամ տնտեսական վնաս պատճառելը։  Հիմնավորում  ՀՀ աշխատանքային օրենսգիրքը ամրագրելով բնռության արգելքը, չի սահմանում աշխատանքում բռնությունը և ոտնձգությունը, չի պարունակում բռնության կամ ոտնձգության որևէ սահմանում և չի ամրագրում որևէ տեսակի պատասխանատվություն՝ աշխատանքում բռնության կամ ոտնձգության համար։   Ներկայացված նախագծի 1-ին հոդվածի 2-րդ ենթակետում առաջարկվում է բռնությունների արգելքի սկզբունքը լրացնել բռնության սահմանմամբ, որպես աշխատողների ֆիզիկական և (կամ) հոգեկան և (կամ) սեռական անձեռնմխելիության դեմ ուղղված արարք կամ դրա սպառնալիք։ Այս սահմանումը, սակայն, չի արտացոլում աշխատանքում բռնության և սպառնալիքի վերոնշյալ սահմանման բովանդակությունը, քանի որ անձի ֆիզիկական և/կամ հոգեկան և/կամ սեռական անձեռնմխելիությանը հասցված վնասը դիտարկում է ոչ թե որպես բռնության հետևանք, այլ շեշտում է արարքի՝ այդ արժեքների դեմ ուղղված լինելու հանգամանքը։ Ուստի արարքի դիտավորությունը դարձվում է արարքի որակման մաս, ինչը հակասում է Զբաղվածության և աշխատանքի ոլորտում խտրականության մասին ԱՄԿ 111 կոնվենցիայի փորձագետների կոմիտեի կողմից 2003թ</w:t>
            </w:r>
            <w:r w:rsidR="009455B9" w:rsidRPr="009455B9">
              <w:rPr>
                <w:rFonts w:ascii="GHEA Grapalat" w:eastAsia="GHEA Grapalat" w:hAnsi="GHEA Grapalat" w:cs="Cambria Math"/>
                <w:color w:val="000000"/>
                <w:sz w:val="24"/>
                <w:szCs w:val="24"/>
                <w:lang w:val="hy-AM"/>
              </w:rPr>
              <w:t>.</w:t>
            </w:r>
            <w:r w:rsidRPr="009455B9">
              <w:rPr>
                <w:rFonts w:ascii="GHEA Grapalat" w:eastAsia="GHEA Grapalat" w:hAnsi="GHEA Grapalat" w:cs="GHEA Grapalat"/>
                <w:color w:val="000000"/>
                <w:sz w:val="24"/>
                <w:szCs w:val="24"/>
              </w:rPr>
              <w:t xml:space="preserve"> Ընդհանուր մեկնաբանությամբ արտահայտած դիրքորոշումներին՝ ոտնձգությունների դեպքում դիտավորության հարցի քննարկման անէական լինելու վերաբերյալ։   Հատկանշական է, որ Բռնության և ոտնձգության, ներառյալ գենդերային բռնության  և ոտնձգության տարբեր դրսևորումների սահմանումներն ու դրանց արգելքը ամրագրված են աշխարհի շատ երկրների աշխատանքային կամ հարակից օրենքներում։ Այսպես, Իռլանդիայում օգտագործվում է  բուլինգ աշխատավայրում եզրույթը, Ճապոնիայում՝ իշխանական ոտնձգություն (power harassment), Մեքսիկայում՝ բռնություն աշխատավայրում, Սլովենիայում առանձին սահմանումներ ունեն ոտնձգությունն ու բուլինգը։  Ավելին, աշխատանքում բռնության և ոտնձգության կանխարգելման մասին ամենանոր միջազգային իրավական ստանդարտը սահմանված է Աշխատանքում բռնության և ոտնձգության մասին ԱՄԿ Ց190 կոնվենցիայում, որի սահմանման համաձայն «աշխատանքում բռնություն և ոտձգություն» եզրույթը վերաբերում է անընդունելի վարքագծի և պրակտիկաների կամ դրանց սպառնալիքի մի շարք դրսևորումներին, որոնք կարող են լինել ինչպես մեկանգամյա այնպես էլ շարունակական, եթե դրանց նպատակը կամ հետևանքը անձին ֆիզիկական, հոգեբանական, սեռական կամ տնտեսական վնաս պատճառելն է։  Այսպիսով, միջազգային լավագույն փորձը, ինչպես նաև ՀՀ միջազգային պարտավորությունները հաշվի առնելով, առաջարկում եմ վերոնշյալ բովանդակությամբ սահմանել աշխատանքում բռնությունը և դրա արգելքը:</w:t>
            </w:r>
          </w:p>
        </w:tc>
        <w:tc>
          <w:tcPr>
            <w:tcW w:w="4320" w:type="dxa"/>
            <w:tcBorders>
              <w:top w:val="single" w:sz="1" w:space="0" w:color="000000"/>
              <w:left w:val="single" w:sz="1" w:space="0" w:color="000000"/>
              <w:bottom w:val="single" w:sz="1" w:space="0" w:color="000000"/>
              <w:right w:val="single" w:sz="1" w:space="0" w:color="000000"/>
            </w:tcBorders>
          </w:tcPr>
          <w:p w14:paraId="4BF87B83" w14:textId="77777777" w:rsidR="007555DA" w:rsidRPr="009455B9" w:rsidRDefault="000C6C16" w:rsidP="00FA12D0">
            <w:pPr>
              <w:spacing w:line="360" w:lineRule="auto"/>
              <w:ind w:left="166" w:right="165" w:firstLine="90"/>
              <w:jc w:val="both"/>
              <w:rPr>
                <w:rFonts w:ascii="GHEA Grapalat" w:hAnsi="GHEA Grapalat"/>
                <w:sz w:val="24"/>
                <w:szCs w:val="24"/>
              </w:rPr>
            </w:pPr>
            <w:r w:rsidRPr="009455B9">
              <w:rPr>
                <w:rFonts w:ascii="GHEA Grapalat" w:eastAsia="GHEA Grapalat" w:hAnsi="GHEA Grapalat" w:cs="GHEA Grapalat"/>
                <w:color w:val="000000"/>
                <w:sz w:val="24"/>
                <w:szCs w:val="24"/>
              </w:rPr>
              <w:t>Առաջարկն ընդունվել է ի գիտություն։ Ներկայացված առաջարկությունը լրացուցիչ կուսումնասիրվի ՀՀ աշխատանքային օրենսգրքում նախատեսելու նպատակահարմարությունը քննարկելու համար:</w:t>
            </w:r>
          </w:p>
        </w:tc>
        <w:tc>
          <w:tcPr>
            <w:tcW w:w="2250" w:type="dxa"/>
            <w:tcBorders>
              <w:top w:val="single" w:sz="1" w:space="0" w:color="000000"/>
              <w:left w:val="single" w:sz="1" w:space="0" w:color="000000"/>
              <w:bottom w:val="single" w:sz="1" w:space="0" w:color="000000"/>
              <w:right w:val="single" w:sz="1" w:space="0" w:color="000000"/>
            </w:tcBorders>
          </w:tcPr>
          <w:p w14:paraId="16A73F69" w14:textId="77777777" w:rsidR="007555DA" w:rsidRPr="009455B9" w:rsidRDefault="007555DA" w:rsidP="00FA12D0">
            <w:pPr>
              <w:spacing w:line="360" w:lineRule="auto"/>
              <w:ind w:left="166" w:right="165" w:firstLine="90"/>
              <w:jc w:val="both"/>
              <w:rPr>
                <w:rFonts w:ascii="GHEA Grapalat" w:hAnsi="GHEA Grapalat"/>
                <w:sz w:val="24"/>
                <w:szCs w:val="24"/>
              </w:rPr>
            </w:pPr>
          </w:p>
        </w:tc>
      </w:tr>
    </w:tbl>
    <w:p w14:paraId="747DE4A0" w14:textId="77777777" w:rsidR="000C6C16" w:rsidRPr="009455B9" w:rsidRDefault="000C6C16">
      <w:pPr>
        <w:rPr>
          <w:rFonts w:ascii="GHEA Grapalat" w:hAnsi="GHEA Grapalat"/>
        </w:rPr>
      </w:pPr>
    </w:p>
    <w:sectPr w:rsidR="000C6C16" w:rsidRPr="009455B9" w:rsidSect="00F94DB3">
      <w:pgSz w:w="16837" w:h="11905" w:orient="landscape"/>
      <w:pgMar w:top="1080" w:right="1440" w:bottom="99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5DA"/>
    <w:rsid w:val="00024485"/>
    <w:rsid w:val="000465B0"/>
    <w:rsid w:val="000A18BE"/>
    <w:rsid w:val="000B7DAA"/>
    <w:rsid w:val="000C6C16"/>
    <w:rsid w:val="000E46F2"/>
    <w:rsid w:val="00182E46"/>
    <w:rsid w:val="001C67F6"/>
    <w:rsid w:val="001D359F"/>
    <w:rsid w:val="001E1A0B"/>
    <w:rsid w:val="002C21F2"/>
    <w:rsid w:val="00327672"/>
    <w:rsid w:val="00391DBC"/>
    <w:rsid w:val="003A222A"/>
    <w:rsid w:val="004C148C"/>
    <w:rsid w:val="004D2CBF"/>
    <w:rsid w:val="005009DB"/>
    <w:rsid w:val="005B4C50"/>
    <w:rsid w:val="005E265E"/>
    <w:rsid w:val="006F02D6"/>
    <w:rsid w:val="007555DA"/>
    <w:rsid w:val="008064C3"/>
    <w:rsid w:val="00856D02"/>
    <w:rsid w:val="00865EFB"/>
    <w:rsid w:val="008D51DE"/>
    <w:rsid w:val="009455B9"/>
    <w:rsid w:val="009C4A6B"/>
    <w:rsid w:val="00AA2240"/>
    <w:rsid w:val="00AE5EF8"/>
    <w:rsid w:val="00AF7BA1"/>
    <w:rsid w:val="00B167D0"/>
    <w:rsid w:val="00B95451"/>
    <w:rsid w:val="00C35990"/>
    <w:rsid w:val="00DA04C1"/>
    <w:rsid w:val="00DE6B58"/>
    <w:rsid w:val="00E2101C"/>
    <w:rsid w:val="00F94DB3"/>
    <w:rsid w:val="00FA1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78718"/>
  <w15:docId w15:val="{D05FA709-5985-4F79-A0F2-0FE8365CF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AA2240"/>
    <w:rPr>
      <w:sz w:val="16"/>
      <w:szCs w:val="16"/>
    </w:rPr>
  </w:style>
  <w:style w:type="paragraph" w:styleId="CommentText">
    <w:name w:val="annotation text"/>
    <w:basedOn w:val="Normal"/>
    <w:link w:val="CommentTextChar"/>
    <w:uiPriority w:val="99"/>
    <w:semiHidden/>
    <w:unhideWhenUsed/>
    <w:rsid w:val="00AA2240"/>
    <w:pPr>
      <w:spacing w:line="240" w:lineRule="auto"/>
    </w:pPr>
  </w:style>
  <w:style w:type="character" w:customStyle="1" w:styleId="CommentTextChar">
    <w:name w:val="Comment Text Char"/>
    <w:basedOn w:val="DefaultParagraphFont"/>
    <w:link w:val="CommentText"/>
    <w:uiPriority w:val="99"/>
    <w:semiHidden/>
    <w:rsid w:val="00AA2240"/>
  </w:style>
  <w:style w:type="paragraph" w:styleId="CommentSubject">
    <w:name w:val="annotation subject"/>
    <w:basedOn w:val="CommentText"/>
    <w:next w:val="CommentText"/>
    <w:link w:val="CommentSubjectChar"/>
    <w:uiPriority w:val="99"/>
    <w:semiHidden/>
    <w:unhideWhenUsed/>
    <w:rsid w:val="00AA2240"/>
    <w:rPr>
      <w:b/>
      <w:bCs/>
    </w:rPr>
  </w:style>
  <w:style w:type="character" w:customStyle="1" w:styleId="CommentSubjectChar">
    <w:name w:val="Comment Subject Char"/>
    <w:basedOn w:val="CommentTextChar"/>
    <w:link w:val="CommentSubject"/>
    <w:uiPriority w:val="99"/>
    <w:semiHidden/>
    <w:rsid w:val="00AA2240"/>
    <w:rPr>
      <w:b/>
      <w:bCs/>
    </w:rPr>
  </w:style>
  <w:style w:type="paragraph" w:styleId="BalloonText">
    <w:name w:val="Balloon Text"/>
    <w:basedOn w:val="Normal"/>
    <w:link w:val="BalloonTextChar"/>
    <w:uiPriority w:val="99"/>
    <w:semiHidden/>
    <w:unhideWhenUsed/>
    <w:rsid w:val="00AA22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22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15948</Words>
  <Characters>90910</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https:/mul2-mss.gov.am/tasks/1590466/oneclick/E-drafti ampopatert (5).docx?token=65bb5e4ad764b59fa186715ae8c916ef</cp:keywords>
  <dc:description/>
  <cp:lastModifiedBy>Arpine.Sargsyan</cp:lastModifiedBy>
  <cp:revision>2</cp:revision>
  <dcterms:created xsi:type="dcterms:W3CDTF">2023-01-12T11:58:00Z</dcterms:created>
  <dcterms:modified xsi:type="dcterms:W3CDTF">2023-01-12T11:58:00Z</dcterms:modified>
  <cp:category/>
</cp:coreProperties>
</file>