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a3"/>
        <w:shd w:val="clear" w:color="auto" w:fill="FFFFFF"/>
        <w:tabs>
          <w:tab w:val="left" w:pos="1080"/>
        </w:tabs>
        <w:spacing w:after="0" w:line="360" w:lineRule="auto"/>
        <w:jc w:val="center"/>
        <w:rPr>
          <w:bCs/>
          <w:color w:val="000000"/>
          <w:szCs w:val="24"/>
          <w:shd w:val="clear" w:color="auto" w:fill="FFFFFF"/>
          <w:lang w:val="hy-AM"/>
        </w:rPr>
      </w:pPr>
      <w:r>
        <w:rPr>
          <w:b/>
          <w:szCs w:val="24"/>
          <w:lang w:val="hy-AM"/>
        </w:rPr>
        <w:t>ՀԻՄՆԱՎՈՐՈՒՄ</w:t>
      </w:r>
    </w:p>
    <w:p>
      <w:pPr>
        <w:tabs>
          <w:tab w:val="left" w:pos="1080"/>
        </w:tabs>
        <w:spacing w:after="0" w:line="360" w:lineRule="auto"/>
        <w:ind w:firstLine="720"/>
        <w:jc w:val="center"/>
        <w:rPr>
          <w:b/>
          <w:szCs w:val="24"/>
          <w:lang w:val="hy-AM"/>
        </w:rPr>
      </w:pPr>
      <w:r>
        <w:rPr>
          <w:rFonts w:cs="Sylfaen"/>
          <w:b/>
          <w:lang w:val="hy-AM"/>
        </w:rPr>
        <w:t>«ՀԱՅԱ</w:t>
      </w:r>
      <w:r>
        <w:rPr>
          <w:b/>
          <w:lang w:val="af-ZA"/>
        </w:rPr>
        <w:t>U</w:t>
      </w:r>
      <w:r>
        <w:rPr>
          <w:rFonts w:cs="Sylfaen"/>
          <w:b/>
          <w:lang w:val="hy-AM"/>
        </w:rPr>
        <w:t>ՏԱՆԻ</w:t>
      </w:r>
      <w:r>
        <w:rPr>
          <w:b/>
          <w:lang w:val="af-ZA"/>
        </w:rPr>
        <w:t xml:space="preserve"> </w:t>
      </w:r>
      <w:r>
        <w:rPr>
          <w:rFonts w:cs="Sylfaen"/>
          <w:b/>
          <w:lang w:val="hy-AM"/>
        </w:rPr>
        <w:t>ՀԱՆՐԱՊԵՏՈՒԹՅԱՆ</w:t>
      </w:r>
      <w:r>
        <w:rPr>
          <w:b/>
          <w:lang w:val="af-ZA"/>
        </w:rPr>
        <w:t xml:space="preserve"> </w:t>
      </w:r>
      <w:r>
        <w:rPr>
          <w:rFonts w:cs="Sylfaen"/>
          <w:b/>
          <w:lang w:val="hy-AM"/>
        </w:rPr>
        <w:t>ԿԱՌԱՎԱՐՈՒԹՅԱՆ 2011 ԹՎԱԿԱՆԻ ՄԱՅԻՍԻ 5-Ի N 665-Ն ՈՐՈՇՄԱՆ ՄԵՋ ԼՐԱՑՈՒՄՆԵՐ ԵՎ ՓՈՓՈԽՈՒԹՅՈՒՆՆԵՐ ԿԱՏԱՐԵԼՈՒ ՄԱՍԻՆ ՀԱՅԱ</w:t>
      </w:r>
      <w:r>
        <w:rPr>
          <w:b/>
          <w:lang w:val="af-ZA"/>
        </w:rPr>
        <w:t>U</w:t>
      </w:r>
      <w:r>
        <w:rPr>
          <w:rFonts w:cs="Sylfaen"/>
          <w:b/>
          <w:lang w:val="hy-AM"/>
        </w:rPr>
        <w:t>ՏԱՆԻ</w:t>
      </w:r>
      <w:r>
        <w:rPr>
          <w:b/>
          <w:lang w:val="af-ZA"/>
        </w:rPr>
        <w:t xml:space="preserve"> </w:t>
      </w:r>
      <w:r>
        <w:rPr>
          <w:rFonts w:cs="Sylfaen"/>
          <w:b/>
          <w:lang w:val="hy-AM"/>
        </w:rPr>
        <w:t>ՀԱՆՐԱՊԵՏՈՒԹՅԱՆ</w:t>
      </w:r>
      <w:r>
        <w:rPr>
          <w:b/>
          <w:lang w:val="af-ZA"/>
        </w:rPr>
        <w:t xml:space="preserve"> </w:t>
      </w:r>
      <w:r>
        <w:rPr>
          <w:rFonts w:cs="Sylfaen"/>
          <w:b/>
          <w:lang w:val="hy-AM"/>
        </w:rPr>
        <w:t xml:space="preserve">ԿԱՌԱՎԱՐՈՒԹՅԱՆ ՈՐՈՇՄԱՆ </w:t>
      </w:r>
      <w:r>
        <w:rPr>
          <w:b/>
          <w:szCs w:val="24"/>
          <w:lang w:val="hy-AM"/>
        </w:rPr>
        <w:t>ՆԱԽԱԳԾԻ ԸՆԴՈՒՆՄԱՆ</w:t>
      </w:r>
    </w:p>
    <w:p>
      <w:pPr>
        <w:spacing w:line="360" w:lineRule="auto"/>
        <w:ind w:firstLine="720"/>
        <w:jc w:val="center"/>
        <w:rPr>
          <w:b/>
          <w:szCs w:val="24"/>
          <w:lang w:val="hy-AM"/>
        </w:rPr>
      </w:pPr>
    </w:p>
    <w:p>
      <w:pPr>
        <w:tabs>
          <w:tab w:val="left" w:pos="567"/>
        </w:tabs>
        <w:spacing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>1. Իրավական ակտի անհրաժեշտությունը (նպատակը)</w:t>
      </w:r>
    </w:p>
    <w:p>
      <w:pPr>
        <w:spacing w:line="360" w:lineRule="auto"/>
        <w:ind w:firstLine="720"/>
        <w:jc w:val="both"/>
        <w:rPr>
          <w:rFonts w:cs="Sylfaen"/>
          <w:szCs w:val="24"/>
          <w:lang w:val="hy-AM"/>
        </w:rPr>
      </w:pPr>
      <w:r>
        <w:rPr>
          <w:rFonts w:cs="Sylfaen"/>
          <w:szCs w:val="24"/>
          <w:lang w:val="hy-AM"/>
        </w:rPr>
        <w:t xml:space="preserve">Նախագծի ընդունման անհրաժեշտությունը պայմանավորված է </w:t>
      </w:r>
      <w:r>
        <w:rPr>
          <w:rFonts w:cs="Sylfaen"/>
          <w:lang w:val="hy-AM"/>
        </w:rPr>
        <w:t>«Եվրասիական տնտեսական միության անդամ պետությունների աշխատողների կենսաթոշակային ապահովության մասին» համաձայնագրի (ստորագրվել է 2019 թվականի դեկտեմբերի 20-ին, այսուհետ՝ Համաձայնագիր) կիրարկման և ՀՀ վարչապետի 17.06.2022 ««Պետական կենսաթոշակների մասին» օրենքում փոփոխություններ և լրացումներ կատարելու մասին» Հայաստանի Հանրապետության oրենքի կիրարկումն ապահովող միջոցառումները հաստատելու մասին» թիվ 704-Ա որոշման հավելվածի 1-ին կետի կատարման ապահովմամբ:</w:t>
      </w:r>
    </w:p>
    <w:p>
      <w:pPr>
        <w:tabs>
          <w:tab w:val="left" w:pos="567"/>
        </w:tabs>
        <w:spacing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>1.1. Կարգավորման հարաբերությունների ներկա վիճակը և առկա խնդիրները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lastRenderedPageBreak/>
        <w:t xml:space="preserve">Համաձայնագրի 10-րդ հոդվածի 7-րդ կետի համաձայն՝ համաձայնագրի իրագործումն իրականացվում է Եվրասիական տնտեսական հանձնաժողովի խորհրդի կողմից հաստատվող՝ լիազոր, իրավասու մարմինների և Եվրասիական տնտեսական հանձնաժողովի միջև սույն համաձայնագրի կիրառության փոխգործակցության կարգին (այսուհետ՝ Կարգ) համապատասխան: 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Հայաստանի Հանրապետությունում լիազոր մարմինը Աշխատանքի և սոցիալական հարցերի նախարարությունն է, իրավասու մարմինը՝ Միասնական սոցիալական ծառայությունը։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Կարգով նախատեսվում է կարգավորել համաձայնագրի անդամ պետությունների լիազոր և իրավասու մարմինների փոխհամագործակցությունը Համաձայնագրի կիրառման գործընթացում։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Տնտեսական հանձնաժողովի կողմից Կարգն ընդունվել է 2020 թվականի դեկտեմբերի 23-ին։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Համաձայնագիրն ուժի մեջ է մտել 2021 թվականի հունվարի 1-ից և նրա գործողությունը տարածվում է այդ օրվանից հետո ձեռք բերված ստաժի վրա՝ համաձայնագրով կենսաթոշակ է նշանակվում 2021 թվականի հունվարի 1-ին և դրանից հետո ձեռք բերված ստաժի համար։ Համաձայնագրի գործողությունը տարածվում է միայն աշխատանքային կենսաթշակների վրա։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lastRenderedPageBreak/>
        <w:t>Ըստ Համաձայնագրի 7-րդ հոդվածի՝ կենսաթոշակի իրավունքը ծագում է անդամ պետության տարածքում առնվազն 12 լրիվ ամսվա աշխատանքային ստաժի առկայության դեպքում։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Սա նշանակում է, որ համաձայնագրի համաձայն կենսաթոշակի նշանակման համար քաղաքացիները կարող են դիմել 2022 թվականի հունվարի 1-ից հետո՝ նախորդ մեկ տարվա աշխատանքային ստաժի համար։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Հայաստանի Հանրապետությունում դեռևս դիմում չի ստացվել։ ԵՏՄ անդամ այլ պետություններում դիմումները շատ քիչ են՝ յուրաքանչյուր պետությունում մինչև 10  դիմում։ Հայկական  կենսաթոշակի համար դիմումներ չեն ստացվել: 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>Համաձայնագրի շրջանակներում անդամ պետություններից յուրաքանչյուրը կենսաթոշակ է նշանակում և վճարում իր  տարածքներում ձեռք բերված ստաժի համար, իր օրենսդրությամբ սահմանված կարգով։ Օրինակ՝ քաղաքացին աշխատանքային գործունեություն է իրականացրել ՀՀ-ում՝ 10 տարի,  ՌԴ-ում՝ 5 տարի։ Անկախ բնակության վայրից՝ 10 տարվա համար կվճարի ՀՀ-ն, 5 տարվա համար՝ ՌԴ-ն։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Հարկ է նշել, որ Համաձայնագրի մի շարք դրույթներ չեն բխում Հայաստանի Հանրապետության օրենսդրությունից։ Մասնավորապես, Համաձայնագրի շրջանակներում հարկ կլինի Հայաստանի Հանրապետության տարածքում ձեռք բերած աշխատանքային ստաժի համար կենսաթոշակը նշանակել անձի՝ </w:t>
      </w:r>
      <w:r>
        <w:rPr>
          <w:rFonts w:cs="Sylfaen"/>
          <w:lang w:val="hy-AM"/>
        </w:rPr>
        <w:lastRenderedPageBreak/>
        <w:t xml:space="preserve">անկախ նրա Հայաստանի Հանրապետության բնակության վայրի հասցում հաշվառված լինելու հանգամանքից և վճարել Հայաստանի Հանրապետության սահմաներից դուրս։ Ընդ որում, այդ դեպքում վճարվելու է (արտահանվելու է) կենսաթոշակի միայն աշխատանքային մասը, հիմնական կենսաթոշակը՝ 18000 դրամը չի վճարվելու։ 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Ըստ այդմ, համաձայնագրի շրջանակներում կենսաթոշակի նշանակումն ու վճարումը կազմակերպելու համար հարկ է, որ ներպետական օրենդրությամբ սահմանվեն այդ գործընթացի առանձնահատկությունները։ </w:t>
      </w:r>
    </w:p>
    <w:p>
      <w:pPr>
        <w:spacing w:after="0" w:line="360" w:lineRule="auto"/>
        <w:ind w:firstLine="709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«Պետական կենսաթոշակների մասին օրենքում լրացումներ և փոփոխություններ կատարելու մասին» 2022 թվականի մայիսի 4-ի ՀՕ-113-Ն օրենքով Կառավարությանը վերապահվել են համաձայնագրի կիրարկումն ապահովելու համար անհրաժեշտ կարգերը, առանձնահատակությունները սահմանելու իրավասությունները: </w:t>
      </w: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cs="Sylfaen"/>
          <w:b/>
          <w:szCs w:val="24"/>
          <w:lang w:val="hy-AM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>1.2. Առկա խնդրի առաջարկվող լուծումը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szCs w:val="24"/>
          <w:lang w:val="hy-AM"/>
        </w:rPr>
      </w:pPr>
      <w:r>
        <w:rPr>
          <w:rFonts w:cs="Sylfaen"/>
          <w:szCs w:val="24"/>
          <w:lang w:val="hy-AM"/>
        </w:rPr>
        <w:t xml:space="preserve">Առաջարկվում է ընդունել «Հայաuտանի Հանրապետության կառավարության 2011 թվականի մայիսի 5-ի N 665-ն որոշման մեջ լրացումներ և փոփոխություններ կատարելու մասին Հայաuտանի Հանրապետության կառավարության որոշման նախագիծը։ 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szCs w:val="24"/>
          <w:lang w:val="hy-AM"/>
        </w:rPr>
      </w:pPr>
    </w:p>
    <w:p>
      <w:pPr>
        <w:tabs>
          <w:tab w:val="left" w:pos="1080"/>
        </w:tabs>
        <w:spacing w:after="0"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lastRenderedPageBreak/>
        <w:t>2. Կարգավորման առարկան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color w:val="000000"/>
          <w:lang w:val="hy-AM"/>
        </w:rPr>
      </w:pPr>
      <w:r>
        <w:rPr>
          <w:rFonts w:cs="Sylfaen"/>
          <w:szCs w:val="24"/>
          <w:lang w:val="hy-AM"/>
        </w:rPr>
        <w:t xml:space="preserve">Ներկայացված նախագծով առաջարկվում է Հայաuտանի Հանրապետության կառավարության 2011 թվականի մայիսի 5-ի N 665-ն որոշումը (այսւոհետ՝ Որոշում) լրացնել նոր՝ </w:t>
      </w:r>
      <w:r>
        <w:rPr>
          <w:color w:val="000000"/>
          <w:lang w:val="hy-AM"/>
        </w:rPr>
        <w:t xml:space="preserve">N 17 </w:t>
      </w:r>
      <w:r>
        <w:rPr>
          <w:rFonts w:cs="Sylfaen"/>
          <w:color w:val="000000"/>
          <w:lang w:val="hy-AM"/>
        </w:rPr>
        <w:t xml:space="preserve">հավելվածով, որով կսահմանվեն </w:t>
      </w:r>
      <w:r>
        <w:rPr>
          <w:rFonts w:eastAsia="Times New Roman" w:cs="Times New Roman"/>
          <w:color w:val="000000"/>
          <w:szCs w:val="24"/>
          <w:lang w:val="hy-AM"/>
        </w:rPr>
        <w:t>Համաձայնագրին</w:t>
      </w:r>
      <w:r>
        <w:rPr>
          <w:color w:val="000000"/>
          <w:szCs w:val="24"/>
          <w:lang w:val="hy-AM"/>
        </w:rPr>
        <w:t xml:space="preserve"> համապատասխան՝ </w:t>
      </w:r>
      <w:r>
        <w:rPr>
          <w:rFonts w:eastAsia="Times New Roman" w:cs="Times New Roman"/>
          <w:szCs w:val="24"/>
          <w:lang w:val="hy-AM"/>
        </w:rPr>
        <w:t xml:space="preserve">կենսաթոշակ նշանակելու համար դիմելու, կենսաթոշակ նշանակելու (վերահաշվարկելու), կենսաթոշակի տեսակը փոխելու, կենսաթոշակ վճարելու և կենսաթոշակի գործ (փաստաթղթեր) վարելու կարգը, </w:t>
      </w:r>
      <w:r>
        <w:rPr>
          <w:color w:val="000000"/>
          <w:szCs w:val="24"/>
          <w:lang w:val="hy-AM"/>
        </w:rPr>
        <w:t>աշխատանքային կենսաթոշակի իրավունք տվող ստաժը հաշվարկելու կանոնները, կենսաթոշակի վճարման առանձնահատկությունները</w:t>
      </w:r>
      <w:r>
        <w:rPr>
          <w:rFonts w:eastAsia="Times New Roman" w:cs="Times New Roman"/>
          <w:szCs w:val="24"/>
          <w:lang w:val="hy-AM"/>
        </w:rPr>
        <w:t>։</w:t>
      </w:r>
      <w:r>
        <w:rPr>
          <w:rFonts w:cs="Sylfaen"/>
          <w:color w:val="000000"/>
          <w:lang w:val="hy-AM"/>
        </w:rPr>
        <w:t xml:space="preserve"> 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color w:val="000000"/>
        </w:rPr>
      </w:pPr>
      <w:proofErr w:type="spellStart"/>
      <w:r>
        <w:rPr>
          <w:rFonts w:cs="Sylfaen"/>
          <w:color w:val="000000"/>
        </w:rPr>
        <w:t>Մասնավորապես</w:t>
      </w:r>
      <w:proofErr w:type="spellEnd"/>
      <w:r>
        <w:rPr>
          <w:rFonts w:cs="Sylfaen"/>
          <w:color w:val="000000"/>
        </w:rPr>
        <w:t xml:space="preserve">, </w:t>
      </w:r>
      <w:proofErr w:type="spellStart"/>
      <w:r>
        <w:rPr>
          <w:color w:val="000000"/>
          <w:szCs w:val="24"/>
        </w:rPr>
        <w:t>Համաձայնագրին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համապատասխան</w:t>
      </w:r>
      <w:proofErr w:type="spellEnd"/>
      <w:r>
        <w:rPr>
          <w:color w:val="000000"/>
          <w:szCs w:val="24"/>
        </w:rPr>
        <w:t>՝</w:t>
      </w:r>
    </w:p>
    <w:p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360"/>
        <w:jc w:val="both"/>
        <w:rPr>
          <w:rFonts w:cs="Sylfaen"/>
          <w:color w:val="000000"/>
        </w:rPr>
      </w:pPr>
      <w:proofErr w:type="spellStart"/>
      <w:r>
        <w:rPr>
          <w:szCs w:val="24"/>
        </w:rPr>
        <w:t>կենսաթոշակը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նշանակում</w:t>
      </w:r>
      <w:proofErr w:type="spellEnd"/>
      <w:r>
        <w:rPr>
          <w:szCs w:val="24"/>
          <w:lang w:val="hy-AM"/>
        </w:rPr>
        <w:t>ն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ու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վճարումն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ապահովելու</w:t>
      </w:r>
      <w:proofErr w:type="spellEnd"/>
      <w:r>
        <w:rPr>
          <w:szCs w:val="24"/>
          <w:lang w:val="hy-AM"/>
        </w:rPr>
        <w:t xml:space="preserve"> է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կենսաթոշակի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էլեկտրոնային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գործը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փաստաթղթերը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հաշվառելու</w:t>
      </w:r>
      <w:proofErr w:type="spellEnd"/>
      <w:r>
        <w:rPr>
          <w:szCs w:val="24"/>
        </w:rPr>
        <w:t xml:space="preserve"> և </w:t>
      </w:r>
      <w:proofErr w:type="spellStart"/>
      <w:r>
        <w:rPr>
          <w:szCs w:val="24"/>
        </w:rPr>
        <w:t>վարելու</w:t>
      </w:r>
      <w:proofErr w:type="spellEnd"/>
      <w:r>
        <w:rPr>
          <w:szCs w:val="24"/>
        </w:rPr>
        <w:t xml:space="preserve"> է </w:t>
      </w:r>
      <w:proofErr w:type="spellStart"/>
      <w:r>
        <w:rPr>
          <w:szCs w:val="24"/>
        </w:rPr>
        <w:t>Աշխատանքի</w:t>
      </w:r>
      <w:proofErr w:type="spellEnd"/>
      <w:r>
        <w:rPr>
          <w:szCs w:val="24"/>
        </w:rPr>
        <w:t xml:space="preserve"> և </w:t>
      </w:r>
      <w:proofErr w:type="spellStart"/>
      <w:r>
        <w:rPr>
          <w:szCs w:val="24"/>
        </w:rPr>
        <w:t>սոցիալական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հարցերի</w:t>
      </w:r>
      <w:proofErr w:type="spellEnd"/>
      <w:r>
        <w:rPr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նախարարության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միասնական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սոցիալական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ծառայությունը</w:t>
      </w:r>
      <w:proofErr w:type="spellEnd"/>
      <w:r>
        <w:rPr>
          <w:rFonts w:eastAsia="Times New Roman" w:cs="Times New Roman"/>
          <w:color w:val="000000"/>
          <w:szCs w:val="24"/>
        </w:rPr>
        <w:t xml:space="preserve">՝ </w:t>
      </w:r>
      <w:r>
        <w:rPr>
          <w:szCs w:val="24"/>
          <w:lang w:val="hy-AM"/>
        </w:rPr>
        <w:t>Համաձայնագրի շրջանակներում կենսաթոշակային համակարգի տվյալների շտեմարանի (այսուհետ` շտեմարան) միջոցով:</w:t>
      </w:r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Սահմանվել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են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նաև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շտեմարան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ներառվող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տվյալները</w:t>
      </w:r>
      <w:proofErr w:type="spellEnd"/>
      <w:r>
        <w:rPr>
          <w:rFonts w:eastAsia="Times New Roman" w:cs="Times New Roman"/>
          <w:color w:val="000000"/>
          <w:szCs w:val="24"/>
          <w:lang w:val="hy-AM"/>
        </w:rPr>
        <w:t>,</w:t>
      </w:r>
      <w:r>
        <w:rPr>
          <w:rFonts w:eastAsia="Times New Roman" w:cs="Times New Roman"/>
          <w:color w:val="000000"/>
          <w:szCs w:val="24"/>
        </w:rPr>
        <w:t xml:space="preserve"> </w:t>
      </w:r>
    </w:p>
    <w:p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360"/>
        <w:jc w:val="both"/>
        <w:rPr>
          <w:rFonts w:cs="Sylfaen"/>
          <w:color w:val="000000"/>
        </w:rPr>
      </w:pPr>
      <w:proofErr w:type="spellStart"/>
      <w:r>
        <w:rPr>
          <w:rFonts w:cs="Sylfaen"/>
          <w:color w:val="000000"/>
        </w:rPr>
        <w:t>կենսաթոշակի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իրավունքի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իրացմանն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առնչվող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դիմումները</w:t>
      </w:r>
      <w:proofErr w:type="spellEnd"/>
      <w:r>
        <w:rPr>
          <w:rFonts w:cs="Sylfaen"/>
          <w:color w:val="000000"/>
        </w:rPr>
        <w:t xml:space="preserve">՝ </w:t>
      </w:r>
      <w:r>
        <w:rPr>
          <w:rFonts w:eastAsia="Times New Roman" w:cs="Times New Roman"/>
          <w:color w:val="000000"/>
          <w:szCs w:val="24"/>
        </w:rPr>
        <w:t>«</w:t>
      </w:r>
      <w:proofErr w:type="spellStart"/>
      <w:r>
        <w:rPr>
          <w:rFonts w:eastAsia="Times New Roman" w:cs="Times New Roman"/>
          <w:color w:val="000000"/>
          <w:szCs w:val="24"/>
        </w:rPr>
        <w:t>Դիմում-հարցաթերթ</w:t>
      </w:r>
      <w:proofErr w:type="spellEnd"/>
      <w:r>
        <w:rPr>
          <w:rFonts w:eastAsia="Times New Roman" w:cs="Times New Roman"/>
          <w:color w:val="000000"/>
          <w:szCs w:val="24"/>
        </w:rPr>
        <w:t xml:space="preserve">» </w:t>
      </w:r>
      <w:proofErr w:type="spellStart"/>
      <w:r>
        <w:rPr>
          <w:rFonts w:eastAsia="Times New Roman" w:cs="Times New Roman"/>
          <w:color w:val="000000"/>
          <w:szCs w:val="24"/>
        </w:rPr>
        <w:t>ֆորմուլյարի</w:t>
      </w:r>
      <w:proofErr w:type="spellEnd"/>
      <w:r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4"/>
        </w:rPr>
        <w:t>միջոցով</w:t>
      </w:r>
      <w:proofErr w:type="spellEnd"/>
      <w:r>
        <w:rPr>
          <w:rFonts w:eastAsia="Times New Roman" w:cs="Times New Roman"/>
          <w:color w:val="000000"/>
          <w:szCs w:val="24"/>
        </w:rPr>
        <w:t>,</w:t>
      </w:r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քաղաքացիները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կարող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են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ներկայացնել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eastAsia="Times New Roman"/>
          <w:szCs w:val="24"/>
        </w:rPr>
        <w:t>ծառայության</w:t>
      </w:r>
      <w:proofErr w:type="spellEnd"/>
      <w:r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ցանկացած</w:t>
      </w:r>
      <w:proofErr w:type="spellEnd"/>
      <w:r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տարածքային</w:t>
      </w:r>
      <w:proofErr w:type="spellEnd"/>
      <w:r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կենտրոն</w:t>
      </w:r>
      <w:proofErr w:type="spellEnd"/>
      <w:r>
        <w:rPr>
          <w:rFonts w:eastAsia="Times New Roman"/>
          <w:szCs w:val="24"/>
        </w:rPr>
        <w:t>,</w:t>
      </w:r>
    </w:p>
    <w:p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360"/>
        <w:jc w:val="both"/>
        <w:rPr>
          <w:rFonts w:cs="Sylfaen"/>
          <w:color w:val="000000"/>
        </w:rPr>
      </w:pPr>
      <w:r>
        <w:rPr>
          <w:rFonts w:cs="Sylfaen"/>
          <w:color w:val="000000"/>
        </w:rPr>
        <w:lastRenderedPageBreak/>
        <w:t xml:space="preserve">ՀՀ </w:t>
      </w:r>
      <w:proofErr w:type="spellStart"/>
      <w:r>
        <w:rPr>
          <w:rFonts w:cs="Sylfaen"/>
          <w:color w:val="000000"/>
        </w:rPr>
        <w:t>օրենսդրությամբ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սահմանված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կարգով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կենսաթոշակ</w:t>
      </w:r>
      <w:proofErr w:type="spellEnd"/>
      <w:r>
        <w:rPr>
          <w:rFonts w:cs="Sylfaen"/>
          <w:color w:val="000000"/>
        </w:rPr>
        <w:t xml:space="preserve"> </w:t>
      </w:r>
      <w:proofErr w:type="spellStart"/>
      <w:r>
        <w:rPr>
          <w:rFonts w:cs="Sylfaen"/>
          <w:color w:val="000000"/>
        </w:rPr>
        <w:t>այսուհետ</w:t>
      </w:r>
      <w:proofErr w:type="spellEnd"/>
      <w:r>
        <w:rPr>
          <w:rFonts w:cs="Sylfaen"/>
          <w:color w:val="000000"/>
        </w:rPr>
        <w:t xml:space="preserve">՝ </w:t>
      </w:r>
      <w:proofErr w:type="spellStart"/>
      <w:r>
        <w:rPr>
          <w:rFonts w:cs="Sylfaen"/>
          <w:color w:val="000000"/>
        </w:rPr>
        <w:t>հայկական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կենսաթոշակ</w:t>
      </w:r>
      <w:proofErr w:type="spellEnd"/>
      <w:r>
        <w:rPr>
          <w:rFonts w:cs="Sylfaen"/>
          <w:color w:val="000000"/>
        </w:rPr>
        <w:t xml:space="preserve"> </w:t>
      </w:r>
      <w:proofErr w:type="spellStart"/>
      <w:r>
        <w:rPr>
          <w:rFonts w:cs="Sylfaen"/>
          <w:color w:val="000000"/>
        </w:rPr>
        <w:t>նշանակելիս</w:t>
      </w:r>
      <w:proofErr w:type="spellEnd"/>
      <w:r>
        <w:rPr>
          <w:rFonts w:cs="Sylfaen"/>
          <w:color w:val="000000"/>
        </w:rPr>
        <w:t xml:space="preserve"> </w:t>
      </w:r>
      <w:r>
        <w:rPr>
          <w:rFonts w:cs="Sylfaen"/>
          <w:color w:val="000000"/>
          <w:lang w:val="hy-AM"/>
        </w:rPr>
        <w:t xml:space="preserve">կենսաթոշակի իրավունք տվող աշխատանքային ստաժում </w:t>
      </w:r>
      <w:proofErr w:type="spellStart"/>
      <w:r>
        <w:rPr>
          <w:rFonts w:cs="Sylfaen"/>
          <w:color w:val="000000"/>
        </w:rPr>
        <w:t>հաշվի</w:t>
      </w:r>
      <w:proofErr w:type="spellEnd"/>
      <w:r>
        <w:rPr>
          <w:rFonts w:cs="Sylfaen"/>
          <w:color w:val="000000"/>
        </w:rPr>
        <w:t xml:space="preserve"> է </w:t>
      </w:r>
      <w:proofErr w:type="spellStart"/>
      <w:r>
        <w:rPr>
          <w:rFonts w:cs="Sylfaen"/>
          <w:color w:val="000000"/>
        </w:rPr>
        <w:t>առնվում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Համաձայնագրի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անդամ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պետությունում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ձեռքբերված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ստաժը</w:t>
      </w:r>
      <w:proofErr w:type="spellEnd"/>
      <w:r>
        <w:rPr>
          <w:rFonts w:cs="Sylfaen"/>
          <w:color w:val="000000"/>
        </w:rPr>
        <w:t xml:space="preserve">, </w:t>
      </w:r>
      <w:proofErr w:type="spellStart"/>
      <w:r>
        <w:rPr>
          <w:rFonts w:cs="Sylfaen"/>
          <w:color w:val="000000"/>
        </w:rPr>
        <w:t>եթե</w:t>
      </w:r>
      <w:proofErr w:type="spellEnd"/>
      <w:r>
        <w:rPr>
          <w:rFonts w:cs="Sylfaen"/>
          <w:color w:val="000000"/>
        </w:rPr>
        <w:t xml:space="preserve"> ՀՀ </w:t>
      </w:r>
      <w:proofErr w:type="spellStart"/>
      <w:r>
        <w:rPr>
          <w:rFonts w:cs="Sylfaen"/>
          <w:color w:val="000000"/>
        </w:rPr>
        <w:t>տարածքում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ձեռք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բերված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ստաժը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բավարար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չէ</w:t>
      </w:r>
      <w:proofErr w:type="spellEnd"/>
      <w:r>
        <w:rPr>
          <w:rFonts w:cs="Sylfaen"/>
          <w:color w:val="000000"/>
        </w:rPr>
        <w:t xml:space="preserve"> </w:t>
      </w:r>
      <w:r>
        <w:rPr>
          <w:rFonts w:cs="Sylfaen"/>
          <w:color w:val="000000"/>
          <w:lang w:val="hy-AM"/>
        </w:rPr>
        <w:t xml:space="preserve">կենսաթոշակի </w:t>
      </w:r>
      <w:proofErr w:type="spellStart"/>
      <w:r>
        <w:rPr>
          <w:rFonts w:cs="Sylfaen"/>
          <w:color w:val="000000"/>
        </w:rPr>
        <w:t>իրավունք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ունենալու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համար</w:t>
      </w:r>
      <w:proofErr w:type="spellEnd"/>
      <w:r>
        <w:rPr>
          <w:rFonts w:cs="Sylfaen"/>
          <w:color w:val="000000"/>
        </w:rPr>
        <w:t xml:space="preserve"> </w:t>
      </w:r>
      <w:proofErr w:type="spellStart"/>
      <w:r>
        <w:rPr>
          <w:rFonts w:cs="Sylfaen"/>
          <w:color w:val="000000"/>
        </w:rPr>
        <w:t>ներկայումս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հաշվի</w:t>
      </w:r>
      <w:proofErr w:type="spellEnd"/>
      <w:r>
        <w:rPr>
          <w:rFonts w:cs="Sylfaen"/>
          <w:color w:val="000000"/>
        </w:rPr>
        <w:t xml:space="preserve"> է </w:t>
      </w:r>
      <w:proofErr w:type="spellStart"/>
      <w:r>
        <w:rPr>
          <w:rFonts w:cs="Sylfaen"/>
          <w:color w:val="000000"/>
        </w:rPr>
        <w:t>առնվում</w:t>
      </w:r>
      <w:proofErr w:type="spellEnd"/>
      <w:r>
        <w:rPr>
          <w:rFonts w:cs="Sylfaen"/>
          <w:color w:val="000000"/>
        </w:rPr>
        <w:t xml:space="preserve"> ԱՊՀ </w:t>
      </w:r>
      <w:proofErr w:type="spellStart"/>
      <w:r>
        <w:rPr>
          <w:rFonts w:cs="Sylfaen"/>
          <w:color w:val="000000"/>
        </w:rPr>
        <w:t>համաձայնագրի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մասնակից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պետությունների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տարածքում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մինչև</w:t>
      </w:r>
      <w:proofErr w:type="spellEnd"/>
      <w:r>
        <w:rPr>
          <w:rFonts w:cs="Sylfaen"/>
          <w:color w:val="000000"/>
        </w:rPr>
        <w:t xml:space="preserve"> 01.01.2017 </w:t>
      </w:r>
      <w:proofErr w:type="spellStart"/>
      <w:r>
        <w:rPr>
          <w:rFonts w:cs="Sylfaen"/>
          <w:color w:val="000000"/>
        </w:rPr>
        <w:t>ձեռքբերված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ստաժը</w:t>
      </w:r>
      <w:proofErr w:type="spellEnd"/>
      <w:r>
        <w:rPr>
          <w:rFonts w:cs="Sylfaen"/>
          <w:color w:val="000000"/>
        </w:rPr>
        <w:t xml:space="preserve">, </w:t>
      </w:r>
    </w:p>
    <w:p>
      <w:pPr>
        <w:pStyle w:val="a3"/>
        <w:numPr>
          <w:ilvl w:val="0"/>
          <w:numId w:val="3"/>
        </w:numPr>
        <w:tabs>
          <w:tab w:val="left" w:pos="720"/>
        </w:tabs>
        <w:spacing w:after="0" w:line="360" w:lineRule="auto"/>
        <w:ind w:left="0" w:firstLine="360"/>
        <w:jc w:val="both"/>
        <w:rPr>
          <w:rFonts w:cs="Sylfaen"/>
          <w:color w:val="000000"/>
        </w:rPr>
      </w:pPr>
      <w:proofErr w:type="spellStart"/>
      <w:proofErr w:type="gramStart"/>
      <w:r>
        <w:rPr>
          <w:rFonts w:cs="Sylfaen"/>
          <w:color w:val="000000"/>
        </w:rPr>
        <w:t>կենսաթոշակ</w:t>
      </w:r>
      <w:proofErr w:type="spellEnd"/>
      <w:proofErr w:type="gram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նշանակվում</w:t>
      </w:r>
      <w:proofErr w:type="spellEnd"/>
      <w:r>
        <w:rPr>
          <w:rFonts w:cs="Sylfaen"/>
          <w:color w:val="000000"/>
        </w:rPr>
        <w:t xml:space="preserve"> և </w:t>
      </w:r>
      <w:proofErr w:type="spellStart"/>
      <w:r>
        <w:rPr>
          <w:rFonts w:cs="Sylfaen"/>
          <w:color w:val="000000"/>
        </w:rPr>
        <w:t>վճարվում</w:t>
      </w:r>
      <w:proofErr w:type="spellEnd"/>
      <w:r>
        <w:rPr>
          <w:rFonts w:cs="Sylfaen"/>
          <w:color w:val="000000"/>
        </w:rPr>
        <w:t xml:space="preserve"> է </w:t>
      </w:r>
      <w:proofErr w:type="spellStart"/>
      <w:r>
        <w:rPr>
          <w:rFonts w:cs="Sylfaen"/>
          <w:color w:val="000000"/>
        </w:rPr>
        <w:t>նաև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այն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դեպքում</w:t>
      </w:r>
      <w:proofErr w:type="spellEnd"/>
      <w:r>
        <w:rPr>
          <w:rFonts w:cs="Sylfaen"/>
          <w:color w:val="000000"/>
        </w:rPr>
        <w:t xml:space="preserve">, </w:t>
      </w:r>
      <w:r>
        <w:rPr>
          <w:rFonts w:cs="Sylfaen"/>
          <w:color w:val="000000"/>
          <w:lang w:val="hy-AM"/>
        </w:rPr>
        <w:t xml:space="preserve">երբ </w:t>
      </w:r>
      <w:proofErr w:type="spellStart"/>
      <w:r>
        <w:rPr>
          <w:rFonts w:cs="Sylfaen"/>
          <w:color w:val="000000"/>
        </w:rPr>
        <w:t>քաղաքացին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բնակվում</w:t>
      </w:r>
      <w:proofErr w:type="spellEnd"/>
      <w:r>
        <w:rPr>
          <w:rFonts w:cs="Sylfaen"/>
          <w:color w:val="000000"/>
        </w:rPr>
        <w:t xml:space="preserve"> է Հ</w:t>
      </w:r>
      <w:r>
        <w:rPr>
          <w:rFonts w:cs="Sylfaen"/>
          <w:color w:val="000000"/>
          <w:lang w:val="hy-AM"/>
        </w:rPr>
        <w:t xml:space="preserve">այաստանի </w:t>
      </w:r>
      <w:r>
        <w:rPr>
          <w:rFonts w:cs="Sylfaen"/>
          <w:color w:val="000000"/>
        </w:rPr>
        <w:t>Հ</w:t>
      </w:r>
      <w:r>
        <w:rPr>
          <w:rFonts w:cs="Sylfaen"/>
          <w:color w:val="000000"/>
          <w:lang w:val="hy-AM"/>
        </w:rPr>
        <w:t>անրապետություն</w:t>
      </w:r>
      <w:proofErr w:type="spellStart"/>
      <w:r>
        <w:rPr>
          <w:rFonts w:cs="Sylfaen"/>
          <w:color w:val="000000"/>
        </w:rPr>
        <w:t>ից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դուրս</w:t>
      </w:r>
      <w:proofErr w:type="spellEnd"/>
      <w:r>
        <w:rPr>
          <w:rFonts w:cs="Sylfaen"/>
          <w:color w:val="000000"/>
        </w:rPr>
        <w:t xml:space="preserve">՝ </w:t>
      </w:r>
      <w:proofErr w:type="spellStart"/>
      <w:r>
        <w:rPr>
          <w:rFonts w:cs="Sylfaen"/>
          <w:color w:val="000000"/>
        </w:rPr>
        <w:t>Համաձայնագրի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անդամ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պետության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տարածքում</w:t>
      </w:r>
      <w:proofErr w:type="spellEnd"/>
      <w:r>
        <w:rPr>
          <w:rFonts w:cs="Sylfaen"/>
          <w:color w:val="000000"/>
        </w:rPr>
        <w:t xml:space="preserve"> </w:t>
      </w:r>
      <w:proofErr w:type="spellStart"/>
      <w:r>
        <w:rPr>
          <w:rFonts w:cs="Sylfaen"/>
          <w:color w:val="000000"/>
        </w:rPr>
        <w:t>ներկայումս</w:t>
      </w:r>
      <w:proofErr w:type="spellEnd"/>
      <w:r>
        <w:rPr>
          <w:rFonts w:cs="Sylfaen"/>
          <w:color w:val="000000"/>
        </w:rPr>
        <w:t xml:space="preserve"> ՀՀ </w:t>
      </w:r>
      <w:proofErr w:type="spellStart"/>
      <w:r>
        <w:rPr>
          <w:rFonts w:cs="Sylfaen"/>
          <w:color w:val="000000"/>
        </w:rPr>
        <w:t>տարածքից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դուրս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չի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վճարվում</w:t>
      </w:r>
      <w:proofErr w:type="spellEnd"/>
      <w:r>
        <w:rPr>
          <w:rFonts w:cs="Sylfaen"/>
          <w:color w:val="000000"/>
        </w:rPr>
        <w:t xml:space="preserve">, </w:t>
      </w:r>
      <w:proofErr w:type="spellStart"/>
      <w:r>
        <w:rPr>
          <w:rFonts w:cs="Sylfaen"/>
          <w:color w:val="000000"/>
        </w:rPr>
        <w:t>իսկ</w:t>
      </w:r>
      <w:proofErr w:type="spellEnd"/>
      <w:r>
        <w:rPr>
          <w:rFonts w:cs="Sylfaen"/>
          <w:color w:val="000000"/>
        </w:rPr>
        <w:t xml:space="preserve"> ԱՊՀ </w:t>
      </w:r>
      <w:proofErr w:type="spellStart"/>
      <w:r>
        <w:rPr>
          <w:rFonts w:cs="Sylfaen"/>
          <w:color w:val="000000"/>
        </w:rPr>
        <w:t>համաձայնագրի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շրջանակներում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կենսաթոշակի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գործն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ուղարկվում</w:t>
      </w:r>
      <w:proofErr w:type="spellEnd"/>
      <w:r>
        <w:rPr>
          <w:rFonts w:cs="Sylfaen"/>
          <w:color w:val="000000"/>
        </w:rPr>
        <w:t xml:space="preserve"> է </w:t>
      </w:r>
      <w:proofErr w:type="spellStart"/>
      <w:r>
        <w:rPr>
          <w:rFonts w:cs="Sylfaen"/>
          <w:color w:val="000000"/>
        </w:rPr>
        <w:t>մասնակից</w:t>
      </w:r>
      <w:proofErr w:type="spellEnd"/>
      <w:r>
        <w:rPr>
          <w:rFonts w:cs="Sylfaen"/>
          <w:color w:val="000000"/>
        </w:rPr>
        <w:t xml:space="preserve">  </w:t>
      </w:r>
      <w:proofErr w:type="spellStart"/>
      <w:r>
        <w:rPr>
          <w:rFonts w:cs="Sylfaen"/>
          <w:color w:val="000000"/>
        </w:rPr>
        <w:t>պետության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կենսաթոշակ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նշանակող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մարմին</w:t>
      </w:r>
      <w:proofErr w:type="spellEnd"/>
      <w:r>
        <w:rPr>
          <w:rFonts w:cs="Sylfaen"/>
          <w:color w:val="000000"/>
        </w:rPr>
        <w:t xml:space="preserve">՝ </w:t>
      </w:r>
      <w:proofErr w:type="spellStart"/>
      <w:r>
        <w:rPr>
          <w:rFonts w:cs="Sylfaen"/>
          <w:color w:val="000000"/>
        </w:rPr>
        <w:t>կենսաթոշակի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վճարումը</w:t>
      </w:r>
      <w:proofErr w:type="spellEnd"/>
      <w:r>
        <w:rPr>
          <w:rFonts w:cs="Sylfaen"/>
          <w:color w:val="000000"/>
        </w:rPr>
        <w:t xml:space="preserve"> </w:t>
      </w:r>
      <w:r>
        <w:rPr>
          <w:rFonts w:cs="Sylfaen"/>
          <w:color w:val="000000"/>
          <w:lang w:val="hy-AM"/>
        </w:rPr>
        <w:t xml:space="preserve">այդ </w:t>
      </w:r>
      <w:proofErr w:type="spellStart"/>
      <w:r>
        <w:rPr>
          <w:rFonts w:cs="Sylfaen"/>
          <w:color w:val="000000"/>
        </w:rPr>
        <w:t>մասնակից</w:t>
      </w:r>
      <w:proofErr w:type="spellEnd"/>
      <w:r>
        <w:rPr>
          <w:rFonts w:cs="Sylfaen"/>
          <w:color w:val="000000"/>
        </w:rPr>
        <w:t xml:space="preserve">  </w:t>
      </w:r>
      <w:proofErr w:type="spellStart"/>
      <w:r>
        <w:rPr>
          <w:rFonts w:cs="Sylfaen"/>
          <w:color w:val="000000"/>
        </w:rPr>
        <w:t>պետություն</w:t>
      </w:r>
      <w:proofErr w:type="spellEnd"/>
      <w:r>
        <w:rPr>
          <w:rFonts w:cs="Sylfaen"/>
          <w:color w:val="000000"/>
          <w:lang w:val="hy-AM"/>
        </w:rPr>
        <w:t>ում</w:t>
      </w:r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շարունակելու</w:t>
      </w:r>
      <w:proofErr w:type="spellEnd"/>
      <w:r>
        <w:rPr>
          <w:rFonts w:cs="Sylfaen"/>
          <w:color w:val="000000"/>
        </w:rPr>
        <w:t xml:space="preserve"> </w:t>
      </w:r>
      <w:proofErr w:type="spellStart"/>
      <w:r>
        <w:rPr>
          <w:rFonts w:cs="Sylfaen"/>
          <w:color w:val="000000"/>
        </w:rPr>
        <w:t>համար</w:t>
      </w:r>
      <w:proofErr w:type="spellEnd"/>
      <w:r>
        <w:rPr>
          <w:rFonts w:cs="Sylfaen"/>
          <w:color w:val="000000"/>
        </w:rPr>
        <w:t></w:t>
      </w:r>
      <w:r>
        <w:rPr>
          <w:rFonts w:cs="Sylfaen"/>
          <w:color w:val="000000"/>
          <w:lang w:val="hy-AM"/>
        </w:rPr>
        <w:t>։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</w:rPr>
        <w:tab/>
      </w:r>
      <w:r>
        <w:rPr>
          <w:rFonts w:cs="Sylfaen"/>
          <w:color w:val="000000"/>
          <w:lang w:val="hy-AM"/>
        </w:rPr>
        <w:t>Միաժամանակ նախագծով առաջարկվում է կատարել իրավակիրառ պրակտիկայից բխող փոփոխություններ։</w:t>
      </w:r>
    </w:p>
    <w:p>
      <w:pPr>
        <w:tabs>
          <w:tab w:val="left" w:pos="720"/>
        </w:tabs>
        <w:spacing w:after="0" w:line="360" w:lineRule="auto"/>
        <w:jc w:val="both"/>
        <w:rPr>
          <w:color w:val="000000"/>
          <w:lang w:val="hy-AM"/>
        </w:rPr>
      </w:pPr>
      <w:r>
        <w:rPr>
          <w:rFonts w:cs="Sylfaen"/>
          <w:color w:val="000000"/>
          <w:lang w:val="hy-AM"/>
        </w:rPr>
        <w:tab/>
        <w:t xml:space="preserve">Հաշվի առնելով այն հանգամանքը, որ պետական կենսաթոշակային համակարգի տվյալների բազայում առկա տեղեկատվությամբ՝ </w:t>
      </w:r>
      <w:r>
        <w:rPr>
          <w:color w:val="000000"/>
          <w:lang w:val="hy-AM"/>
        </w:rPr>
        <w:t xml:space="preserve">Հարկադիր կատարումն ապահովող ծառայության համակարգի կենսաթոշակառուների թիվը 03.08.2022  թվականի դրությամբ կազմում է 100, որից 54-ը </w:t>
      </w:r>
      <w:r>
        <w:rPr>
          <w:color w:val="000000"/>
          <w:lang w:val="hy-AM"/>
        </w:rPr>
        <w:lastRenderedPageBreak/>
        <w:t xml:space="preserve">նշանակվել է մինչև 01.01.2018թ, 5-ը՝ 2018թ․, 9-ը՝ 2019թ․, 17-ը՝ 2020թ․, 9-ը՝ 2021թ․, 6-ը՝ 2022թ անցած ժամանակահատվածում)։ Ըստ այդմ, կենսաթոշակի իրավունքի իրացման գործընթացում վարչարարությունը նվազեցնելու նպատակով նախագծով առաջարկվում է Հարկադիր կատարումն ապահովող ծառայության համակարգի կենսաթոշակները ևս նշանակվի Միասնական սոցիալական ծառայության կողմից։ 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tab/>
        <w:t>Օրենքի 32-րդ հոդվածի 1-ին մասով Կառավարությանը վերապահված է լիազորություն՝ սահմանելու այն դեպքերը, երբ 1992թ․ հունվարի 1-ից հետո  աշխատած ժամանակահատվածի համար սոցիալական վճարներ կատարելը կամ աշխատավարձ ստանալը հաստատող փաստաթուղթ չի պահանջվում։ Որոշման N 1 հավելվածի 14.5-րդ կետով այս լիազորության շրջանակներում սահմանվել է, որ մինչև 1996 թվականի նոյեմբերի 10-ը աշխատած ժամանակահատվածի համար սոցիալական վճարներ կատարելը կամ աշխատավարձ ստանալը հաստատող փաստաթուղթ չի պահանջվում, եթե անձն աշխատել է քաղաքային, շրջանային, ավանային, գյուղական խորհուրդների գործադիր կոմիտեներում (</w:t>
      </w:r>
      <w:r>
        <w:rPr>
          <w:rFonts w:eastAsia="Times New Roman" w:cs="Times New Roman"/>
          <w:szCs w:val="24"/>
          <w:lang w:val="hy-AM"/>
        </w:rPr>
        <w:t>առանց ենթակա կազմակերպությունների</w:t>
      </w:r>
      <w:r>
        <w:rPr>
          <w:rFonts w:cs="Sylfaen"/>
          <w:color w:val="000000"/>
          <w:lang w:val="hy-AM"/>
        </w:rPr>
        <w:t xml:space="preserve">)։ Հաշվի առնելով այն հանգամանքը, որ </w:t>
      </w:r>
      <w:bookmarkStart w:id="0" w:name="_GoBack"/>
      <w:bookmarkEnd w:id="0"/>
      <w:r>
        <w:rPr>
          <w:rFonts w:eastAsia="Times New Roman" w:cs="Times New Roman"/>
          <w:szCs w:val="24"/>
          <w:lang w:val="hy-AM"/>
        </w:rPr>
        <w:t xml:space="preserve">քաղաքային, շրջանային, ավանային, գյուղական խորհուրդների գործադիր կոմիտեներին </w:t>
      </w:r>
      <w:r>
        <w:rPr>
          <w:rFonts w:cs="Sylfaen"/>
          <w:color w:val="000000"/>
          <w:lang w:val="hy-AM"/>
        </w:rPr>
        <w:t xml:space="preserve">ենթակա դպրոցները, գրադարանները, բնակշահագործման (բնակարանային շահագործման) գրասենյակները (տեղամասերը, </w:t>
      </w:r>
      <w:r>
        <w:rPr>
          <w:rFonts w:cs="Sylfaen"/>
          <w:color w:val="000000"/>
          <w:lang w:val="hy-AM"/>
        </w:rPr>
        <w:lastRenderedPageBreak/>
        <w:t>տնտեսությունները) հիմնականում աշխատել են անընդմեջ, նախագծով առաջարկվում է նշված ժամանակահատվածի աշխատանքային ստաժն առանց սոցիալական վճարներ կատարելը կամ աշխատավարձ ստանալը հաստատող փաստաթղթի հաշվարկել նաև այս կազմակերպություններում աշխատած անձանց համար։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tab/>
        <w:t>Նույն՝  անընդմեջ աշխատելու հիմնավորմամբ, նախագծով առաջարկվում է առանց սոցիալական վճարներ կատարելը կամ աշխատավարձ ստանալը հաստատող փաստաթղթի հաշվարկել նաև 1992 թվականի հունվարի 1-ից մինչև 2004 թվականի հունվարի 1-ն ընկած  ժամանակահատվածում (մինչև անձնավորված հաշվառման ներդրումը) քաղաքացիական ավիացիայի գործարաններում և կազմակերպություններում, Որոշման NN 6, 7  հավելվածներում  նշված  կազմակերպություններում (որտեղ պաշտոններ զբաղեցրած անձինք ձեռք են բերում մասնակի կենսաթոշակի իրավունք) աշխատած անձանց աշխատանքային ստաժը՝ անկախ այդ կազմակերպությունում զբաղեցրած պաշտոնից կամ կատարած աշխատանքից։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tab/>
        <w:t xml:space="preserve">Ռուսաստանի Դաշնության բնակչության սոցիալական պաշտպանության նախարարության և Հայաստանի Հանրապետության աշխատանքի և սոցիալական հարցերի նախարարության միջև 1994 թվականի փետրվարի 24-ին կնքված </w:t>
      </w:r>
      <w:r>
        <w:rPr>
          <w:rFonts w:cs="Sylfaen"/>
          <w:color w:val="000000"/>
          <w:lang w:val="hy-AM"/>
        </w:rPr>
        <w:lastRenderedPageBreak/>
        <w:t xml:space="preserve">վարչական համաձայնագրի (կնքվել է ըստ 1992 թվականի մարտի 13-ի «Կենսաթոշակային ապահովության բնագավառում Անկախ Պետությունների Համագործակցության մասնակից պետությունների քաղաքացիների իրավունքների երաշխիքների մասին» համաձայնագրի 8-րդ հոդվածի) 9-րդ հոդվածի համաձայն՝ Որոշման N 1 հավելվածի 34-րդ կետով սահմանված է կենսաթոշակի նշանակման ժամկետ այն դեպքի համար, երբ Ռուսաստանի Դաշնությունից Հայաստանի Հանրապետություն մշտական բնակության ժամանած անձին Ռուսաստանի Դաշնությունում նշանակված է եղել կենսաթոշակ։ </w:t>
      </w:r>
    </w:p>
    <w:p>
      <w:pPr>
        <w:tabs>
          <w:tab w:val="left" w:pos="720"/>
        </w:tabs>
        <w:spacing w:after="0" w:line="360" w:lineRule="auto"/>
        <w:jc w:val="both"/>
        <w:rPr>
          <w:color w:val="000000"/>
          <w:lang w:val="hy-AM"/>
        </w:rPr>
      </w:pPr>
      <w:r>
        <w:rPr>
          <w:rFonts w:cs="Sylfaen"/>
          <w:color w:val="000000"/>
          <w:lang w:val="hy-AM"/>
        </w:rPr>
        <w:tab/>
        <w:t xml:space="preserve">Հաշվի առնելով, որ «Հայաստանի Հանրապետության քննչական կոմիտեի մասին» օրենքում կատարված փոփոխություններով «քննչական կոմիտեի ծառայող» բառերը համապատասխան հոլովաձևերով փոխարինվել են «քննչական կոմիտեում ինքնավար պաշտոն զբաղեցնող անձ» բառերով, նախագծով առաջարկվում է </w:t>
      </w:r>
      <w:r>
        <w:rPr>
          <w:color w:val="000000"/>
          <w:lang w:val="hy-AM"/>
        </w:rPr>
        <w:t>Որոշման N 1 հավելվածի 47-րդ կետում կատարել համապատասխան լրացում։</w:t>
      </w:r>
    </w:p>
    <w:p>
      <w:pPr>
        <w:tabs>
          <w:tab w:val="left" w:pos="720"/>
        </w:tabs>
        <w:spacing w:after="0" w:line="360" w:lineRule="auto"/>
        <w:jc w:val="both"/>
        <w:rPr>
          <w:color w:val="000000"/>
          <w:lang w:val="hy-AM"/>
        </w:rPr>
      </w:pPr>
      <w:r>
        <w:rPr>
          <w:color w:val="000000"/>
          <w:lang w:val="hy-AM"/>
        </w:rPr>
        <w:tab/>
      </w:r>
      <w:r>
        <w:rPr>
          <w:rFonts w:cs="Sylfaen"/>
          <w:color w:val="000000"/>
          <w:lang w:val="hy-AM"/>
        </w:rPr>
        <w:t xml:space="preserve">Իրավակիրառ պրակտիկայում խնդիրներ են առաջանում այն դեպքում, երբ անձը դիմում է կերակրողին կորցնելու դեպքում կենսաթոշակի կամ թաղման նպաստի համար և  մահվան պետական գրանցումը օբյկտիվորեն ուշ կատարելու պատճառով բաց են թողնում  իրավունքի իրացման համար օրենսդրությամբ սահմանված ժամկետները։ 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lastRenderedPageBreak/>
        <w:tab/>
        <w:t>Նախագծով առաջարկվում է այդ ժամկետները հաշվարկել մահվան պետական գրանցման օրվանից։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  <w:r>
        <w:rPr>
          <w:rFonts w:cs="Sylfaen"/>
          <w:color w:val="000000"/>
          <w:lang w:val="hy-AM"/>
        </w:rPr>
        <w:tab/>
        <w:t xml:space="preserve">Քաղաքացիների կողմից ներկայացվող փաստաթղթերի թիվը կրճատելու և կենսաթոշակ, թաղման նպաստ նշանակելու ընթացակարգերը պարզեցնելու նպատակով նախագծով առաջարկվում է կենսաթոշակ նշանակելու համար դիմելիս աշխատանքային գրքույկ ներկայացնելու պարտադիր պայմանը կիրառել, </w:t>
      </w:r>
      <w:r>
        <w:rPr>
          <w:color w:val="000000"/>
          <w:lang w:val="hy-AM"/>
        </w:rPr>
        <w:t xml:space="preserve">եթե այն թվայնացված չէ, իսկ </w:t>
      </w:r>
      <w:r>
        <w:rPr>
          <w:rFonts w:cs="Sylfaen"/>
          <w:color w:val="000000"/>
          <w:lang w:val="hy-AM"/>
        </w:rPr>
        <w:t xml:space="preserve">կերակրողին կորցնելու դեպքում կենսաթոշակի </w:t>
      </w:r>
      <w:r>
        <w:rPr>
          <w:color w:val="000000"/>
          <w:lang w:val="hy-AM"/>
        </w:rPr>
        <w:t>դեպքում՝ մահվան վկայականը պսահանջվում է, եթե քաղաքացիական կացության ակտերի գրանցման մարմիններից ստացված՝ մահվան ակտերի գրանցման վերաբերյալ տվյալներով անձի մահվան պետական գրանցումն առկա չէ։</w:t>
      </w:r>
    </w:p>
    <w:p>
      <w:pPr>
        <w:tabs>
          <w:tab w:val="left" w:pos="720"/>
        </w:tabs>
        <w:spacing w:after="0" w:line="360" w:lineRule="auto"/>
        <w:jc w:val="both"/>
        <w:rPr>
          <w:rFonts w:cs="Sylfaen"/>
          <w:color w:val="000000"/>
          <w:lang w:val="hy-AM"/>
        </w:rPr>
      </w:pP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>3. Իրավական ակտի կիրառման դեպքում ակնկալվող արդյունքը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szCs w:val="24"/>
          <w:lang w:val="hy-AM"/>
        </w:rPr>
      </w:pPr>
      <w:r>
        <w:rPr>
          <w:rFonts w:cs="Sylfaen"/>
          <w:szCs w:val="24"/>
          <w:lang w:val="hy-AM"/>
        </w:rPr>
        <w:t xml:space="preserve">Նախագիծն ընդունվելու դեպքում կապահովվի </w:t>
      </w:r>
      <w:r>
        <w:rPr>
          <w:rFonts w:cs="Sylfaen"/>
          <w:lang w:val="hy-AM"/>
        </w:rPr>
        <w:t>«Եվրասիական տնտեսական միության անդամ պետությունների աշխատողների կենսաթոշակային ապահովության մասին» համաձայնագրի և «Պետական կենսաթոշակների մասին օրենքում լրացումներ և փոփոխություններ կատարելու մասին» 2022 թվականի մայիսի 4-ի ՀՕ-113-Ն օրենքի կիրարկումը</w:t>
      </w:r>
      <w:r>
        <w:rPr>
          <w:rFonts w:cs="Sylfaen"/>
          <w:szCs w:val="24"/>
          <w:lang w:val="hy-AM"/>
        </w:rPr>
        <w:t>, կլուծվեն նաև իրավակիրառ պրակտիկայում ծագած առանձին խնդիրներ։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szCs w:val="24"/>
          <w:lang w:val="hy-AM"/>
        </w:rPr>
      </w:pPr>
    </w:p>
    <w:p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>4.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cs="Sylfaen"/>
          <w:szCs w:val="24"/>
          <w:lang w:val="hy-AM"/>
        </w:rPr>
        <w:t>«Հայաuտանի Հանրապետության կառավարության 2011 թվականի մայիսի 5-ի N 665-ն որոշման մեջ լրացումներ և փոփոխություններ կատարելու մասին Հայաuտանի Հանրապետության կառավարության որոշման նախագծի</w:t>
      </w:r>
      <w:r>
        <w:rPr>
          <w:szCs w:val="24"/>
          <w:lang w:val="hy-AM"/>
        </w:rPr>
        <w:t xml:space="preserve"> ընդունումը չի բխում ռազմավարական ծրագրերից, Կառավարության 2021-2026 թթ. ծրագրից։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szCs w:val="24"/>
          <w:lang w:val="hy-AM"/>
        </w:rPr>
      </w:pPr>
      <w:r>
        <w:rPr>
          <w:rFonts w:cs="Sylfaen"/>
          <w:lang w:val="hy-AM"/>
        </w:rPr>
        <w:t>Ներկայացված նախագիծը նպատակ ունի ապահովել «Եվրասիական տնտեսական միության անդամ պետությունների աշխատողների կենսաթոշակային ապահովության մասին» համաձայնագրի և «Պետական կենսաթոշակների մասին օրենքում լրացումներ և փոփոխություններ կատարելու մասին» 2022 թվականի մայիսի 4-ի ՀՕ-113-Ն օրենքի կիրարկումը</w:t>
      </w:r>
      <w:r>
        <w:rPr>
          <w:rFonts w:cs="Sylfaen"/>
          <w:szCs w:val="24"/>
          <w:lang w:val="hy-AM"/>
        </w:rPr>
        <w:t>, լուծել իրավակիրառ պրակտիկայում ծագած առանձին խնդիրներ</w:t>
      </w:r>
      <w:r>
        <w:rPr>
          <w:rFonts w:cs="Sylfaen"/>
          <w:lang w:val="hy-AM"/>
        </w:rPr>
        <w:t>։</w:t>
      </w:r>
      <w:r>
        <w:rPr>
          <w:szCs w:val="24"/>
          <w:lang w:val="hy-AM"/>
        </w:rPr>
        <w:t xml:space="preserve"> </w:t>
      </w:r>
    </w:p>
    <w:p>
      <w:pPr>
        <w:tabs>
          <w:tab w:val="left" w:pos="567"/>
        </w:tabs>
        <w:spacing w:after="0" w:line="360" w:lineRule="auto"/>
        <w:ind w:firstLine="720"/>
        <w:jc w:val="both"/>
        <w:rPr>
          <w:rFonts w:cs="Sylfaen"/>
          <w:szCs w:val="24"/>
          <w:lang w:val="hy-AM"/>
        </w:rPr>
      </w:pPr>
    </w:p>
    <w:p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cs="Sylfaen"/>
          <w:b/>
          <w:szCs w:val="24"/>
          <w:lang w:val="hy-AM"/>
        </w:rPr>
      </w:pPr>
      <w:r>
        <w:rPr>
          <w:rFonts w:cs="Sylfaen"/>
          <w:b/>
          <w:szCs w:val="24"/>
          <w:lang w:val="hy-AM"/>
        </w:rPr>
        <w:t>5. Տեղեկանք</w:t>
      </w:r>
    </w:p>
    <w:p>
      <w:pPr>
        <w:tabs>
          <w:tab w:val="left" w:pos="1080"/>
        </w:tabs>
        <w:spacing w:line="360" w:lineRule="auto"/>
        <w:ind w:firstLine="720"/>
        <w:jc w:val="both"/>
        <w:rPr>
          <w:szCs w:val="24"/>
          <w:lang w:val="hy-AM"/>
        </w:rPr>
      </w:pPr>
      <w:r>
        <w:rPr>
          <w:szCs w:val="24"/>
          <w:lang w:val="hy-AM"/>
        </w:rPr>
        <w:t xml:space="preserve">Նախագծի ընդունման դեպքում Հայաստանի Հանրապետության 2023 թվականի պետական բյուջեի եկամուտները և ծախսերը չեն ավելանա։ </w:t>
      </w:r>
    </w:p>
    <w:p>
      <w:pPr>
        <w:rPr>
          <w:rFonts w:eastAsia="Times New Roman" w:cs="Times New Roman"/>
          <w:szCs w:val="24"/>
          <w:lang w:val="hy-AM"/>
        </w:rPr>
      </w:pPr>
    </w:p>
    <w:sectPr>
      <w:pgSz w:w="12240" w:h="15840"/>
      <w:pgMar w:top="198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C362D"/>
    <w:multiLevelType w:val="hybridMultilevel"/>
    <w:tmpl w:val="97866D8E"/>
    <w:lvl w:ilvl="0" w:tplc="80A8421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A3683"/>
    <w:multiLevelType w:val="hybridMultilevel"/>
    <w:tmpl w:val="0C4AE56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1A43DB"/>
    <w:multiLevelType w:val="hybridMultilevel"/>
    <w:tmpl w:val="31341706"/>
    <w:lvl w:ilvl="0" w:tplc="F0244422">
      <w:start w:val="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4C3E7-9763-4A5D-B301-4D73F555C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GHEA Grapalat" w:hAnsi="GHEA Grapalat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4"/>
    <w:uiPriority w:val="34"/>
    <w:qFormat/>
    <w:pPr>
      <w:ind w:left="720"/>
      <w:contextualSpacing/>
    </w:p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pPr>
      <w:widowControl w:val="0"/>
      <w:shd w:val="clear" w:color="auto" w:fill="FFFFFF"/>
      <w:spacing w:before="420" w:after="960" w:line="0" w:lineRule="atLeast"/>
      <w:ind w:hanging="14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3"/>
    <w:uiPriority w:val="34"/>
    <w:locked/>
    <w:rPr>
      <w:rFonts w:ascii="GHEA Grapalat" w:hAnsi="GHEA Grapalat"/>
      <w:sz w:val="24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AE154-3B27-4665-A213-78CF415B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1292</Words>
  <Characters>9988</Characters>
  <Application>Microsoft Office Word</Application>
  <DocSecurity>0</DocSecurity>
  <Lines>187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Harutyunyan</dc:creator>
  <cp:keywords>https://mul2-mss.gov.am/tasks/1595511/oneclick/himnavorum 18.01.2023.docx?token=4c65bd42f34aac2f5c2c2e3fdc7b98e8</cp:keywords>
  <dc:description/>
  <cp:lastModifiedBy>Laura.Harutyunyan</cp:lastModifiedBy>
  <cp:revision>3</cp:revision>
  <dcterms:created xsi:type="dcterms:W3CDTF">2023-01-18T13:36:00Z</dcterms:created>
  <dcterms:modified xsi:type="dcterms:W3CDTF">2023-01-19T05:15:00Z</dcterms:modified>
</cp:coreProperties>
</file>