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9DA" w:rsidRPr="007B7114" w:rsidRDefault="002159DA" w:rsidP="002159DA">
      <w:pPr>
        <w:widowControl w:val="0"/>
        <w:pBdr>
          <w:top w:val="nil"/>
          <w:left w:val="nil"/>
          <w:bottom w:val="nil"/>
          <w:right w:val="nil"/>
          <w:between w:val="nil"/>
        </w:pBdr>
        <w:spacing w:line="360" w:lineRule="auto"/>
        <w:ind w:firstLine="567"/>
        <w:jc w:val="center"/>
        <w:rPr>
          <w:rFonts w:ascii="GHEA Grapalat" w:eastAsia="GHEA Grapalat" w:hAnsi="GHEA Grapalat"/>
          <w:b/>
        </w:rPr>
      </w:pPr>
      <w:r w:rsidRPr="007B7114">
        <w:rPr>
          <w:rFonts w:ascii="GHEA Grapalat" w:eastAsia="GHEA Grapalat" w:hAnsi="GHEA Grapalat"/>
          <w:b/>
        </w:rPr>
        <w:t>ՀԻՄՆԱՎՈՐՈՒՄ</w:t>
      </w:r>
    </w:p>
    <w:p w:rsidR="002159DA" w:rsidRPr="007B7114" w:rsidRDefault="002159DA" w:rsidP="002159DA">
      <w:pPr>
        <w:widowControl w:val="0"/>
        <w:pBdr>
          <w:top w:val="nil"/>
          <w:left w:val="nil"/>
          <w:bottom w:val="nil"/>
          <w:right w:val="nil"/>
          <w:between w:val="nil"/>
        </w:pBdr>
        <w:spacing w:line="360" w:lineRule="auto"/>
        <w:ind w:firstLine="567"/>
        <w:jc w:val="center"/>
        <w:rPr>
          <w:rFonts w:ascii="GHEA Grapalat" w:eastAsia="GHEA Grapalat" w:hAnsi="GHEA Grapalat"/>
          <w:b/>
        </w:rPr>
      </w:pPr>
      <w:r w:rsidRPr="007B7114">
        <w:rPr>
          <w:rFonts w:ascii="GHEA Grapalat" w:eastAsia="GHEA Grapalat" w:hAnsi="GHEA Grapalat"/>
          <w:b/>
        </w:rPr>
        <w:t>«ՀԱՅԱՍՏԱՆԻ ՀԱՆՐԱՊԵՏՈՒԹՅԱՆ ՔԱՂԱՔԱՑԻԱԿԱՆ ՕՐԵՆՍԳՐՔՈՒՄ ՓՈՓՈԽՈՒԹՅՈՒՆՆԵՐ ԵՎ ԼՐԱՑՈՒՄՆԵՐ ԿԱՏԱՐԵԼՈՒ ՄԱՍԻՆ», «</w:t>
      </w:r>
      <w:r w:rsidRPr="007B7114">
        <w:rPr>
          <w:rFonts w:ascii="GHEA Grapalat" w:eastAsia="GHEA Grapalat" w:hAnsi="GHEA Grapalat" w:cs="GHEA Grapalat"/>
          <w:b/>
          <w:color w:val="000000"/>
        </w:rPr>
        <w:t>«ԱՌԵՎՏՐԻ ԵՎ ԾԱՌԱՅՈՒԹՅՈՒՆՆԵՐԻ ՄԱՍԻՆ» ՀԱՅԱՍՏԱՆԻ ՀԱՆՐԱՊԵՏՈՒԹՅԱՆ ՕՐԵՆՔՈՒՄ ՓՈՓՈԽՈՒԹՅՈՒՆՆԵՐ ԵՎ ԼՐԱՑՈՒՄ ԿԱՏԱՐԵԼՈՒ ՄԱՍԻՆ</w:t>
      </w:r>
      <w:r w:rsidRPr="007B7114">
        <w:rPr>
          <w:rFonts w:ascii="GHEA Grapalat" w:eastAsia="GHEA Grapalat" w:hAnsi="GHEA Grapalat"/>
          <w:b/>
        </w:rPr>
        <w:t>»</w:t>
      </w:r>
      <w:r>
        <w:rPr>
          <w:rFonts w:ascii="GHEA Grapalat" w:eastAsia="GHEA Grapalat" w:hAnsi="GHEA Grapalat"/>
          <w:b/>
          <w:lang w:val="en-US"/>
        </w:rPr>
        <w:t xml:space="preserve"> </w:t>
      </w:r>
      <w:r w:rsidRPr="007B7114">
        <w:rPr>
          <w:rFonts w:ascii="GHEA Grapalat" w:eastAsia="GHEA Grapalat" w:hAnsi="GHEA Grapalat"/>
          <w:b/>
        </w:rPr>
        <w:t>ԵՎ «</w:t>
      </w:r>
      <w:r w:rsidRPr="007B7114">
        <w:rPr>
          <w:rFonts w:ascii="GHEA Grapalat" w:eastAsia="GHEA Grapalat" w:hAnsi="GHEA Grapalat" w:cs="GHEA Grapalat"/>
          <w:b/>
          <w:color w:val="000000"/>
        </w:rPr>
        <w:t>«ՍՊԱՌՈՂՆԵՐԻ ԻՐԱՎՈՒՆՔՆԵՐԻ ՊԱՇՏՊԱՆՈՒԹՅԱՆ ՄԱՍԻՆ» ՀԱՅԱՍՏԱՆԻ ՀԱՆՐԱՊԵՏՈՒԹՅԱՆ ՕՐԵՆՔՈՒՄ ՓՈՓՈԽՈՒԹՅՈՒՆՆԵՐ ԵՎ ԼՐԱՑՈՒՄՆԵՐ ԿԱՏԱՐԵԼՈՒ ՄԱՍԻՆ</w:t>
      </w:r>
      <w:r w:rsidRPr="007B7114">
        <w:rPr>
          <w:rFonts w:ascii="GHEA Grapalat" w:eastAsia="GHEA Grapalat" w:hAnsi="GHEA Grapalat"/>
          <w:b/>
        </w:rPr>
        <w:t>» ՕՐԵՆՔՆԵՐԻ ՆԱԽԱԳԾԵՐԻ ԸՆԴՈՒՆՄԱՆ ՄԱՍԻՆ</w:t>
      </w:r>
    </w:p>
    <w:p w:rsidR="002159DA" w:rsidRPr="007B7114" w:rsidRDefault="002159DA" w:rsidP="002159DA">
      <w:pPr>
        <w:widowControl w:val="0"/>
        <w:pBdr>
          <w:top w:val="nil"/>
          <w:left w:val="nil"/>
          <w:bottom w:val="nil"/>
          <w:right w:val="nil"/>
          <w:between w:val="nil"/>
        </w:pBdr>
        <w:spacing w:line="360" w:lineRule="auto"/>
        <w:ind w:firstLine="567"/>
        <w:jc w:val="center"/>
        <w:rPr>
          <w:rFonts w:ascii="GHEA Grapalat" w:eastAsia="GHEA Grapalat" w:hAnsi="GHEA Grapalat"/>
          <w:b/>
        </w:rPr>
      </w:pPr>
    </w:p>
    <w:p w:rsidR="002159DA" w:rsidRPr="003E608A" w:rsidRDefault="002159DA" w:rsidP="002159DA">
      <w:pPr>
        <w:pBdr>
          <w:top w:val="nil"/>
          <w:left w:val="nil"/>
          <w:bottom w:val="nil"/>
          <w:right w:val="nil"/>
          <w:between w:val="nil"/>
        </w:pBdr>
        <w:suppressAutoHyphens/>
        <w:spacing w:line="360" w:lineRule="auto"/>
        <w:ind w:firstLine="565"/>
        <w:jc w:val="both"/>
        <w:textDirection w:val="btLr"/>
        <w:textAlignment w:val="top"/>
        <w:outlineLvl w:val="0"/>
        <w:rPr>
          <w:rFonts w:ascii="GHEA Grapalat" w:eastAsia="GHEA Grapalat" w:hAnsi="GHEA Grapalat" w:cs="GHEA Grapalat"/>
          <w:color w:val="000000"/>
        </w:rPr>
      </w:pPr>
      <w:r w:rsidRPr="0037694F">
        <w:rPr>
          <w:rFonts w:ascii="GHEA Grapalat" w:eastAsia="GHEA Grapalat" w:hAnsi="GHEA Grapalat" w:cs="GHEA Grapalat"/>
          <w:b/>
          <w:color w:val="000000"/>
        </w:rPr>
        <w:t>1. Ընթացիկ իրավիճակը և իրավական ակտերի ընդունման անհրաժեշտությունը</w:t>
      </w:r>
    </w:p>
    <w:p w:rsidR="002159DA" w:rsidRPr="007B7114" w:rsidRDefault="002159DA" w:rsidP="002159DA">
      <w:pPr>
        <w:spacing w:line="360" w:lineRule="auto"/>
        <w:ind w:firstLine="567"/>
        <w:jc w:val="both"/>
        <w:rPr>
          <w:rFonts w:ascii="GHEA Grapalat" w:hAnsi="GHEA Grapalat"/>
          <w:color w:val="000000" w:themeColor="text1"/>
          <w:u w:val="single"/>
        </w:rPr>
      </w:pPr>
      <w:r w:rsidRPr="007B7114">
        <w:rPr>
          <w:rFonts w:ascii="GHEA Grapalat" w:hAnsi="GHEA Grapalat"/>
          <w:color w:val="000000" w:themeColor="text1"/>
          <w:u w:val="single"/>
        </w:rPr>
        <w:t>1.1. Էլեկտրոնային եղանակով</w:t>
      </w:r>
      <w:r w:rsidRPr="002159DA">
        <w:rPr>
          <w:rFonts w:ascii="GHEA Grapalat" w:hAnsi="GHEA Grapalat"/>
          <w:color w:val="000000" w:themeColor="text1"/>
          <w:u w:val="single"/>
        </w:rPr>
        <w:t xml:space="preserve"> </w:t>
      </w:r>
      <w:r w:rsidRPr="007B7114">
        <w:rPr>
          <w:rFonts w:ascii="GHEA Grapalat" w:hAnsi="GHEA Grapalat"/>
          <w:color w:val="000000" w:themeColor="text1"/>
          <w:u w:val="single"/>
        </w:rPr>
        <w:t>կնքվող պայմանագրերի (ներառյալ` օրինակելի պայմաների) արդիականությունը և դրանց տեսակները.</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Ժամանակակից տեղեկատվական տեխնոլոգիաների աննախադեպ զարգացման պարագայում, ինչպես նաև էլեկտրոնային գործիքների տարածվածությունն</w:t>
      </w:r>
      <w:r>
        <w:rPr>
          <w:rFonts w:ascii="GHEA Grapalat" w:hAnsi="GHEA Grapalat"/>
          <w:color w:val="000000" w:themeColor="text1"/>
        </w:rPr>
        <w:t xml:space="preserve"> </w:t>
      </w:r>
      <w:r w:rsidRPr="007B7114">
        <w:rPr>
          <w:rFonts w:ascii="GHEA Grapalat" w:hAnsi="GHEA Grapalat"/>
          <w:color w:val="000000" w:themeColor="text1"/>
        </w:rPr>
        <w:t>ու կիրառման արդյունավետությունը հաշվի առնելով՝</w:t>
      </w:r>
      <w:r w:rsidR="00B25FEC">
        <w:rPr>
          <w:rFonts w:ascii="GHEA Grapalat" w:hAnsi="GHEA Grapalat"/>
          <w:color w:val="000000" w:themeColor="text1"/>
        </w:rPr>
        <w:t xml:space="preserve"> </w:t>
      </w:r>
      <w:r w:rsidRPr="007B7114">
        <w:rPr>
          <w:rFonts w:ascii="GHEA Grapalat" w:hAnsi="GHEA Grapalat"/>
          <w:color w:val="000000" w:themeColor="text1"/>
        </w:rPr>
        <w:t>անհրաժեշտություն է առաջանում ձեռնարկել</w:t>
      </w:r>
      <w:r>
        <w:rPr>
          <w:rFonts w:ascii="GHEA Grapalat" w:hAnsi="GHEA Grapalat"/>
          <w:color w:val="000000" w:themeColor="text1"/>
        </w:rPr>
        <w:t>ու</w:t>
      </w:r>
      <w:r w:rsidRPr="007B7114">
        <w:rPr>
          <w:rFonts w:ascii="GHEA Grapalat" w:hAnsi="GHEA Grapalat"/>
          <w:color w:val="000000" w:themeColor="text1"/>
        </w:rPr>
        <w:t xml:space="preserve"> այնպիսի միջոցառումներ, որոնցով կապահովվի էլեկտրոնային գործարքների (պայմանագրերի) կնքման հարաբերություններում կողմերի իրավունքների համապարփակ պաշտպանությունը։ Մասնավորապես, անհրաժեշտ են համապատասխան օրենսդրական կարգավորումներ, որոնցով հնարավոր կլինի պատշաճ արձագանքել ժամանակի պահանջմունքներին:</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 xml:space="preserve">Հարկ է նկատել, որ ներկայումս Հայաստանի Հանրապետության քաղաքացիական օրենսգրքով (այսուհետ՝ Օրենսգիրք) գրավոր մեկ փաստաթուղթ կազմելու միջոցով պայմանագիր կնքելուց բացի այլ եղանակներով համապատասխան պայմանագրերի կնքման կառուցակարգերը սահմանված են </w:t>
      </w:r>
      <w:r w:rsidRPr="007B7114">
        <w:rPr>
          <w:rFonts w:ascii="GHEA Grapalat" w:hAnsi="GHEA Grapalat" w:cstheme="minorBidi"/>
          <w:color w:val="000000" w:themeColor="text1"/>
        </w:rPr>
        <w:t>Օրենսգրքի 450-րդ հոդվածի 3-րդ մասով, որի համաձայն՝</w:t>
      </w:r>
      <w:r w:rsidR="00B25FEC">
        <w:rPr>
          <w:rFonts w:ascii="GHEA Grapalat" w:hAnsi="GHEA Grapalat" w:cstheme="minorBidi"/>
          <w:color w:val="000000" w:themeColor="text1"/>
        </w:rPr>
        <w:t xml:space="preserve"> </w:t>
      </w:r>
      <w:r w:rsidRPr="007B7114">
        <w:rPr>
          <w:rFonts w:ascii="GHEA Grapalat" w:hAnsi="GHEA Grapalat" w:cstheme="minorBidi"/>
          <w:iCs/>
          <w:color w:val="000000" w:themeColor="text1"/>
        </w:rPr>
        <w:t xml:space="preserve">պայմանագիրը գրավոր ձևով կարող է կնքվել </w:t>
      </w:r>
      <w:r w:rsidRPr="007B7114">
        <w:rPr>
          <w:rFonts w:ascii="GHEA Grapalat" w:hAnsi="GHEA Grapalat"/>
          <w:color w:val="000000" w:themeColor="text1"/>
        </w:rPr>
        <w:t>հետևյալ եղանակներով.</w:t>
      </w:r>
    </w:p>
    <w:p w:rsidR="002159DA" w:rsidRPr="007B7114" w:rsidRDefault="002159DA" w:rsidP="002159DA">
      <w:pPr>
        <w:pStyle w:val="ListParagraph"/>
        <w:numPr>
          <w:ilvl w:val="0"/>
          <w:numId w:val="25"/>
        </w:numPr>
        <w:spacing w:line="360" w:lineRule="auto"/>
        <w:ind w:left="851" w:firstLine="567"/>
        <w:jc w:val="both"/>
        <w:rPr>
          <w:rFonts w:ascii="GHEA Grapalat" w:hAnsi="GHEA Grapalat" w:cstheme="minorBidi"/>
          <w:color w:val="000000" w:themeColor="text1"/>
        </w:rPr>
      </w:pPr>
      <w:r w:rsidRPr="007B7114">
        <w:rPr>
          <w:rFonts w:ascii="GHEA Grapalat" w:hAnsi="GHEA Grapalat" w:cstheme="minorBidi"/>
          <w:color w:val="000000" w:themeColor="text1"/>
        </w:rPr>
        <w:t>փոստային հաղորդակցության միջոցներով,</w:t>
      </w:r>
    </w:p>
    <w:p w:rsidR="002159DA" w:rsidRPr="007B7114" w:rsidRDefault="002159DA" w:rsidP="002159DA">
      <w:pPr>
        <w:pStyle w:val="ListParagraph"/>
        <w:numPr>
          <w:ilvl w:val="0"/>
          <w:numId w:val="25"/>
        </w:numPr>
        <w:spacing w:line="360" w:lineRule="auto"/>
        <w:ind w:left="851" w:firstLine="567"/>
        <w:jc w:val="both"/>
        <w:rPr>
          <w:rFonts w:ascii="GHEA Grapalat" w:hAnsi="GHEA Grapalat" w:cstheme="minorBidi"/>
          <w:color w:val="000000" w:themeColor="text1"/>
        </w:rPr>
      </w:pPr>
      <w:r w:rsidRPr="007B7114">
        <w:rPr>
          <w:rFonts w:ascii="GHEA Grapalat" w:hAnsi="GHEA Grapalat" w:cstheme="minorBidi"/>
          <w:color w:val="000000" w:themeColor="text1"/>
        </w:rPr>
        <w:t>հեռագրային հաղորդակցության միջոցներով,</w:t>
      </w:r>
    </w:p>
    <w:p w:rsidR="002159DA" w:rsidRPr="007B7114" w:rsidRDefault="002159DA" w:rsidP="002159DA">
      <w:pPr>
        <w:pStyle w:val="ListParagraph"/>
        <w:numPr>
          <w:ilvl w:val="0"/>
          <w:numId w:val="25"/>
        </w:numPr>
        <w:spacing w:line="360" w:lineRule="auto"/>
        <w:ind w:left="851" w:firstLine="567"/>
        <w:jc w:val="both"/>
        <w:rPr>
          <w:rFonts w:ascii="GHEA Grapalat" w:hAnsi="GHEA Grapalat" w:cstheme="minorBidi"/>
          <w:color w:val="000000" w:themeColor="text1"/>
        </w:rPr>
      </w:pPr>
      <w:r w:rsidRPr="007B7114">
        <w:rPr>
          <w:rFonts w:ascii="GHEA Grapalat" w:hAnsi="GHEA Grapalat" w:cstheme="minorBidi"/>
          <w:color w:val="000000" w:themeColor="text1"/>
        </w:rPr>
        <w:lastRenderedPageBreak/>
        <w:t xml:space="preserve">հեռատիպային հաղորդակցության միջոցներով, </w:t>
      </w:r>
    </w:p>
    <w:p w:rsidR="002159DA" w:rsidRPr="007B7114" w:rsidRDefault="002159DA" w:rsidP="002159DA">
      <w:pPr>
        <w:pStyle w:val="ListParagraph"/>
        <w:numPr>
          <w:ilvl w:val="0"/>
          <w:numId w:val="25"/>
        </w:numPr>
        <w:spacing w:line="360" w:lineRule="auto"/>
        <w:ind w:left="851" w:firstLine="567"/>
        <w:jc w:val="both"/>
        <w:rPr>
          <w:rFonts w:ascii="GHEA Grapalat" w:hAnsi="GHEA Grapalat" w:cstheme="minorBidi"/>
          <w:color w:val="000000" w:themeColor="text1"/>
        </w:rPr>
      </w:pPr>
      <w:r w:rsidRPr="007B7114">
        <w:rPr>
          <w:rFonts w:ascii="GHEA Grapalat" w:hAnsi="GHEA Grapalat" w:cstheme="minorBidi"/>
          <w:color w:val="000000" w:themeColor="text1"/>
        </w:rPr>
        <w:t xml:space="preserve">հեռախոսային հաղորդակցության միջոցներով, </w:t>
      </w:r>
    </w:p>
    <w:p w:rsidR="002159DA" w:rsidRPr="007B7114" w:rsidRDefault="002159DA" w:rsidP="002159DA">
      <w:pPr>
        <w:pStyle w:val="ListParagraph"/>
        <w:numPr>
          <w:ilvl w:val="0"/>
          <w:numId w:val="25"/>
        </w:numPr>
        <w:spacing w:line="360" w:lineRule="auto"/>
        <w:ind w:left="851" w:firstLine="567"/>
        <w:jc w:val="both"/>
        <w:rPr>
          <w:rFonts w:ascii="GHEA Grapalat" w:hAnsi="GHEA Grapalat" w:cstheme="minorBidi"/>
          <w:color w:val="000000" w:themeColor="text1"/>
        </w:rPr>
      </w:pPr>
      <w:r w:rsidRPr="007B7114">
        <w:rPr>
          <w:rFonts w:ascii="GHEA Grapalat" w:hAnsi="GHEA Grapalat" w:cstheme="minorBidi"/>
          <w:color w:val="000000" w:themeColor="text1"/>
        </w:rPr>
        <w:t>էլեկտրոնային հաղորդակցության միջոցներով</w:t>
      </w:r>
      <w:r w:rsidRPr="007B7114">
        <w:rPr>
          <w:rFonts w:ascii="GHEA Grapalat" w:hAnsi="GHEA Grapalat" w:cstheme="minorBidi"/>
          <w:color w:val="000000" w:themeColor="text1"/>
          <w:lang w:val="en-US"/>
        </w:rPr>
        <w:t xml:space="preserve"> կամ</w:t>
      </w:r>
    </w:p>
    <w:p w:rsidR="002159DA" w:rsidRPr="007B7114" w:rsidRDefault="002159DA" w:rsidP="002159DA">
      <w:pPr>
        <w:pStyle w:val="ListParagraph"/>
        <w:numPr>
          <w:ilvl w:val="0"/>
          <w:numId w:val="25"/>
        </w:numPr>
        <w:spacing w:line="360" w:lineRule="auto"/>
        <w:ind w:left="851" w:firstLine="567"/>
        <w:jc w:val="both"/>
        <w:rPr>
          <w:rFonts w:ascii="GHEA Grapalat" w:hAnsi="GHEA Grapalat" w:cstheme="minorBidi"/>
          <w:color w:val="000000" w:themeColor="text1"/>
        </w:rPr>
      </w:pPr>
      <w:r w:rsidRPr="007B7114">
        <w:rPr>
          <w:rFonts w:ascii="GHEA Grapalat" w:hAnsi="GHEA Grapalat" w:cstheme="minorBidi"/>
          <w:color w:val="000000" w:themeColor="text1"/>
        </w:rPr>
        <w:t xml:space="preserve">կապի այլ միջոցներով </w:t>
      </w:r>
      <w:r w:rsidRPr="007B7114">
        <w:rPr>
          <w:rFonts w:ascii="GHEA Grapalat" w:hAnsi="GHEA Grapalat" w:cstheme="minorBidi"/>
          <w:b/>
          <w:i/>
          <w:color w:val="000000" w:themeColor="text1"/>
        </w:rPr>
        <w:t>տեղեկություն կամ հաղորդագրություն (փաստաթուղթ) փոխանակելու միջոցով։</w:t>
      </w:r>
    </w:p>
    <w:p w:rsidR="002159DA" w:rsidRPr="007B7114" w:rsidRDefault="002159DA" w:rsidP="002159DA">
      <w:pPr>
        <w:spacing w:line="360" w:lineRule="auto"/>
        <w:ind w:firstLine="567"/>
        <w:jc w:val="both"/>
        <w:rPr>
          <w:rFonts w:ascii="GHEA Grapalat" w:hAnsi="GHEA Grapalat" w:cstheme="minorBidi"/>
          <w:color w:val="000000" w:themeColor="text1"/>
        </w:rPr>
      </w:pPr>
      <w:r w:rsidRPr="007B7114">
        <w:rPr>
          <w:rFonts w:ascii="GHEA Grapalat" w:hAnsi="GHEA Grapalat" w:cstheme="minorBidi"/>
          <w:color w:val="000000" w:themeColor="text1"/>
        </w:rPr>
        <w:t>Նշվածից բխում է, որ հաղորդակցության կամ կապի այլ միջոցներով պայմանագրի կնքումը հնարավոր է բացառապես տեղեկության կամ հաղորդագրության (փաստաթղթի) փոխանակման միջոցով։ Ընդ որում, գործող օրենսդրությամբ տեղեկության կամ հաղորդագրության (փաստաթղթի) փոխանակման միջոցով կնքված պայմանագիրը համարվում է վավեր և իրավաչափ, եթե միաժամանակ պահպանվել են առնվազն հետևյալ երկու պայմանները.</w:t>
      </w:r>
    </w:p>
    <w:p w:rsidR="002159DA" w:rsidRPr="007B7114" w:rsidRDefault="002159DA" w:rsidP="002159DA">
      <w:pPr>
        <w:pStyle w:val="ListParagraph"/>
        <w:numPr>
          <w:ilvl w:val="0"/>
          <w:numId w:val="24"/>
        </w:numPr>
        <w:spacing w:line="360" w:lineRule="auto"/>
        <w:ind w:left="851" w:firstLine="567"/>
        <w:jc w:val="both"/>
        <w:rPr>
          <w:rFonts w:ascii="GHEA Grapalat" w:hAnsi="GHEA Grapalat" w:cstheme="minorBidi"/>
          <w:color w:val="000000" w:themeColor="text1"/>
        </w:rPr>
      </w:pPr>
      <w:r w:rsidRPr="007B7114">
        <w:rPr>
          <w:rFonts w:ascii="GHEA Grapalat" w:hAnsi="GHEA Grapalat"/>
          <w:color w:val="000000" w:themeColor="text1"/>
        </w:rPr>
        <w:t xml:space="preserve">պետք է հաստատվի այդպիսի </w:t>
      </w:r>
      <w:r w:rsidRPr="007B7114">
        <w:rPr>
          <w:rFonts w:ascii="GHEA Grapalat" w:hAnsi="GHEA Grapalat" w:cstheme="minorBidi"/>
          <w:color w:val="000000" w:themeColor="text1"/>
        </w:rPr>
        <w:t>հաղորդակցության կամ կապի այլ միջոցներով փոխանցված տեղեկության կամ հաղորդագրության (փաստաթղթի)  իսկությունը: Այլ կերպ,</w:t>
      </w:r>
      <w:r w:rsidR="001D003A">
        <w:rPr>
          <w:rFonts w:ascii="GHEA Grapalat" w:hAnsi="GHEA Grapalat" w:cstheme="minorBidi"/>
          <w:color w:val="000000" w:themeColor="text1"/>
        </w:rPr>
        <w:t xml:space="preserve"> </w:t>
      </w:r>
      <w:r w:rsidRPr="007B7114">
        <w:rPr>
          <w:rFonts w:ascii="GHEA Grapalat" w:hAnsi="GHEA Grapalat" w:cstheme="minorBidi"/>
          <w:color w:val="000000" w:themeColor="text1"/>
        </w:rPr>
        <w:t>ենթադրվում է, որ պետք է առկա լինի նյութական կրիչ, չնայած այն հանգամանքին, որ նույն նորմով ուղղակի մատնանշում դրա մասին առկա չէ, որով հնարավոր կլինի փաստարկել հաղորդակցության կամ կապի այլ միջոցներով տեղեկության կամ հաղորդագրություն (փաստաթղթի)  փոխանակման, փոխանցման հանգամանքները.</w:t>
      </w:r>
    </w:p>
    <w:p w:rsidR="002159DA" w:rsidRPr="007B7114" w:rsidRDefault="002159DA" w:rsidP="002159DA">
      <w:pPr>
        <w:pStyle w:val="ListParagraph"/>
        <w:numPr>
          <w:ilvl w:val="0"/>
          <w:numId w:val="24"/>
        </w:numPr>
        <w:spacing w:line="360" w:lineRule="auto"/>
        <w:ind w:left="851" w:firstLine="567"/>
        <w:jc w:val="both"/>
        <w:rPr>
          <w:rFonts w:ascii="GHEA Grapalat" w:hAnsi="GHEA Grapalat"/>
          <w:color w:val="000000" w:themeColor="text1"/>
        </w:rPr>
      </w:pPr>
      <w:r w:rsidRPr="007B7114">
        <w:rPr>
          <w:rFonts w:ascii="GHEA Grapalat" w:hAnsi="GHEA Grapalat" w:cstheme="minorBidi"/>
          <w:color w:val="000000" w:themeColor="text1"/>
        </w:rPr>
        <w:t xml:space="preserve">հաղորդակցության կամ կապի այլ միջոցներով փոխանցված տեղեկության կամ հաղորդագրության փոխանցումը պետք է հնարավորություն տա ճշգրիտ որոշելու, որ այն ելնում է պայմանագրի կողմից։ </w:t>
      </w:r>
      <w:r>
        <w:rPr>
          <w:rFonts w:ascii="GHEA Grapalat" w:hAnsi="GHEA Grapalat" w:cstheme="minorBidi"/>
          <w:color w:val="000000" w:themeColor="text1"/>
        </w:rPr>
        <w:t>Սակայն</w:t>
      </w:r>
      <w:r w:rsidRPr="007B7114">
        <w:rPr>
          <w:rFonts w:ascii="GHEA Grapalat" w:hAnsi="GHEA Grapalat" w:cstheme="minorBidi"/>
          <w:color w:val="000000" w:themeColor="text1"/>
        </w:rPr>
        <w:t xml:space="preserve"> հատկանշական է, որ այս մասով գործող օրենսդրությունը հստակ մեխանիզմներ չի նախատեսում, թե ինչպես պետք է իրականացվի պայմանագրի կողմից ելնելու հանգամանքի առկայության ճշգրիտ որոշումը։ Այդ իսկ պատճառով իրավակիրառ պրակտիկայում, օրինակ, առցանց պայմանագրեր կնքելիս օգտագործվում են անձին նույնականացնելու միջոցներ և քայլեր,</w:t>
      </w:r>
      <w:r w:rsidR="001D003A">
        <w:rPr>
          <w:rFonts w:ascii="GHEA Grapalat" w:hAnsi="GHEA Grapalat" w:cstheme="minorBidi"/>
          <w:color w:val="000000" w:themeColor="text1"/>
        </w:rPr>
        <w:t xml:space="preserve"> </w:t>
      </w:r>
      <w:r w:rsidRPr="007B7114">
        <w:rPr>
          <w:rFonts w:ascii="GHEA Grapalat" w:hAnsi="GHEA Grapalat" w:cstheme="minorBidi"/>
          <w:color w:val="000000" w:themeColor="text1"/>
        </w:rPr>
        <w:t xml:space="preserve">օրինակ, նախապես տրամադրված PIN կոդերի առկայություն կամ անձի ծննդյան ամսաթվի, ծննդավայրի, հաշվառման </w:t>
      </w:r>
      <w:r w:rsidRPr="007B7114">
        <w:rPr>
          <w:rFonts w:ascii="GHEA Grapalat" w:hAnsi="GHEA Grapalat" w:cstheme="minorBidi"/>
          <w:color w:val="000000" w:themeColor="text1"/>
        </w:rPr>
        <w:lastRenderedPageBreak/>
        <w:t>հասցեի վերաբերյալ կամ ճշգրտող այլ հարցադրումների ներկայացում պայմանագիր կնքելու ցանկություն ունեցող անձին:</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Միևնույն ժամանակ, հարկ է նկատել, որ գործող իրավակարգավորումից միանշանակ պարզ չէ, թե արդյո՞ք Օրենսգրքով նախատեսված կարգավորումը անդրադառնում է նաև այն դեպքերին, երբ պայմանագրի կողմերի կամ նրանցից մեկի գործողությունները</w:t>
      </w:r>
      <w:r>
        <w:rPr>
          <w:rFonts w:ascii="GHEA Grapalat" w:hAnsi="GHEA Grapalat"/>
          <w:color w:val="000000" w:themeColor="text1"/>
        </w:rPr>
        <w:t xml:space="preserve"> </w:t>
      </w:r>
      <w:r w:rsidRPr="007B7114">
        <w:rPr>
          <w:rFonts w:ascii="GHEA Grapalat" w:hAnsi="GHEA Grapalat"/>
          <w:color w:val="000000" w:themeColor="text1"/>
        </w:rPr>
        <w:t xml:space="preserve">վերահսկվում և իրականացվում են, ոչ թե ֆիզիկական անձի, այլ ինքնաշխատ համակարգի կողմից (էլեկտրոնային </w:t>
      </w:r>
      <w:r>
        <w:rPr>
          <w:rFonts w:ascii="GHEA Grapalat" w:hAnsi="GHEA Grapalat"/>
          <w:color w:val="000000" w:themeColor="text1"/>
        </w:rPr>
        <w:t xml:space="preserve">եղանակով </w:t>
      </w:r>
      <w:r w:rsidRPr="007B7114">
        <w:rPr>
          <w:rFonts w:ascii="GHEA Grapalat" w:hAnsi="GHEA Grapalat"/>
          <w:color w:val="000000" w:themeColor="text1"/>
        </w:rPr>
        <w:t>կնքվող պայմանագրեր): Այլ կերպ, միանշանակ չէ՝ արդյո՞ք գործող նորմը կարգավորում է այն դեպքերը, երբ պայմանագիրը կնքվում է էլեկտրոնային հարթակներում, օրինակ, ինտերնետային կայքեր մուտք գործելով, էլեկտրոնային հավելվածներ ներբեռնելով կամ համանման այլ միջոցներով: Մասնավորապես, գործող կարգավորման տրամաբանությունից առավելապես բխում է էլեկտրոնային հաղորդակցության միջոցներով տեղեկատվության փոխանակման արդյունքում կնքված պայմանագրի ճանաչումն ու կիրառումը՝ հստակ չանդրադառնալով էլեկտրոնային եղանակով</w:t>
      </w:r>
      <w:r w:rsidR="00A817B5" w:rsidRPr="00A817B5">
        <w:rPr>
          <w:rFonts w:ascii="GHEA Grapalat" w:hAnsi="GHEA Grapalat"/>
          <w:color w:val="000000" w:themeColor="text1"/>
        </w:rPr>
        <w:t xml:space="preserve"> </w:t>
      </w:r>
      <w:r w:rsidRPr="007B7114">
        <w:rPr>
          <w:rFonts w:ascii="GHEA Grapalat" w:hAnsi="GHEA Grapalat"/>
          <w:color w:val="000000" w:themeColor="text1"/>
        </w:rPr>
        <w:t>կնքվող պայմանագրերին: Այնուամենայնիվ, օրենսդրության, հատկապես, «Սպառողների իրավունքների պաշտպանության մասին» և «Առևտրի և ծառայությունների մասին» օրենքների ուսումնասիրությունը վկայում է, որ ներկայումս, էլեկտրոնային հաղորդակցության միջոցներով պայմանագրերի կնքման ներքո հասկացվում են նաև էլեկտրոնային եղանակով</w:t>
      </w:r>
      <w:r>
        <w:rPr>
          <w:rFonts w:ascii="GHEA Grapalat" w:hAnsi="GHEA Grapalat"/>
          <w:color w:val="000000" w:themeColor="text1"/>
        </w:rPr>
        <w:t xml:space="preserve"> </w:t>
      </w:r>
      <w:r w:rsidRPr="007B7114">
        <w:rPr>
          <w:rFonts w:ascii="GHEA Grapalat" w:hAnsi="GHEA Grapalat"/>
          <w:color w:val="000000" w:themeColor="text1"/>
        </w:rPr>
        <w:t>կնքվող պայմանագրերը: Ինչևէ, միջազգային մոտեցումները վկայում են, որ առավել նպատակահարմար է նախատեսել և՛</w:t>
      </w:r>
      <w:r w:rsidR="00EC40CE">
        <w:rPr>
          <w:rFonts w:ascii="GHEA Grapalat" w:hAnsi="GHEA Grapalat"/>
          <w:color w:val="000000" w:themeColor="text1"/>
        </w:rPr>
        <w:t xml:space="preserve"> </w:t>
      </w:r>
      <w:r w:rsidRPr="007B7114">
        <w:rPr>
          <w:rFonts w:ascii="GHEA Grapalat" w:hAnsi="GHEA Grapalat"/>
          <w:color w:val="000000" w:themeColor="text1"/>
        </w:rPr>
        <w:t>էլեկտրոնային հաղորդակցության միջոցներով և</w:t>
      </w:r>
      <w:r>
        <w:rPr>
          <w:rFonts w:ascii="GHEA Grapalat" w:hAnsi="GHEA Grapalat"/>
          <w:color w:val="000000" w:themeColor="text1"/>
        </w:rPr>
        <w:t>՛</w:t>
      </w:r>
      <w:r w:rsidRPr="007B7114">
        <w:rPr>
          <w:rFonts w:ascii="GHEA Grapalat" w:hAnsi="GHEA Grapalat"/>
          <w:color w:val="000000" w:themeColor="text1"/>
        </w:rPr>
        <w:t xml:space="preserve"> էլեկտրոնային եղանակով</w:t>
      </w:r>
      <w:r>
        <w:rPr>
          <w:rFonts w:ascii="GHEA Grapalat" w:hAnsi="GHEA Grapalat"/>
          <w:color w:val="000000" w:themeColor="text1"/>
        </w:rPr>
        <w:t xml:space="preserve"> </w:t>
      </w:r>
      <w:r w:rsidRPr="007B7114">
        <w:rPr>
          <w:rFonts w:ascii="GHEA Grapalat" w:hAnsi="GHEA Grapalat"/>
          <w:color w:val="000000" w:themeColor="text1"/>
        </w:rPr>
        <w:t>կնքվող պայմանագրերը</w:t>
      </w:r>
      <w:r w:rsidRPr="007B7114">
        <w:rPr>
          <w:rStyle w:val="FootnoteReference"/>
          <w:rFonts w:ascii="GHEA Grapalat" w:hAnsi="GHEA Grapalat"/>
          <w:color w:val="000000" w:themeColor="text1"/>
          <w:lang w:val="en-US"/>
        </w:rPr>
        <w:footnoteReference w:id="1"/>
      </w:r>
      <w:r w:rsidRPr="007B7114">
        <w:rPr>
          <w:rFonts w:ascii="GHEA Grapalat" w:hAnsi="GHEA Grapalat"/>
          <w:color w:val="000000" w:themeColor="text1"/>
        </w:rPr>
        <w:t>:</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Նշվածի համատեքստում հարկ է նշել, որ էլեկտրոնային գործարքների կապակցությամբ պայմանագրային իրավունքում հայտնի են հետևյալ երկու կարևորագույն սկզբունքները՝ «տեխնոլոգիական չեզոքության» (technological neutrality) և «ֆունկցիոնալ համարժեքության» (</w:t>
      </w:r>
      <w:r w:rsidRPr="007B7114">
        <w:rPr>
          <w:rFonts w:ascii="GHEA Grapalat" w:eastAsiaTheme="minorHAnsi" w:hAnsi="GHEA Grapalat" w:cs="Vrinda"/>
          <w:color w:val="000000" w:themeColor="text1"/>
        </w:rPr>
        <w:t>functional equivalence</w:t>
      </w:r>
      <w:r w:rsidRPr="007B7114">
        <w:rPr>
          <w:rFonts w:ascii="GHEA Grapalat" w:hAnsi="GHEA Grapalat"/>
          <w:color w:val="000000" w:themeColor="text1"/>
        </w:rPr>
        <w:t xml:space="preserve">)։ «Տեխնոլոգիական չեզոքության» սկզբունքը </w:t>
      </w:r>
      <w:r w:rsidRPr="007B7114">
        <w:rPr>
          <w:rFonts w:ascii="GHEA Grapalat" w:hAnsi="GHEA Grapalat"/>
          <w:color w:val="000000" w:themeColor="text1"/>
        </w:rPr>
        <w:lastRenderedPageBreak/>
        <w:t xml:space="preserve">ենթադրում է այնպիսի դրույթների և կարգավորումների ընդունում, որոնք կիրարկվող տեխնոլոգիաների, հաղորդակցության </w:t>
      </w:r>
      <w:r>
        <w:rPr>
          <w:rFonts w:ascii="GHEA Grapalat" w:hAnsi="GHEA Grapalat"/>
          <w:color w:val="000000" w:themeColor="text1"/>
        </w:rPr>
        <w:t>միջոցների</w:t>
      </w:r>
      <w:r w:rsidRPr="007B7114">
        <w:rPr>
          <w:rFonts w:ascii="GHEA Grapalat" w:hAnsi="GHEA Grapalat"/>
          <w:color w:val="000000" w:themeColor="text1"/>
        </w:rPr>
        <w:t xml:space="preserve"> նկատմամբ ունեն չեզոք բնույթ: Իր հերթին, «ֆունկցիոնալ համարժեքության» սկզբունքը ենթադրում է, որ էլեկտրոնային հաղորդակցության և թղթային հաղորդակցության ձևերը միմյանց նկատմամբ առավելություն չունեն և գտնվում են միևնույն մակարդակում։ Այդ է պատճառը, որ էլեկտրոնային հաղորդակցության նկատմամբ սահմանվում են հատուկ պահանջներ, որոնցով այն ծառայում է այն նույն նպատակներին և գործառույթներին, որոնք բնորոշ են ավանդական թղթային հաղորդակցությանը</w:t>
      </w:r>
      <w:r w:rsidRPr="007B7114">
        <w:rPr>
          <w:rFonts w:ascii="GHEA Grapalat" w:hAnsi="GHEA Grapalat"/>
          <w:color w:val="000000" w:themeColor="text1"/>
          <w:vertAlign w:val="superscript"/>
        </w:rPr>
        <w:footnoteReference w:id="2"/>
      </w:r>
      <w:r w:rsidRPr="007B7114">
        <w:rPr>
          <w:rFonts w:ascii="GHEA Grapalat" w:hAnsi="GHEA Grapalat"/>
          <w:color w:val="000000" w:themeColor="text1"/>
        </w:rPr>
        <w:t>։</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Հարկ է նաև նշել, որ Օրենսգիրքը ներառում է դրույթներ պայմանագրի անբաժանելի մաս կազմող օրինակելի պայմանների (ընդհանուր կարգի և պայմանների) վերաբերյալ։ Մասնավորապես,</w:t>
      </w:r>
      <w:r w:rsidR="00C60EDF">
        <w:rPr>
          <w:rFonts w:ascii="GHEA Grapalat" w:hAnsi="GHEA Grapalat"/>
          <w:color w:val="000000" w:themeColor="text1"/>
        </w:rPr>
        <w:t xml:space="preserve"> </w:t>
      </w:r>
      <w:r w:rsidRPr="007B7114">
        <w:rPr>
          <w:rFonts w:ascii="GHEA Grapalat" w:hAnsi="GHEA Grapalat"/>
          <w:color w:val="000000" w:themeColor="text1"/>
        </w:rPr>
        <w:t>Օրենսգրքի 443-րդ հոդվածից բխում է, որ պայմանագրի անբաժանելի մաս կազմող առանձին պայմանները կարող</w:t>
      </w:r>
      <w:r w:rsidR="00A817B5" w:rsidRPr="00A817B5">
        <w:rPr>
          <w:rFonts w:ascii="GHEA Grapalat" w:hAnsi="GHEA Grapalat"/>
          <w:color w:val="000000" w:themeColor="text1"/>
        </w:rPr>
        <w:t xml:space="preserve"> </w:t>
      </w:r>
      <w:r w:rsidRPr="007B7114">
        <w:rPr>
          <w:rFonts w:ascii="GHEA Grapalat" w:hAnsi="GHEA Grapalat"/>
          <w:color w:val="000000" w:themeColor="text1"/>
        </w:rPr>
        <w:t>են որոշվել համապատասխան տեսակի պայմանագրերի համար մշակված և մամուլում հրապարակված  օրինակելի պայմաններով։ Բացի այդ, այդպիսի պայմանների կիրարկելիությունը կարող է ապահովվել զուտ օրինակելի պայմաններին կատարված պայմանագրային հղումով։</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Այսպես, սույն նորմից հնարավոր չէ միանշանակ բխեցնել նշված պայմանների վերաբերյալ նշում (հղում) պարունակելու, դրանց ծանոթանալու հնարավորության նախատեսման և դրանց համաձայնություն տալու անհրաժեշտությունը: Իր հերթին, գործող եզրույթը՝ «օրինակելի պայմաններ», հաճախ շփոթ է առաջացնում «օրինակելի պայմանագրերի», «պայմանագրերի օրինակելի ձևի» հետ: Նշված հարցերի կարգավորման անհրաժեշտությունն առավել արդիական է, հատկապես, էլեկտրոնային եղանակով</w:t>
      </w:r>
      <w:r>
        <w:rPr>
          <w:rFonts w:ascii="GHEA Grapalat" w:hAnsi="GHEA Grapalat"/>
          <w:color w:val="000000" w:themeColor="text1"/>
        </w:rPr>
        <w:t xml:space="preserve"> </w:t>
      </w:r>
      <w:r w:rsidRPr="007B7114">
        <w:rPr>
          <w:rFonts w:ascii="GHEA Grapalat" w:hAnsi="GHEA Grapalat"/>
          <w:color w:val="000000" w:themeColor="text1"/>
        </w:rPr>
        <w:t xml:space="preserve">կնքվող պայմանագրերի տարածվածության պայմաններում, որոնց դեպքում գործնականում բավականին շատ է տարածված օրինակելի պայմանների կիրառումը: Այսպես, Օրենսգրքի 443-րդ հոդվածի 2-րդ մասի տրամաբանությունից կարելի է եզրահանգել, որ ինքնին </w:t>
      </w:r>
      <w:r w:rsidRPr="007B7114">
        <w:rPr>
          <w:rFonts w:ascii="GHEA Grapalat" w:hAnsi="GHEA Grapalat"/>
          <w:color w:val="000000" w:themeColor="text1"/>
        </w:rPr>
        <w:lastRenderedPageBreak/>
        <w:t xml:space="preserve">պայմանագրի անբաժանելի մաս կազմող օրինակելի պայմաններին կատարված հղումը բավարար է դրանց պարտադիրության և կիրառման համար: Նման մոտեցումը, սակայն, չի բխում միջազգային իրավական պրակտիկայից. օրինակ՝ ԱՄՆ-ում, Բելգիայի Թագավորությունում, Միացյալ Թագավորությունում, Նիդերլանդների Թագավորությունում, Ճապոնիայում, </w:t>
      </w:r>
      <w:r>
        <w:rPr>
          <w:rFonts w:ascii="GHEA Grapalat" w:hAnsi="GHEA Grapalat"/>
          <w:color w:val="000000" w:themeColor="text1"/>
        </w:rPr>
        <w:t>Շվեյցարիայում</w:t>
      </w:r>
      <w:r w:rsidRPr="007B7114">
        <w:rPr>
          <w:rFonts w:ascii="GHEA Grapalat" w:hAnsi="GHEA Grapalat"/>
          <w:color w:val="000000" w:themeColor="text1"/>
        </w:rPr>
        <w:t xml:space="preserve"> և այլուր լայն տարածում ունեն, այսպես կոչված, Click-wrap պայմանագրերը, որոնց դեպքում պայմանագրի անբաժանելի մաս կազմող օրինակելի պայմաններին միանալը և դրանց համաձայնություն տալը համարվում է վավեր, եթե անձին վերապահվել է այդ պայմաններին իրապես ծանոթանալու հնարավորություն և այդ կապակցությամբ արտահայտվել է անձի անվերապահ և անհետկանչելի համաձայնությունը, որը հնարավոր է որևէ նյութական կրիչով փաստարկել։ Համապատասխան եզրահանգումները բխում են նաև Միջազգային պայմանագրերում էլեկտրոնային հաղորդակցության միջոցների կիրառման մասին Միավորված ազգերի կազմակերպության կոնվենցիայի</w:t>
      </w:r>
      <w:r w:rsidRPr="007B7114">
        <w:rPr>
          <w:rStyle w:val="FootnoteReference"/>
          <w:rFonts w:ascii="GHEA Grapalat" w:hAnsi="GHEA Grapalat"/>
          <w:color w:val="000000" w:themeColor="text1"/>
        </w:rPr>
        <w:footnoteReference w:id="3"/>
      </w:r>
      <w:r w:rsidRPr="007B7114">
        <w:rPr>
          <w:rFonts w:ascii="GHEA Grapalat" w:hAnsi="GHEA Grapalat"/>
          <w:color w:val="000000" w:themeColor="text1"/>
        </w:rPr>
        <w:t>, ՄԱԿ-ի միջազգային առևտրային իրավունքի հանձնաժողովի «Էլեկտրոնային առևտրի մասին» մոդելային օրենքի</w:t>
      </w:r>
      <w:r w:rsidRPr="007B7114">
        <w:rPr>
          <w:rStyle w:val="FootnoteReference"/>
          <w:rFonts w:ascii="GHEA Grapalat" w:hAnsi="GHEA Grapalat"/>
          <w:color w:val="000000" w:themeColor="text1"/>
        </w:rPr>
        <w:footnoteReference w:id="4"/>
      </w:r>
      <w:r w:rsidRPr="007B7114">
        <w:rPr>
          <w:rFonts w:ascii="GHEA Grapalat" w:hAnsi="GHEA Grapalat"/>
          <w:color w:val="000000" w:themeColor="text1"/>
        </w:rPr>
        <w:t xml:space="preserve"> (այսուհետ՝ Մոդելային օրենք), Էլեկտրոնային ստորագրության 1999թ.</w:t>
      </w:r>
      <w:r w:rsidRPr="007B7114">
        <w:rPr>
          <w:rStyle w:val="FootnoteReference"/>
          <w:rFonts w:ascii="GHEA Grapalat" w:hAnsi="GHEA Grapalat"/>
          <w:color w:val="000000" w:themeColor="text1"/>
        </w:rPr>
        <w:footnoteReference w:id="5"/>
      </w:r>
      <w:r w:rsidRPr="007B7114">
        <w:rPr>
          <w:rFonts w:ascii="GHEA Grapalat" w:hAnsi="GHEA Grapalat"/>
          <w:color w:val="000000" w:themeColor="text1"/>
        </w:rPr>
        <w:t xml:space="preserve"> և Էլեկտրոնային առևտրի մասին 2000թ.</w:t>
      </w:r>
      <w:r w:rsidRPr="007B7114">
        <w:rPr>
          <w:rStyle w:val="FootnoteReference"/>
          <w:rFonts w:ascii="GHEA Grapalat" w:hAnsi="GHEA Grapalat"/>
          <w:color w:val="000000" w:themeColor="text1"/>
        </w:rPr>
        <w:footnoteReference w:id="6"/>
      </w:r>
      <w:r w:rsidRPr="007B7114">
        <w:rPr>
          <w:rFonts w:ascii="GHEA Grapalat" w:hAnsi="GHEA Grapalat"/>
          <w:color w:val="000000" w:themeColor="text1"/>
        </w:rPr>
        <w:t xml:space="preserve"> ԵՄ դիրեկտիվների հիմնական տրամաբանությունից և կարգավորումներից։ Բացի նշվածից, գործող կարգավորմամբ</w:t>
      </w:r>
      <w:r>
        <w:rPr>
          <w:rFonts w:ascii="GHEA Grapalat" w:hAnsi="GHEA Grapalat"/>
          <w:color w:val="000000" w:themeColor="text1"/>
        </w:rPr>
        <w:t xml:space="preserve"> </w:t>
      </w:r>
      <w:r w:rsidRPr="007B7114">
        <w:rPr>
          <w:rFonts w:ascii="GHEA Grapalat" w:hAnsi="GHEA Grapalat"/>
          <w:color w:val="000000" w:themeColor="text1"/>
        </w:rPr>
        <w:t>խոսվում է միայն մամուլում հրապարակված պայմանագրի անբաժանելի մաս կազմող պայմանների կիրառելիության մասին, մինչդեռ պետք է նկատի ունենալ, որ օրինակելի պայմանները արդի պայմաններում գերազանցապես տեղ են գտնում համակարգչային հավելվածներում, ինտերնետային կայքերում</w:t>
      </w:r>
      <w:r>
        <w:rPr>
          <w:rFonts w:ascii="GHEA Grapalat" w:hAnsi="GHEA Grapalat"/>
          <w:color w:val="000000" w:themeColor="text1"/>
        </w:rPr>
        <w:t xml:space="preserve"> </w:t>
      </w:r>
      <w:r w:rsidRPr="007B7114">
        <w:rPr>
          <w:rFonts w:ascii="GHEA Grapalat" w:hAnsi="GHEA Grapalat"/>
          <w:color w:val="000000" w:themeColor="text1"/>
        </w:rPr>
        <w:t xml:space="preserve">կամ համանման այլ հարթակներում։ </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 xml:space="preserve">Նկատենք նաև, որ առկա կարգավորումներով օրինակելի պայմանների կապակցությամբ անձի կողմից համապատասխան համաձայնությունը տրամադրելու կամ այդպիսի պայմանների նախապես ծանոթանալու մասով առանձին կարգավորումների </w:t>
      </w:r>
      <w:r w:rsidRPr="007B7114">
        <w:rPr>
          <w:rFonts w:ascii="GHEA Grapalat" w:hAnsi="GHEA Grapalat"/>
          <w:color w:val="000000" w:themeColor="text1"/>
        </w:rPr>
        <w:lastRenderedPageBreak/>
        <w:t xml:space="preserve">բացակայությունը կարող է հանգեցնել մի իրավիճակի, երբ անձի կողմից որևէ ինտերնետային կայք մուտք գործելը կամ այն փաստացի օգտագործելը կարող է հանգեցնել որոշակի պայմանների կիրառման պարտադիրության, այլ կերպ, անձը կարող է չիմանալ, որ որոշակի կայքէջ մուտք գործելը անխուսափելիորեն և առանց համաձայնության իր համար կարող է առաջացնել լրացուցիչ պարտավորություններ, օրինակ՝ անձի անձնական տվյալների մշակման, փոխանցման հնարավորություն կամ այս կամ այն գործողության կատարելու կամ անգործություն դրսևորելու հետևանքով հաշվեգրվող տուգանքներ և այլն։ Հատկանշական է, որ կատարված հետազոտություններով Հայաստանում ապրանքների փոխադրումներ իրականացնող, ինչպես նաև հանրային սննդի առաքմամբ զբաղվող մի շարք առևտրային հարթակներով առկա չէ հաճախորդներին նախապես օրինակելի պայմաններին ծանոթացնելու որևէ հնարավորություն, ինչպես նաև սահմանված չեն այդպիսի պայմաններին համաձայնություն տալու տեխնիկական լուծումներ։ </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Անդրադառնալով</w:t>
      </w:r>
      <w:r>
        <w:rPr>
          <w:rFonts w:ascii="GHEA Grapalat" w:hAnsi="GHEA Grapalat"/>
          <w:color w:val="000000" w:themeColor="text1"/>
        </w:rPr>
        <w:t xml:space="preserve"> </w:t>
      </w:r>
      <w:r w:rsidRPr="007B7114">
        <w:rPr>
          <w:rFonts w:ascii="GHEA Grapalat" w:hAnsi="GHEA Grapalat"/>
          <w:color w:val="000000" w:themeColor="text1"/>
        </w:rPr>
        <w:t>միջազգային իրավական պրակտիկային՝ նշենք, որ գործում են էլեկտրոնային եղանակով</w:t>
      </w:r>
      <w:r>
        <w:rPr>
          <w:rFonts w:ascii="GHEA Grapalat" w:hAnsi="GHEA Grapalat"/>
          <w:color w:val="000000" w:themeColor="text1"/>
        </w:rPr>
        <w:t xml:space="preserve"> </w:t>
      </w:r>
      <w:r w:rsidRPr="007B7114">
        <w:rPr>
          <w:rFonts w:ascii="GHEA Grapalat" w:hAnsi="GHEA Grapalat"/>
          <w:color w:val="000000" w:themeColor="text1"/>
        </w:rPr>
        <w:t>կնքվող պայմանագրերի, այդ թվում՝ օրինակելի պայմանագրերի, կնքման հետևյալ տարատեսակները.</w:t>
      </w:r>
    </w:p>
    <w:p w:rsidR="002159DA" w:rsidRPr="007B7114" w:rsidRDefault="002159DA" w:rsidP="002159DA">
      <w:pPr>
        <w:pStyle w:val="ListParagraph"/>
        <w:spacing w:line="360" w:lineRule="auto"/>
        <w:ind w:left="0" w:firstLine="567"/>
        <w:jc w:val="both"/>
        <w:rPr>
          <w:rFonts w:ascii="GHEA Grapalat" w:hAnsi="GHEA Grapalat"/>
          <w:b/>
          <w:bCs/>
          <w:color w:val="000000" w:themeColor="text1"/>
        </w:rPr>
      </w:pPr>
      <w:r w:rsidRPr="007B7114">
        <w:rPr>
          <w:rFonts w:ascii="GHEA Grapalat" w:hAnsi="GHEA Grapalat"/>
          <w:b/>
          <w:bCs/>
          <w:color w:val="000000" w:themeColor="text1"/>
        </w:rPr>
        <w:t xml:space="preserve">1) Click-wrap պայմանագրեր, </w:t>
      </w:r>
      <w:r w:rsidRPr="007B7114">
        <w:rPr>
          <w:rFonts w:ascii="GHEA Grapalat" w:hAnsi="GHEA Grapalat"/>
          <w:color w:val="000000" w:themeColor="text1"/>
        </w:rPr>
        <w:t>այս դեպքում կողմը</w:t>
      </w:r>
      <w:r>
        <w:rPr>
          <w:rFonts w:ascii="GHEA Grapalat" w:hAnsi="GHEA Grapalat"/>
          <w:color w:val="000000" w:themeColor="text1"/>
        </w:rPr>
        <w:t xml:space="preserve"> </w:t>
      </w:r>
      <w:r w:rsidRPr="007B7114">
        <w:rPr>
          <w:rFonts w:ascii="GHEA Grapalat" w:hAnsi="GHEA Grapalat"/>
          <w:color w:val="000000" w:themeColor="text1"/>
        </w:rPr>
        <w:t xml:space="preserve">պայմանագրին կամ օրինակելի պայմաններին համաձայնություն է տալիս հատուկ այդ նպատակով նախատեսված հրահանգը(օրինակ՝ «Համաձայն եմ» կամ նմանատիպ այլ հրահանգներ) սեղմելու միջոցով։ </w:t>
      </w:r>
    </w:p>
    <w:p w:rsidR="002159DA" w:rsidRPr="007B7114" w:rsidRDefault="002159DA" w:rsidP="002159DA">
      <w:pPr>
        <w:pStyle w:val="ListParagraph"/>
        <w:spacing w:line="360" w:lineRule="auto"/>
        <w:ind w:left="0" w:firstLine="567"/>
        <w:jc w:val="both"/>
        <w:rPr>
          <w:rFonts w:ascii="GHEA Grapalat" w:hAnsi="GHEA Grapalat"/>
          <w:color w:val="000000" w:themeColor="text1"/>
        </w:rPr>
      </w:pPr>
      <w:r w:rsidRPr="007B7114">
        <w:rPr>
          <w:rFonts w:ascii="GHEA Grapalat" w:hAnsi="GHEA Grapalat"/>
          <w:b/>
          <w:bCs/>
          <w:color w:val="000000" w:themeColor="text1"/>
        </w:rPr>
        <w:t xml:space="preserve">2) Browse-wrap պայմանագրեր, </w:t>
      </w:r>
      <w:r w:rsidRPr="007B7114">
        <w:rPr>
          <w:rFonts w:ascii="GHEA Grapalat" w:hAnsi="GHEA Grapalat"/>
          <w:color w:val="000000" w:themeColor="text1"/>
        </w:rPr>
        <w:t>այս դեպքում պայմանագրին կամ օրինակելի պայմաններին համաձայնություն տալը փաստվում է անձի կողմից որոշակի ինտերնետային կայք մուտք գործելու կամ այն օգտագործելու փաստերի համադրությամբ կամ համանման այլ եղանակներով։ Այլ կերպ ասած, նմանատիպ պայմանագրերի դեպքում սպառողից կամ հաճախորդից չի պահանջվում տալ պարտավորված լինելու վերաբերյալ որևէ համաձայնություն</w:t>
      </w:r>
      <w:r>
        <w:rPr>
          <w:rFonts w:ascii="GHEA Grapalat" w:hAnsi="GHEA Grapalat"/>
          <w:color w:val="000000" w:themeColor="text1"/>
        </w:rPr>
        <w:t>,</w:t>
      </w:r>
      <w:r w:rsidRPr="007B7114">
        <w:rPr>
          <w:rFonts w:ascii="GHEA Grapalat" w:hAnsi="GHEA Grapalat"/>
          <w:color w:val="000000" w:themeColor="text1"/>
        </w:rPr>
        <w:t xml:space="preserve"> և ինտերնետային կայք մուտք գործելու հանգամանքը, ինքնին, դիտվում է որպես համաձայնություն, այսինքն, անձը որևէ դրական գործողություն չի ձեռնարկում դրանց կապակցությամբ համաձայնություն տալու ուղղությամբ։ </w:t>
      </w:r>
    </w:p>
    <w:p w:rsidR="002159DA" w:rsidRPr="007B7114" w:rsidRDefault="002159DA" w:rsidP="002159DA">
      <w:pPr>
        <w:pStyle w:val="ListParagraph"/>
        <w:spacing w:line="360" w:lineRule="auto"/>
        <w:ind w:left="0" w:firstLine="567"/>
        <w:jc w:val="both"/>
        <w:rPr>
          <w:rFonts w:ascii="GHEA Grapalat" w:hAnsi="GHEA Grapalat"/>
          <w:color w:val="000000" w:themeColor="text1"/>
        </w:rPr>
      </w:pPr>
      <w:r w:rsidRPr="007B7114">
        <w:rPr>
          <w:rFonts w:ascii="GHEA Grapalat" w:hAnsi="GHEA Grapalat"/>
          <w:b/>
          <w:bCs/>
          <w:color w:val="000000" w:themeColor="text1"/>
        </w:rPr>
        <w:lastRenderedPageBreak/>
        <w:t xml:space="preserve">3) Shrink-wrap պայմանագրեր, </w:t>
      </w:r>
      <w:r w:rsidRPr="007B7114">
        <w:rPr>
          <w:rFonts w:ascii="GHEA Grapalat" w:hAnsi="GHEA Grapalat"/>
          <w:color w:val="000000" w:themeColor="text1"/>
        </w:rPr>
        <w:t>այս տիպի դեպքում պայմանագիրը կամ օրինակելի պայմանները համարվում են ընդունված, եթե կողմը ձեռք է բերում կամ օգտագործում է որոշակի ապրանք, ծառայություն կամ աշխատանք: Ընդ որում, որպես կանոն, այսպիսի պայմանագրերի պայմանները պարունակող համապատասխան փաստաթուղթը փակցվում է կոնկրետ ապրանքի փաթեթավորման վրա տեսանելի վայրում, որպեսզի ապրանք գնելու ցանկություն ունեցող անձը հնարավորություն ունենա ծանոթանալու դրանց բովանդակությանը։</w:t>
      </w:r>
    </w:p>
    <w:p w:rsidR="002159DA" w:rsidRPr="007B7114" w:rsidRDefault="002159DA" w:rsidP="002159DA">
      <w:pPr>
        <w:pStyle w:val="ListParagraph"/>
        <w:spacing w:line="360" w:lineRule="auto"/>
        <w:ind w:left="0" w:firstLine="567"/>
        <w:jc w:val="both"/>
        <w:rPr>
          <w:rFonts w:ascii="GHEA Grapalat" w:hAnsi="GHEA Grapalat"/>
          <w:color w:val="000000" w:themeColor="text1"/>
        </w:rPr>
      </w:pPr>
      <w:r w:rsidRPr="007B7114">
        <w:rPr>
          <w:rFonts w:ascii="GHEA Grapalat" w:hAnsi="GHEA Grapalat"/>
          <w:color w:val="000000" w:themeColor="text1"/>
        </w:rPr>
        <w:t>Նշվածի լույսի ներքո, անհրաժեշտ է նկատել, որ հայկական իրականությունում միանշանակ չէ վերը նշված Click-wrap պայմանագրերի վավերականության և իրագործելիության առաջնահերթ պայման հանդիսացող հրահանգի սեղմմամբ կամքի արտահայտումը և դրանով պայմանավորված պայմանագրի կնքումը։ Սակայն համապատասխան հրահանգը</w:t>
      </w:r>
      <w:r>
        <w:rPr>
          <w:rFonts w:ascii="GHEA Grapalat" w:hAnsi="GHEA Grapalat"/>
          <w:color w:val="000000" w:themeColor="text1"/>
        </w:rPr>
        <w:t xml:space="preserve"> </w:t>
      </w:r>
      <w:r w:rsidRPr="007B7114">
        <w:rPr>
          <w:rFonts w:ascii="GHEA Grapalat" w:hAnsi="GHEA Grapalat"/>
          <w:color w:val="000000" w:themeColor="text1"/>
        </w:rPr>
        <w:t>սեղմելով</w:t>
      </w:r>
      <w:r>
        <w:rPr>
          <w:rFonts w:ascii="GHEA Grapalat" w:hAnsi="GHEA Grapalat"/>
          <w:color w:val="000000" w:themeColor="text1"/>
        </w:rPr>
        <w:t xml:space="preserve"> </w:t>
      </w:r>
      <w:r w:rsidRPr="007B7114">
        <w:rPr>
          <w:rFonts w:ascii="GHEA Grapalat" w:hAnsi="GHEA Grapalat"/>
          <w:color w:val="000000" w:themeColor="text1"/>
        </w:rPr>
        <w:t>պայմանագրի կնքումը պետք է հստակ կարգավորված լինի, որպեսզի հետագայում հնարավոր վեճերի շրջանակներում կողմերը հնարավորություն ունենան ապացուցելու անձի կողմից պայմանագրի կնքված լինելու և դրա առկայությունը վկայող համապատասխան նյութական կրիչների առկայությունը։ Ընդ որում, խնդրահարույց</w:t>
      </w:r>
      <w:r>
        <w:rPr>
          <w:rFonts w:ascii="GHEA Grapalat" w:hAnsi="GHEA Grapalat"/>
          <w:color w:val="000000" w:themeColor="text1"/>
        </w:rPr>
        <w:t xml:space="preserve"> </w:t>
      </w:r>
      <w:r w:rsidRPr="007B7114">
        <w:rPr>
          <w:rFonts w:ascii="GHEA Grapalat" w:hAnsi="GHEA Grapalat"/>
          <w:color w:val="000000" w:themeColor="text1"/>
        </w:rPr>
        <w:t>է, հատկապես, էլեկտրոնային եղանակով</w:t>
      </w:r>
      <w:r>
        <w:rPr>
          <w:rFonts w:ascii="GHEA Grapalat" w:hAnsi="GHEA Grapalat"/>
          <w:color w:val="000000" w:themeColor="text1"/>
        </w:rPr>
        <w:t xml:space="preserve"> </w:t>
      </w:r>
      <w:r w:rsidRPr="007B7114">
        <w:rPr>
          <w:rFonts w:ascii="GHEA Grapalat" w:hAnsi="GHEA Grapalat"/>
          <w:color w:val="000000" w:themeColor="text1"/>
        </w:rPr>
        <w:t>կնքվող պայմանագրերի կապակցությամբ տրվող համաձայնությունների հարցը։ Մասնավորապես, նման պայմանագրերի կնքման դեպքում անձի կողմից համաձայնության տրամադրումը պետք է լինի որոշակի, այսինքն, համապատասխան հրահանգը սեղմելով կամ համակարգչային հավելվածը ներբեռնելով կամ համանման այլ միջոցով պետք է ակնհայտ, դյուրըմբռնելի և պարզ լինի, որ դրանով անձը տալիս է իր անվերապահ համաձայնությունը պայմանագրին։</w:t>
      </w:r>
    </w:p>
    <w:p w:rsidR="002159DA" w:rsidRPr="007B7114" w:rsidRDefault="002159DA" w:rsidP="002159DA">
      <w:pPr>
        <w:pStyle w:val="ListParagraph"/>
        <w:spacing w:line="360" w:lineRule="auto"/>
        <w:ind w:left="0" w:firstLine="567"/>
        <w:jc w:val="both"/>
        <w:rPr>
          <w:rFonts w:ascii="GHEA Grapalat" w:hAnsi="GHEA Grapalat" w:cstheme="minorBidi"/>
          <w:color w:val="000000" w:themeColor="text1"/>
        </w:rPr>
      </w:pPr>
      <w:r w:rsidRPr="007B7114">
        <w:rPr>
          <w:rFonts w:ascii="GHEA Grapalat" w:hAnsi="GHEA Grapalat"/>
          <w:color w:val="000000" w:themeColor="text1"/>
        </w:rPr>
        <w:t xml:space="preserve">Հետևաբար, կարող ենք նշել, որ Օրենսգրքով անդրադարձ չի կատարվում առցանց էլեկտրոնային հարթակներում՝ համապատասխան տվյալների ներբեռնմամբ կամ տարատեսակ հավելվածների միջոցով պայմանագրերի կնքման իրավական հնարավորությանը և դրա կնքման կարգին։ Գործող օրենսդրությունը նախատեսում է, որ հաղորդակցության կամ կապի միջոցներով պայմանագրերի կնքումը հնարավոր է </w:t>
      </w:r>
      <w:r w:rsidRPr="007B7114">
        <w:rPr>
          <w:rFonts w:ascii="GHEA Grapalat" w:hAnsi="GHEA Grapalat" w:cstheme="minorBidi"/>
          <w:color w:val="000000" w:themeColor="text1"/>
        </w:rPr>
        <w:t xml:space="preserve">տեղեկության կամ հաղորդագրության (փաստաթղթի) փոխանակման միջոցով, սակայն </w:t>
      </w:r>
      <w:r w:rsidRPr="007B7114">
        <w:rPr>
          <w:rFonts w:ascii="GHEA Grapalat" w:hAnsi="GHEA Grapalat" w:cstheme="minorBidi"/>
          <w:color w:val="000000" w:themeColor="text1"/>
        </w:rPr>
        <w:lastRenderedPageBreak/>
        <w:t>խնդրո առարկա պարագայում հնարավոր</w:t>
      </w:r>
      <w:r>
        <w:rPr>
          <w:rFonts w:ascii="GHEA Grapalat" w:hAnsi="GHEA Grapalat" w:cstheme="minorBidi"/>
          <w:color w:val="000000" w:themeColor="text1"/>
        </w:rPr>
        <w:t xml:space="preserve"> </w:t>
      </w:r>
      <w:r w:rsidRPr="007B7114">
        <w:rPr>
          <w:rFonts w:ascii="GHEA Grapalat" w:hAnsi="GHEA Grapalat" w:cstheme="minorBidi"/>
          <w:color w:val="000000" w:themeColor="text1"/>
        </w:rPr>
        <w:t xml:space="preserve">չէ միանշանակորեն պնդել, որ համակարգչային հավելվածները հանդիսանում են Օրենսգրքի 450-րդ հոդվածի 3-րդ մասով նախատեսված </w:t>
      </w:r>
      <w:r w:rsidRPr="007B7114">
        <w:rPr>
          <w:rFonts w:ascii="GHEA Grapalat" w:hAnsi="GHEA Grapalat"/>
          <w:color w:val="000000" w:themeColor="text1"/>
        </w:rPr>
        <w:t>հաղորդակցության կամ կապի միջոցներ, ավելին, էլեկտրոնային եղանակով</w:t>
      </w:r>
      <w:r>
        <w:rPr>
          <w:rFonts w:ascii="GHEA Grapalat" w:hAnsi="GHEA Grapalat"/>
          <w:color w:val="000000" w:themeColor="text1"/>
        </w:rPr>
        <w:t xml:space="preserve"> </w:t>
      </w:r>
      <w:r w:rsidRPr="007B7114">
        <w:rPr>
          <w:rFonts w:ascii="GHEA Grapalat" w:hAnsi="GHEA Grapalat"/>
          <w:color w:val="000000" w:themeColor="text1"/>
        </w:rPr>
        <w:t xml:space="preserve">պայմանագրեր կնքելիս, ըստ էության, ոչ բոլոր դեպքերում է, որ անձը փոխանակում է </w:t>
      </w:r>
      <w:r w:rsidRPr="007B7114">
        <w:rPr>
          <w:rFonts w:ascii="GHEA Grapalat" w:hAnsi="GHEA Grapalat" w:cstheme="minorBidi"/>
          <w:color w:val="000000" w:themeColor="text1"/>
        </w:rPr>
        <w:t>տեղեկություն կամ հաղորդագրություն (փաստաթուղթ), այլ կերպ, «Համաձայն եմ» կամ նմանօրինակ այլ</w:t>
      </w:r>
      <w:r>
        <w:rPr>
          <w:rFonts w:ascii="GHEA Grapalat" w:hAnsi="GHEA Grapalat" w:cstheme="minorBidi"/>
          <w:color w:val="000000" w:themeColor="text1"/>
        </w:rPr>
        <w:t xml:space="preserve"> </w:t>
      </w:r>
      <w:r w:rsidRPr="007B7114">
        <w:rPr>
          <w:rFonts w:ascii="GHEA Grapalat" w:hAnsi="GHEA Grapalat" w:cstheme="minorBidi"/>
          <w:color w:val="000000" w:themeColor="text1"/>
        </w:rPr>
        <w:t xml:space="preserve">հրահանգների սեղմումը միանշանակորեն հնարավոր չէ համարել տեղեկություն կամ հաղորդագրություն։ </w:t>
      </w:r>
    </w:p>
    <w:p w:rsidR="002159DA" w:rsidRDefault="002159DA" w:rsidP="002159DA">
      <w:pPr>
        <w:pStyle w:val="ListParagraph"/>
        <w:spacing w:line="360" w:lineRule="auto"/>
        <w:ind w:left="0" w:firstLine="567"/>
        <w:jc w:val="both"/>
        <w:rPr>
          <w:rFonts w:ascii="GHEA Grapalat" w:hAnsi="GHEA Grapalat" w:cstheme="minorBidi"/>
          <w:color w:val="000000" w:themeColor="text1"/>
          <w:lang w:val="en-US"/>
        </w:rPr>
      </w:pPr>
      <w:r w:rsidRPr="007B7114">
        <w:rPr>
          <w:rFonts w:ascii="GHEA Grapalat" w:hAnsi="GHEA Grapalat" w:cstheme="minorBidi"/>
          <w:color w:val="000000" w:themeColor="text1"/>
        </w:rPr>
        <w:t>Հարկ է ընդգծել նաև, որ Օրենսգրքում գործող օֆերտայի և ակցեպտի վերաբերյալ դրույթները կարգավորում են միայն էլեկտրոնային հաղորդակցության միջոցներով պայմանագրերի կնքումը, ըստ էության, թերի անդրադառնալով էլեկտրոնային եղանակով</w:t>
      </w:r>
      <w:r>
        <w:rPr>
          <w:rFonts w:ascii="GHEA Grapalat" w:hAnsi="GHEA Grapalat" w:cstheme="minorBidi"/>
          <w:color w:val="000000" w:themeColor="text1"/>
        </w:rPr>
        <w:t xml:space="preserve"> </w:t>
      </w:r>
      <w:r w:rsidRPr="007B7114">
        <w:rPr>
          <w:rFonts w:ascii="GHEA Grapalat" w:hAnsi="GHEA Grapalat" w:cstheme="minorBidi"/>
          <w:color w:val="000000" w:themeColor="text1"/>
        </w:rPr>
        <w:t xml:space="preserve">կնքվող պայմանագրերին։ Մասնավորապես, գործող դրույթներով հնարավոր չէ </w:t>
      </w:r>
      <w:r>
        <w:rPr>
          <w:rFonts w:ascii="GHEA Grapalat" w:hAnsi="GHEA Grapalat" w:cstheme="minorBidi"/>
          <w:color w:val="000000" w:themeColor="text1"/>
        </w:rPr>
        <w:t>միանշանակորեն</w:t>
      </w:r>
      <w:r w:rsidRPr="007B7114">
        <w:rPr>
          <w:rFonts w:ascii="GHEA Grapalat" w:hAnsi="GHEA Grapalat" w:cstheme="minorBidi"/>
          <w:color w:val="000000" w:themeColor="text1"/>
        </w:rPr>
        <w:t xml:space="preserve"> կարգավորել այն դեպքերը, երբ օֆերտան կամ ակցեպտը կատարվում են էլեկտրոնային հարթակում որոշակի տվյալների մուտքագրման, համապատասխան </w:t>
      </w:r>
      <w:r>
        <w:rPr>
          <w:rFonts w:ascii="GHEA Grapalat" w:hAnsi="GHEA Grapalat" w:cstheme="minorBidi"/>
          <w:color w:val="000000" w:themeColor="text1"/>
        </w:rPr>
        <w:t>հրահանգների</w:t>
      </w:r>
      <w:r w:rsidRPr="007B7114">
        <w:rPr>
          <w:rFonts w:ascii="GHEA Grapalat" w:hAnsi="GHEA Grapalat" w:cstheme="minorBidi"/>
          <w:color w:val="000000" w:themeColor="text1"/>
        </w:rPr>
        <w:t xml:space="preserve"> սեղմման կամ համանման այլ եղանակներով։</w:t>
      </w:r>
    </w:p>
    <w:p w:rsidR="00347332" w:rsidRPr="00347332" w:rsidRDefault="00347332" w:rsidP="00347332">
      <w:pPr>
        <w:pStyle w:val="ListParagraph"/>
        <w:spacing w:line="360" w:lineRule="auto"/>
        <w:ind w:left="0" w:firstLine="567"/>
        <w:jc w:val="both"/>
        <w:rPr>
          <w:rFonts w:ascii="GHEA Grapalat" w:hAnsi="GHEA Grapalat" w:cstheme="minorBidi"/>
          <w:color w:val="000000" w:themeColor="text1"/>
          <w:lang w:val="en-US"/>
        </w:rPr>
      </w:pPr>
      <w:r>
        <w:rPr>
          <w:rFonts w:ascii="GHEA Grapalat" w:hAnsi="GHEA Grapalat" w:cstheme="minorBidi"/>
          <w:color w:val="000000" w:themeColor="text1"/>
          <w:lang w:val="en-US"/>
        </w:rPr>
        <w:t xml:space="preserve">Միևնույն ժամանակ, անհրաժեշտ է նկատի ունենալ, որ էլեկտրոնային եղանակով պայմանագրերի կնքումը </w:t>
      </w:r>
      <w:r w:rsidR="00C74FEF">
        <w:rPr>
          <w:rFonts w:ascii="GHEA Grapalat" w:hAnsi="GHEA Grapalat" w:cstheme="minorBidi"/>
          <w:color w:val="000000" w:themeColor="text1"/>
          <w:lang w:val="en-US"/>
        </w:rPr>
        <w:t xml:space="preserve">ինչպես </w:t>
      </w:r>
      <w:r w:rsidRPr="00347332">
        <w:rPr>
          <w:rFonts w:ascii="GHEA Grapalat" w:hAnsi="GHEA Grapalat" w:cstheme="minorBidi"/>
          <w:color w:val="000000" w:themeColor="text1"/>
        </w:rPr>
        <w:t>Քաղաքացիական օրենսգրքի</w:t>
      </w:r>
      <w:r w:rsidRPr="00347332">
        <w:rPr>
          <w:rFonts w:ascii="GHEA Grapalat" w:hAnsi="GHEA Grapalat" w:cstheme="minorBidi"/>
          <w:color w:val="000000" w:themeColor="text1"/>
          <w:lang w:val="en-US"/>
        </w:rPr>
        <w:t xml:space="preserve"> գործող</w:t>
      </w:r>
      <w:r w:rsidRPr="00347332">
        <w:rPr>
          <w:rFonts w:ascii="GHEA Grapalat" w:hAnsi="GHEA Grapalat" w:cstheme="minorBidi"/>
          <w:color w:val="000000" w:themeColor="text1"/>
        </w:rPr>
        <w:t xml:space="preserve"> կարգավորումների</w:t>
      </w:r>
      <w:r w:rsidR="00C74FEF">
        <w:rPr>
          <w:rFonts w:ascii="GHEA Grapalat" w:hAnsi="GHEA Grapalat" w:cstheme="minorBidi"/>
          <w:color w:val="000000" w:themeColor="text1"/>
          <w:lang w:val="en-US"/>
        </w:rPr>
        <w:t xml:space="preserve"> դեպքում է,</w:t>
      </w:r>
      <w:r w:rsidRPr="00347332">
        <w:rPr>
          <w:rFonts w:ascii="GHEA Grapalat" w:hAnsi="GHEA Grapalat" w:cstheme="minorBidi"/>
          <w:color w:val="000000" w:themeColor="text1"/>
        </w:rPr>
        <w:t xml:space="preserve"> </w:t>
      </w:r>
      <w:r w:rsidR="00C74FEF">
        <w:rPr>
          <w:rFonts w:ascii="GHEA Grapalat" w:hAnsi="GHEA Grapalat" w:cstheme="minorBidi"/>
          <w:color w:val="000000" w:themeColor="text1"/>
          <w:lang w:val="en-US"/>
        </w:rPr>
        <w:t xml:space="preserve">չի տարածվի </w:t>
      </w:r>
      <w:r w:rsidRPr="00347332">
        <w:rPr>
          <w:rFonts w:ascii="GHEA Grapalat" w:hAnsi="GHEA Grapalat" w:cstheme="minorBidi"/>
          <w:color w:val="000000" w:themeColor="text1"/>
        </w:rPr>
        <w:t xml:space="preserve">անշարժ գույքի վաճառքի, ռենտայի, շենքի կամ շինության, բնակելի տարածության վարձակալության, գույքի անհատույց օգտագործման </w:t>
      </w:r>
      <w:r w:rsidRPr="00C74FEF">
        <w:rPr>
          <w:rFonts w:ascii="GHEA Grapalat" w:hAnsi="GHEA Grapalat" w:cstheme="minorBidi"/>
          <w:color w:val="000000" w:themeColor="text1"/>
        </w:rPr>
        <w:t>պայմանագրեր</w:t>
      </w:r>
      <w:r w:rsidR="00C74FEF" w:rsidRPr="00C74FEF">
        <w:rPr>
          <w:rFonts w:ascii="GHEA Grapalat" w:hAnsi="GHEA Grapalat" w:cstheme="minorBidi"/>
          <w:color w:val="000000" w:themeColor="text1"/>
          <w:lang w:val="en-US"/>
        </w:rPr>
        <w:t>ի</w:t>
      </w:r>
      <w:r w:rsidRPr="00C74FEF">
        <w:rPr>
          <w:rFonts w:ascii="GHEA Grapalat" w:hAnsi="GHEA Grapalat" w:cstheme="minorBidi"/>
          <w:color w:val="000000" w:themeColor="text1"/>
        </w:rPr>
        <w:t xml:space="preserve"> կնք</w:t>
      </w:r>
      <w:r w:rsidR="00C74FEF">
        <w:rPr>
          <w:rFonts w:ascii="GHEA Grapalat" w:hAnsi="GHEA Grapalat" w:cstheme="minorBidi"/>
          <w:color w:val="000000" w:themeColor="text1"/>
          <w:lang w:val="en-US"/>
        </w:rPr>
        <w:t>ման նկատմամբ, որոնք կնքվում են</w:t>
      </w:r>
      <w:r w:rsidRPr="00C74FEF">
        <w:rPr>
          <w:rFonts w:ascii="GHEA Grapalat" w:hAnsi="GHEA Grapalat" w:cstheme="minorBidi"/>
          <w:color w:val="000000" w:themeColor="text1"/>
        </w:rPr>
        <w:t xml:space="preserve"> գրավոր՝ կողմերի ստորագրությամբ մեկ փաստաթուղթ կազմելու միջոցով</w:t>
      </w:r>
      <w:r w:rsidRPr="00347332">
        <w:rPr>
          <w:rFonts w:ascii="GHEA Grapalat" w:hAnsi="GHEA Grapalat" w:cstheme="minorBidi"/>
          <w:b/>
          <w:color w:val="000000" w:themeColor="text1"/>
        </w:rPr>
        <w:t>:</w:t>
      </w:r>
      <w:r w:rsidRPr="00347332">
        <w:rPr>
          <w:rFonts w:ascii="GHEA Grapalat" w:hAnsi="GHEA Grapalat" w:cstheme="minorBidi"/>
          <w:color w:val="000000" w:themeColor="text1"/>
        </w:rPr>
        <w:t xml:space="preserve"> </w:t>
      </w:r>
      <w:r w:rsidRPr="00347332">
        <w:rPr>
          <w:rFonts w:ascii="GHEA Grapalat" w:hAnsi="GHEA Grapalat" w:cstheme="minorBidi"/>
          <w:color w:val="000000" w:themeColor="text1"/>
          <w:lang w:val="en-US"/>
        </w:rPr>
        <w:t xml:space="preserve"> Նշված մոտեցումը, ըստ էության, պայմանավորված է քաղաքացիական օրենսդրության հիմքում ընկած գրավոր գործարքների տարբերակման տրամաբանությունից: Մասնավորապես, Օրենսգրքի 296-302-րդ հոդվածների համատեղ վերլուծությունից բխում է, որ նախատեսելով գրավոր գործարքները՝ Օրենսգիրքը դրանց շրջանակներում տարանջատում է նաև հասարակ գրավոր ձևով կնքված գործարքները և նոտարի կողմից վավերացվող գործարքները, որոնց մեջ, իր հերթին, առանձնանում են նաև այնպիսի գործարքները, որոնցից ծագող իրավունքները ենթակա են պետական գրանցման: Միևնույն ժամանակ, այսպիսի </w:t>
      </w:r>
      <w:r w:rsidRPr="00347332">
        <w:rPr>
          <w:rFonts w:ascii="GHEA Grapalat" w:hAnsi="GHEA Grapalat" w:cstheme="minorBidi"/>
          <w:color w:val="000000" w:themeColor="text1"/>
          <w:lang w:val="en-US"/>
        </w:rPr>
        <w:lastRenderedPageBreak/>
        <w:t>գործարքների մեջ առանձնակի մեծ տեղ են զբաղեցնում անշարժ գույքի կապակցությամբ կնքվող գործարքները:</w:t>
      </w:r>
    </w:p>
    <w:p w:rsidR="00347332" w:rsidRPr="00347332" w:rsidRDefault="00347332" w:rsidP="00161708">
      <w:pPr>
        <w:pStyle w:val="ListParagraph"/>
        <w:spacing w:line="360" w:lineRule="auto"/>
        <w:ind w:left="0" w:firstLine="567"/>
        <w:jc w:val="both"/>
        <w:rPr>
          <w:rFonts w:ascii="GHEA Grapalat" w:hAnsi="GHEA Grapalat" w:cstheme="minorBidi"/>
          <w:color w:val="000000" w:themeColor="text1"/>
          <w:lang w:val="en-US"/>
        </w:rPr>
      </w:pPr>
      <w:r w:rsidRPr="00347332">
        <w:rPr>
          <w:rFonts w:ascii="GHEA Grapalat" w:hAnsi="GHEA Grapalat" w:cstheme="minorBidi"/>
          <w:color w:val="000000" w:themeColor="text1"/>
          <w:lang w:val="en-US"/>
        </w:rPr>
        <w:t>Ըստ էության, հենց այ</w:t>
      </w:r>
      <w:r w:rsidR="00161708">
        <w:rPr>
          <w:rFonts w:ascii="GHEA Grapalat" w:hAnsi="GHEA Grapalat" w:cstheme="minorBidi"/>
          <w:color w:val="000000" w:themeColor="text1"/>
          <w:lang w:val="en-US"/>
        </w:rPr>
        <w:t>ս պայմանագրերի մասով է սահմանվում</w:t>
      </w:r>
      <w:r w:rsidRPr="00347332">
        <w:rPr>
          <w:rFonts w:ascii="GHEA Grapalat" w:hAnsi="GHEA Grapalat" w:cstheme="minorBidi"/>
          <w:color w:val="000000" w:themeColor="text1"/>
          <w:lang w:val="en-US"/>
        </w:rPr>
        <w:t xml:space="preserve">, որ դրանք կնքվում են միայն </w:t>
      </w:r>
      <w:r w:rsidRPr="00347332">
        <w:rPr>
          <w:rFonts w:ascii="GHEA Grapalat" w:hAnsi="GHEA Grapalat" w:cstheme="minorBidi"/>
          <w:color w:val="000000" w:themeColor="text1"/>
        </w:rPr>
        <w:t>կողմերի ստորագրությամբ մեկ փաստաթուղթ կազմելու միջոց</w:t>
      </w:r>
      <w:r w:rsidRPr="00347332">
        <w:rPr>
          <w:rFonts w:ascii="GHEA Grapalat" w:hAnsi="GHEA Grapalat" w:cstheme="minorBidi"/>
          <w:color w:val="000000" w:themeColor="text1"/>
          <w:lang w:val="en-US"/>
        </w:rPr>
        <w:t>ով, ինչը, ինչպես երևում է, բխում է թե՛ դրանց առարկայի հատուկ լինելուց, թե՛ դրանց կնքման կարգի առանձնահատկություններից:</w:t>
      </w:r>
    </w:p>
    <w:p w:rsidR="002159DA" w:rsidRPr="007B7114" w:rsidRDefault="002159DA" w:rsidP="002159DA">
      <w:pPr>
        <w:pStyle w:val="ListParagraph"/>
        <w:spacing w:line="360" w:lineRule="auto"/>
        <w:ind w:left="0" w:firstLine="567"/>
        <w:jc w:val="both"/>
        <w:rPr>
          <w:rFonts w:ascii="GHEA Grapalat" w:hAnsi="GHEA Grapalat" w:cstheme="minorBidi"/>
          <w:color w:val="000000" w:themeColor="text1"/>
        </w:rPr>
      </w:pPr>
      <w:r w:rsidRPr="007B7114">
        <w:rPr>
          <w:rFonts w:ascii="GHEA Grapalat" w:hAnsi="GHEA Grapalat" w:cstheme="minorBidi"/>
          <w:color w:val="000000" w:themeColor="text1"/>
          <w:u w:val="single"/>
        </w:rPr>
        <w:t xml:space="preserve">1.2. </w:t>
      </w:r>
      <w:r w:rsidRPr="007B7114">
        <w:rPr>
          <w:rFonts w:ascii="GHEA Grapalat" w:hAnsi="GHEA Grapalat"/>
          <w:color w:val="000000" w:themeColor="text1"/>
          <w:u w:val="single"/>
        </w:rPr>
        <w:t>Էլեկտրոնային եղանակով</w:t>
      </w:r>
      <w:r>
        <w:rPr>
          <w:rFonts w:ascii="GHEA Grapalat" w:hAnsi="GHEA Grapalat"/>
          <w:color w:val="000000" w:themeColor="text1"/>
          <w:u w:val="single"/>
        </w:rPr>
        <w:t xml:space="preserve"> </w:t>
      </w:r>
      <w:r w:rsidRPr="007B7114">
        <w:rPr>
          <w:rFonts w:ascii="GHEA Grapalat" w:hAnsi="GHEA Grapalat"/>
          <w:color w:val="000000" w:themeColor="text1"/>
          <w:u w:val="single"/>
        </w:rPr>
        <w:t>կնքվող պայմանագրերի (ներառյալ` օրինակելի պայման</w:t>
      </w:r>
      <w:r>
        <w:rPr>
          <w:rFonts w:ascii="GHEA Grapalat" w:hAnsi="GHEA Grapalat"/>
          <w:color w:val="000000" w:themeColor="text1"/>
          <w:u w:val="single"/>
        </w:rPr>
        <w:t>ն</w:t>
      </w:r>
      <w:r w:rsidRPr="007B7114">
        <w:rPr>
          <w:rFonts w:ascii="GHEA Grapalat" w:hAnsi="GHEA Grapalat"/>
          <w:color w:val="000000" w:themeColor="text1"/>
          <w:u w:val="single"/>
        </w:rPr>
        <w:t>երի) վերաբերյալ միջազգային փորձը</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Էլեկտրոնային եղանակով</w:t>
      </w:r>
      <w:r>
        <w:rPr>
          <w:rFonts w:ascii="GHEA Grapalat" w:hAnsi="GHEA Grapalat"/>
          <w:color w:val="000000" w:themeColor="text1"/>
        </w:rPr>
        <w:t xml:space="preserve"> </w:t>
      </w:r>
      <w:r w:rsidRPr="007B7114">
        <w:rPr>
          <w:rFonts w:ascii="GHEA Grapalat" w:hAnsi="GHEA Grapalat"/>
          <w:color w:val="000000" w:themeColor="text1"/>
        </w:rPr>
        <w:t xml:space="preserve">կնքվող պայմանագրերի զարգացման </w:t>
      </w:r>
      <w:r>
        <w:rPr>
          <w:rFonts w:ascii="GHEA Grapalat" w:hAnsi="GHEA Grapalat"/>
          <w:color w:val="000000" w:themeColor="text1"/>
        </w:rPr>
        <w:t>պատմությունն</w:t>
      </w:r>
      <w:r w:rsidRPr="007B7114">
        <w:rPr>
          <w:rFonts w:ascii="GHEA Grapalat" w:hAnsi="GHEA Grapalat"/>
          <w:color w:val="000000" w:themeColor="text1"/>
        </w:rPr>
        <w:t xml:space="preserve"> ու </w:t>
      </w:r>
      <w:r>
        <w:rPr>
          <w:rFonts w:ascii="GHEA Grapalat" w:hAnsi="GHEA Grapalat"/>
          <w:color w:val="000000" w:themeColor="text1"/>
        </w:rPr>
        <w:t>ուղղությունները</w:t>
      </w:r>
      <w:r w:rsidRPr="007B7114">
        <w:rPr>
          <w:rFonts w:ascii="GHEA Grapalat" w:hAnsi="GHEA Grapalat"/>
          <w:color w:val="000000" w:themeColor="text1"/>
        </w:rPr>
        <w:t xml:space="preserve"> հասկանալու համար անհրաժեշտ է անդրադարձ </w:t>
      </w:r>
      <w:r>
        <w:rPr>
          <w:rFonts w:ascii="GHEA Grapalat" w:hAnsi="GHEA Grapalat"/>
          <w:color w:val="000000" w:themeColor="text1"/>
        </w:rPr>
        <w:t>կատարել</w:t>
      </w:r>
      <w:r w:rsidRPr="007B7114">
        <w:rPr>
          <w:rFonts w:ascii="GHEA Grapalat" w:hAnsi="GHEA Grapalat"/>
          <w:color w:val="000000" w:themeColor="text1"/>
        </w:rPr>
        <w:t xml:space="preserve"> նաև դրանց </w:t>
      </w:r>
      <w:r>
        <w:rPr>
          <w:rFonts w:ascii="GHEA Grapalat" w:hAnsi="GHEA Grapalat"/>
          <w:color w:val="000000" w:themeColor="text1"/>
        </w:rPr>
        <w:t>վերաբերյալ</w:t>
      </w:r>
      <w:r w:rsidRPr="007B7114">
        <w:rPr>
          <w:rFonts w:ascii="GHEA Grapalat" w:hAnsi="GHEA Grapalat"/>
          <w:color w:val="000000" w:themeColor="text1"/>
        </w:rPr>
        <w:t xml:space="preserve"> ձևավորված միջազգային </w:t>
      </w:r>
      <w:r>
        <w:rPr>
          <w:rFonts w:ascii="GHEA Grapalat" w:hAnsi="GHEA Grapalat"/>
          <w:color w:val="000000" w:themeColor="text1"/>
        </w:rPr>
        <w:t>փորձին</w:t>
      </w:r>
      <w:r w:rsidRPr="007B7114">
        <w:rPr>
          <w:rFonts w:ascii="GHEA Grapalat" w:hAnsi="GHEA Grapalat"/>
          <w:color w:val="000000" w:themeColor="text1"/>
        </w:rPr>
        <w:t>։ Մասնավորապես, թե՛ միջազգային իրավական, թե՛ ներպետական պրակտիկայում նշվածի կապակցությամբ ձևավորվել են հստակ մոտեցումներ և չափանիշներ, որոնց պարագայում ապահովվում են էլեկտրոնային հարթակներում համապատասխան տվյալների մուտքագրման, համապատասխան հրահանգներ</w:t>
      </w:r>
      <w:r>
        <w:rPr>
          <w:rFonts w:ascii="GHEA Grapalat" w:hAnsi="GHEA Grapalat"/>
          <w:color w:val="000000" w:themeColor="text1"/>
        </w:rPr>
        <w:t>ի</w:t>
      </w:r>
      <w:r w:rsidRPr="007B7114">
        <w:rPr>
          <w:rFonts w:ascii="GHEA Grapalat" w:hAnsi="GHEA Grapalat"/>
          <w:color w:val="000000" w:themeColor="text1"/>
        </w:rPr>
        <w:t xml:space="preserve"> սեղմման, էլեկտրոնայի</w:t>
      </w:r>
      <w:r>
        <w:rPr>
          <w:rFonts w:ascii="GHEA Grapalat" w:hAnsi="GHEA Grapalat"/>
          <w:color w:val="000000" w:themeColor="text1"/>
        </w:rPr>
        <w:t>ն</w:t>
      </w:r>
      <w:r w:rsidRPr="007B7114">
        <w:rPr>
          <w:rFonts w:ascii="GHEA Grapalat" w:hAnsi="GHEA Grapalat"/>
          <w:color w:val="000000" w:themeColor="text1"/>
        </w:rPr>
        <w:t xml:space="preserve"> հավելվածների ներբեռման կամ համանման այլ եղանակներով պայմանագրերի վավերականությունը, իրավաչափությունը և իրագործելիությունը։</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Այսպես՝ Մոդելային օրենքի մշակման պրոցեսում բավականին մեծ ուշադրություն է դարձվել ձեռագիր ստորագրության հավասարեցված այլ միջոցների կիրառման հնարավորությանը, որոնցով կհաստատվեն տարբեր պայմանագրերի կնքվածության և դրանով պայմանավորված իրագործելիության հանգամանքները։ Մասնավորապես, համաձայն</w:t>
      </w:r>
      <w:r>
        <w:rPr>
          <w:rFonts w:ascii="GHEA Grapalat" w:hAnsi="GHEA Grapalat"/>
          <w:color w:val="000000" w:themeColor="text1"/>
        </w:rPr>
        <w:t xml:space="preserve"> </w:t>
      </w:r>
      <w:r w:rsidRPr="007B7114">
        <w:rPr>
          <w:rFonts w:ascii="GHEA Grapalat" w:hAnsi="GHEA Grapalat"/>
          <w:color w:val="000000" w:themeColor="text1"/>
        </w:rPr>
        <w:t>Մոդելային օրենքի կիրարկման ուղեցույցի (այսուհետ՝ Ուղեցույց),</w:t>
      </w:r>
      <w:r>
        <w:rPr>
          <w:rFonts w:ascii="GHEA Grapalat" w:hAnsi="GHEA Grapalat"/>
          <w:color w:val="000000" w:themeColor="text1"/>
        </w:rPr>
        <w:t xml:space="preserve"> </w:t>
      </w:r>
      <w:r w:rsidRPr="007B7114">
        <w:rPr>
          <w:rFonts w:ascii="GHEA Grapalat" w:hAnsi="GHEA Grapalat"/>
          <w:color w:val="000000" w:themeColor="text1"/>
        </w:rPr>
        <w:t>անձի կամքի արտահայտման հիմնական ձև հանդիսացող ստորագրությունը կոչված է իրացնելու հետևյալ հիմնական գործառույթները՝</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ա) անձի նույնականացումը,</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բ) ստորագրման պրոցեսում անձի ներգրավվածությունը վկայող որոշակիությունը (հստակություն, ճշգրիտ լինելը),</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lastRenderedPageBreak/>
        <w:t>գ) որոշակի փաստաթղթի բովանդակության հետ անձի կապակցվածությունը (կապվածությունը) հաստատելը կամ, այլ կերպ, անձի համար տվյալ փաստաթղթի պարտադիր (պարտավորեցնող) բնույթ ունենալը։</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Այդ է պատճառը, որ Մոդելային Օրենքով և Ուղեցույցով կարևորվում է, որ էլեկտրոնային գործարք կնքելիս`</w:t>
      </w:r>
    </w:p>
    <w:p w:rsidR="002159DA" w:rsidRPr="007B7114" w:rsidRDefault="002159DA" w:rsidP="002159DA">
      <w:pPr>
        <w:pStyle w:val="ListParagraph"/>
        <w:numPr>
          <w:ilvl w:val="0"/>
          <w:numId w:val="12"/>
        </w:numPr>
        <w:spacing w:line="360" w:lineRule="auto"/>
        <w:ind w:left="851" w:firstLine="567"/>
        <w:jc w:val="both"/>
        <w:rPr>
          <w:rFonts w:ascii="GHEA Grapalat" w:hAnsi="GHEA Grapalat"/>
          <w:color w:val="000000" w:themeColor="text1"/>
        </w:rPr>
      </w:pPr>
      <w:r w:rsidRPr="007B7114">
        <w:rPr>
          <w:rFonts w:ascii="GHEA Grapalat" w:hAnsi="GHEA Grapalat"/>
          <w:color w:val="000000" w:themeColor="text1"/>
        </w:rPr>
        <w:t>կիրառվի այնպիսի մեթոդ, որն ապահովում է անձի նույնականացումը և ցույց է տալիս անձի կողմից որոշակի փաստաթղթին կամ դրանում պարունակվող տեղեկատվությանը համաձայնություն տալու փաստը, և</w:t>
      </w:r>
    </w:p>
    <w:p w:rsidR="002159DA" w:rsidRPr="007B7114" w:rsidRDefault="002159DA" w:rsidP="002159DA">
      <w:pPr>
        <w:pStyle w:val="ListParagraph"/>
        <w:numPr>
          <w:ilvl w:val="0"/>
          <w:numId w:val="12"/>
        </w:numPr>
        <w:spacing w:line="360" w:lineRule="auto"/>
        <w:ind w:left="851" w:firstLine="567"/>
        <w:jc w:val="both"/>
        <w:rPr>
          <w:rFonts w:ascii="GHEA Grapalat" w:hAnsi="GHEA Grapalat"/>
          <w:color w:val="000000" w:themeColor="text1"/>
        </w:rPr>
      </w:pPr>
      <w:r w:rsidRPr="007B7114">
        <w:rPr>
          <w:rFonts w:ascii="GHEA Grapalat" w:hAnsi="GHEA Grapalat"/>
          <w:color w:val="000000" w:themeColor="text1"/>
        </w:rPr>
        <w:t>այդպիսի մեթոդի կիրառումը բոլոր հանգամանքների հաշվառմամբ նույնքան հուսալի լինի, որքան օֆերտա կատարած անձի կողմից էլեկտրոնային հաղորդակցության կամ կապի այլ միջոցներով համապատասխան տեղեկության կամ հաղորդագրության ստեղծումը կամ փոխանակումը։</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b/>
          <w:bCs/>
          <w:color w:val="000000" w:themeColor="text1"/>
        </w:rPr>
        <w:t>- Ամերիկայի Միացյալ Նահանգներում</w:t>
      </w:r>
      <w:r w:rsidRPr="007B7114">
        <w:rPr>
          <w:rStyle w:val="FootnoteReference"/>
          <w:rFonts w:ascii="GHEA Grapalat" w:hAnsi="GHEA Grapalat"/>
          <w:b/>
          <w:bCs/>
          <w:color w:val="000000" w:themeColor="text1"/>
        </w:rPr>
        <w:footnoteReference w:id="7"/>
      </w:r>
      <w:r>
        <w:rPr>
          <w:rFonts w:ascii="GHEA Grapalat" w:hAnsi="GHEA Grapalat"/>
          <w:b/>
          <w:bCs/>
          <w:color w:val="000000" w:themeColor="text1"/>
        </w:rPr>
        <w:t xml:space="preserve"> </w:t>
      </w:r>
      <w:r w:rsidRPr="007B7114">
        <w:rPr>
          <w:rFonts w:ascii="GHEA Grapalat" w:hAnsi="GHEA Grapalat"/>
          <w:color w:val="000000" w:themeColor="text1"/>
        </w:rPr>
        <w:t>Միասնական էլեկտրոնային գործարքների մասին դաշնային ակտով (այսուհետ` ՄԷԳԱ) պայմանագիրը կնքելիս</w:t>
      </w:r>
      <w:r>
        <w:rPr>
          <w:rFonts w:ascii="GHEA Grapalat" w:hAnsi="GHEA Grapalat"/>
          <w:color w:val="000000" w:themeColor="text1"/>
        </w:rPr>
        <w:t xml:space="preserve"> </w:t>
      </w:r>
      <w:r w:rsidRPr="007B7114">
        <w:rPr>
          <w:rFonts w:ascii="GHEA Grapalat" w:hAnsi="GHEA Grapalat"/>
          <w:color w:val="000000" w:themeColor="text1"/>
        </w:rPr>
        <w:t xml:space="preserve">անձի համաձայնությունը պետք է պարունակի հետևյալ հատկանիշներից որևէ մեկը, որպեսզի հավասարեցվի ձեռագիր ստորագրությամբ տրվող </w:t>
      </w:r>
      <w:r>
        <w:rPr>
          <w:rFonts w:ascii="GHEA Grapalat" w:hAnsi="GHEA Grapalat"/>
          <w:color w:val="000000" w:themeColor="text1"/>
        </w:rPr>
        <w:t>համաձայնությանը</w:t>
      </w:r>
      <w:r w:rsidRPr="007B7114">
        <w:rPr>
          <w:rFonts w:ascii="GHEA Grapalat" w:hAnsi="GHEA Grapalat"/>
          <w:color w:val="000000" w:themeColor="text1"/>
        </w:rPr>
        <w:t>.</w:t>
      </w:r>
    </w:p>
    <w:p w:rsidR="002159DA" w:rsidRPr="007B7114" w:rsidRDefault="002159DA" w:rsidP="002159DA">
      <w:pPr>
        <w:pStyle w:val="ListParagraph"/>
        <w:numPr>
          <w:ilvl w:val="0"/>
          <w:numId w:val="13"/>
        </w:numPr>
        <w:spacing w:line="360" w:lineRule="auto"/>
        <w:ind w:left="851" w:firstLine="567"/>
        <w:jc w:val="both"/>
        <w:rPr>
          <w:rFonts w:ascii="GHEA Grapalat" w:hAnsi="GHEA Grapalat"/>
          <w:color w:val="000000" w:themeColor="text1"/>
        </w:rPr>
      </w:pPr>
      <w:r w:rsidRPr="007B7114">
        <w:rPr>
          <w:rFonts w:ascii="GHEA Grapalat" w:hAnsi="GHEA Grapalat"/>
          <w:color w:val="000000" w:themeColor="text1"/>
        </w:rPr>
        <w:t xml:space="preserve">անձի համաձայնությունը կարող է լինել ձայնանշանի, խորհրդանիշի (սիմվոլ) կամ ընթացակարգի տեսքով, </w:t>
      </w:r>
    </w:p>
    <w:p w:rsidR="002159DA" w:rsidRPr="007B7114" w:rsidRDefault="002159DA" w:rsidP="002159DA">
      <w:pPr>
        <w:pStyle w:val="ListParagraph"/>
        <w:numPr>
          <w:ilvl w:val="0"/>
          <w:numId w:val="13"/>
        </w:numPr>
        <w:spacing w:line="360" w:lineRule="auto"/>
        <w:ind w:left="851" w:firstLine="567"/>
        <w:jc w:val="both"/>
        <w:rPr>
          <w:rFonts w:ascii="GHEA Grapalat" w:hAnsi="GHEA Grapalat"/>
          <w:color w:val="000000" w:themeColor="text1"/>
        </w:rPr>
      </w:pPr>
      <w:r w:rsidRPr="007B7114">
        <w:rPr>
          <w:rFonts w:ascii="GHEA Grapalat" w:hAnsi="GHEA Grapalat"/>
          <w:color w:val="000000" w:themeColor="text1"/>
        </w:rPr>
        <w:t>անձի համաձայնությունը  կարող է կցված լինել կամ տրամաբանորեն կապված լինել էլեկտրոնային գրառման հետ (վերջինիս ներքո նկատի է ունեցվում ցանկացած տեղեկություն, որը գրված է նյութական կրիչի վրա կամ այն պահվում է էլեկտրոնային կամ այլ կրիչի վրա և կարող է արտատպվել, նյութականացվել ընկալելի ձևով),</w:t>
      </w:r>
    </w:p>
    <w:p w:rsidR="002159DA" w:rsidRPr="007B7114" w:rsidRDefault="002159DA" w:rsidP="002159DA">
      <w:pPr>
        <w:pStyle w:val="ListParagraph"/>
        <w:numPr>
          <w:ilvl w:val="0"/>
          <w:numId w:val="13"/>
        </w:numPr>
        <w:spacing w:line="360" w:lineRule="auto"/>
        <w:ind w:left="851" w:firstLine="567"/>
        <w:jc w:val="both"/>
        <w:rPr>
          <w:rFonts w:ascii="GHEA Grapalat" w:hAnsi="GHEA Grapalat"/>
          <w:color w:val="000000" w:themeColor="text1"/>
        </w:rPr>
      </w:pPr>
      <w:r w:rsidRPr="007B7114">
        <w:rPr>
          <w:rFonts w:ascii="GHEA Grapalat" w:hAnsi="GHEA Grapalat"/>
          <w:color w:val="000000" w:themeColor="text1"/>
        </w:rPr>
        <w:t>անձի համաձայնությունը պետք է կատարվի էլեկտրոնային գրառումն ստորագրելու մտայնությամբ</w:t>
      </w:r>
      <w:r w:rsidRPr="007B7114">
        <w:rPr>
          <w:rStyle w:val="FootnoteReference"/>
          <w:rFonts w:ascii="GHEA Grapalat" w:hAnsi="GHEA Grapalat"/>
          <w:color w:val="000000" w:themeColor="text1"/>
        </w:rPr>
        <w:footnoteReference w:id="8"/>
      </w:r>
      <w:r w:rsidRPr="007B7114">
        <w:rPr>
          <w:rFonts w:ascii="GHEA Grapalat" w:hAnsi="GHEA Grapalat"/>
          <w:color w:val="000000" w:themeColor="text1"/>
        </w:rPr>
        <w:t>։</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lastRenderedPageBreak/>
        <w:t>Վերոգրյալ կարգավորումները հիմք ընդունելով՝ ԱՄՆ-ում էլեկտրոնային ստորագրության պահանջը, ըստ ՄԷԳԱ-ի պաշտոնական մեկնաբանությունների</w:t>
      </w:r>
      <w:r w:rsidRPr="007B7114">
        <w:rPr>
          <w:rStyle w:val="FootnoteReference"/>
          <w:rFonts w:ascii="GHEA Grapalat" w:hAnsi="GHEA Grapalat"/>
          <w:color w:val="000000" w:themeColor="text1"/>
        </w:rPr>
        <w:footnoteReference w:id="9"/>
      </w:r>
      <w:r w:rsidRPr="007B7114">
        <w:rPr>
          <w:rFonts w:ascii="GHEA Grapalat" w:hAnsi="GHEA Grapalat"/>
          <w:color w:val="000000" w:themeColor="text1"/>
        </w:rPr>
        <w:t>, պահպանված կարող է համարվել հետևյալ օրինակներով, որոնք հիմնականում կիրառվում են Click-wrap պայմանագրերի նկատմամբ` էլեկտրոնային փոստի վերջին հատվածում ուղարկողի անվանումը տպելով, էլեկտրոնային փաստաթղթում ձեռագիր ստորագրության տեսաներածված տարբերակը կցելով,գաղտաբառ, PIN կոդ, հատուկ պաշտպանված կոդեր տրամադրելով, որոնք պետք է ուղղված լինեն անձի նույնականացմանը,եզակի բիոմետրիկ նույնացուցիչի առկայություն, ինչպիսիք են մատնահետքը, ձայնի նույնականացումը կամ աչքի ցանցաթաղանթի սկանավորումը,</w:t>
      </w:r>
      <w:r>
        <w:rPr>
          <w:rFonts w:ascii="GHEA Grapalat" w:hAnsi="GHEA Grapalat"/>
          <w:color w:val="000000" w:themeColor="text1"/>
        </w:rPr>
        <w:t xml:space="preserve"> </w:t>
      </w:r>
      <w:r w:rsidRPr="007B7114">
        <w:rPr>
          <w:rFonts w:ascii="GHEA Grapalat" w:hAnsi="GHEA Grapalat"/>
          <w:color w:val="000000" w:themeColor="text1"/>
        </w:rPr>
        <w:t>ձայնային ազդանշան ստեղծելով, համակարգչային մկնիկի օգտագործմամբ «Համաձայն եմ» հրահանգի կամ համապատասխան հղման սեղմմամբ,</w:t>
      </w:r>
      <w:r>
        <w:rPr>
          <w:rFonts w:ascii="GHEA Grapalat" w:hAnsi="GHEA Grapalat"/>
          <w:color w:val="000000" w:themeColor="text1"/>
        </w:rPr>
        <w:t xml:space="preserve"> </w:t>
      </w:r>
      <w:r w:rsidRPr="007B7114">
        <w:rPr>
          <w:rFonts w:ascii="GHEA Grapalat" w:hAnsi="GHEA Grapalat"/>
          <w:color w:val="000000" w:themeColor="text1"/>
        </w:rPr>
        <w:t>համակարգչային հավելվածի ներբեռնմամբ, վավերացված էլեկտրոնային թվային ստորագրության կիրառմամբ,նախապես տրամադրված էլեկտրոնային փոստի հասցեին բացահայտող, ճշգրտող հարցադրումներ ուղարկելով՝ մինչև ճիշտ պատասխանի ստացումը</w:t>
      </w:r>
      <w:r w:rsidRPr="007B7114">
        <w:rPr>
          <w:rStyle w:val="FootnoteReference"/>
          <w:rFonts w:ascii="GHEA Grapalat" w:hAnsi="GHEA Grapalat"/>
          <w:color w:val="000000" w:themeColor="text1"/>
        </w:rPr>
        <w:footnoteReference w:id="10"/>
      </w:r>
      <w:r w:rsidRPr="007B7114">
        <w:rPr>
          <w:rFonts w:ascii="GHEA Grapalat" w:hAnsi="GHEA Grapalat"/>
          <w:color w:val="000000" w:themeColor="text1"/>
        </w:rPr>
        <w:t>։</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b/>
          <w:bCs/>
          <w:color w:val="000000" w:themeColor="text1"/>
        </w:rPr>
        <w:t xml:space="preserve">-Միացյալ Թագավորությունում </w:t>
      </w:r>
      <w:r w:rsidRPr="007B7114">
        <w:rPr>
          <w:rFonts w:ascii="GHEA Grapalat" w:hAnsi="GHEA Grapalat"/>
          <w:color w:val="000000" w:themeColor="text1"/>
        </w:rPr>
        <w:t>ևս էլեկտրոնային եղանակով</w:t>
      </w:r>
      <w:r>
        <w:rPr>
          <w:rFonts w:ascii="GHEA Grapalat" w:hAnsi="GHEA Grapalat"/>
          <w:color w:val="000000" w:themeColor="text1"/>
        </w:rPr>
        <w:t xml:space="preserve"> </w:t>
      </w:r>
      <w:r w:rsidRPr="007B7114">
        <w:rPr>
          <w:rFonts w:ascii="GHEA Grapalat" w:hAnsi="GHEA Grapalat"/>
          <w:color w:val="000000" w:themeColor="text1"/>
        </w:rPr>
        <w:t>պայմանագրերի կնքման տարածված տեսակներից մեկը Click-wrap պայմանագիրն է։Հարկ է նկատի ունենալ, որ Browse-wrap և Shrink-wrap պայմանագրերը ևս իրենց կիրառությունն ունեն Միացյալ Թագավորությունում, սակայն Սպառողների իրավունքների մասին 2015թ. Ակտի վերաբերյալ պարզաբանող դիտարկումների համաձայն՝ Browse-wrap պայմանագրերը չեն կարող դիտվել որպես պայմանագրեր և դրանով պայմանավորված չեն կարող հաճախորդների համար առաջացնել պարտավորություններ, քանի որ դրանց դեպ</w:t>
      </w:r>
      <w:r>
        <w:rPr>
          <w:rFonts w:ascii="GHEA Grapalat" w:hAnsi="GHEA Grapalat"/>
          <w:color w:val="000000" w:themeColor="text1"/>
        </w:rPr>
        <w:t>ք</w:t>
      </w:r>
      <w:r w:rsidRPr="007B7114">
        <w:rPr>
          <w:rFonts w:ascii="GHEA Grapalat" w:hAnsi="GHEA Grapalat"/>
          <w:color w:val="000000" w:themeColor="text1"/>
        </w:rPr>
        <w:t>ում, ըստ էության, առկա չէ սպառողի վավեր համաձայնությունը</w:t>
      </w:r>
      <w:r w:rsidRPr="007B7114">
        <w:rPr>
          <w:rStyle w:val="FootnoteReference"/>
          <w:rFonts w:ascii="GHEA Grapalat" w:hAnsi="GHEA Grapalat"/>
          <w:color w:val="000000" w:themeColor="text1"/>
        </w:rPr>
        <w:footnoteReference w:id="11"/>
      </w:r>
      <w:r w:rsidRPr="007B7114">
        <w:rPr>
          <w:rFonts w:ascii="GHEA Grapalat" w:hAnsi="GHEA Grapalat"/>
          <w:color w:val="000000" w:themeColor="text1"/>
        </w:rPr>
        <w:t>։</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b/>
          <w:bCs/>
          <w:color w:val="000000" w:themeColor="text1"/>
        </w:rPr>
        <w:lastRenderedPageBreak/>
        <w:t xml:space="preserve">- Գերմանիայի Դաշնային Հանրապետությունում </w:t>
      </w:r>
      <w:r w:rsidRPr="007B7114">
        <w:rPr>
          <w:rFonts w:ascii="GHEA Grapalat" w:hAnsi="GHEA Grapalat"/>
          <w:color w:val="000000" w:themeColor="text1"/>
        </w:rPr>
        <w:t>էլեկտրոնային եղանակով</w:t>
      </w:r>
      <w:r>
        <w:rPr>
          <w:rFonts w:ascii="GHEA Grapalat" w:hAnsi="GHEA Grapalat"/>
          <w:color w:val="000000" w:themeColor="text1"/>
        </w:rPr>
        <w:t xml:space="preserve"> </w:t>
      </w:r>
      <w:r w:rsidRPr="007B7114">
        <w:rPr>
          <w:rFonts w:ascii="GHEA Grapalat" w:hAnsi="GHEA Grapalat"/>
          <w:color w:val="000000" w:themeColor="text1"/>
        </w:rPr>
        <w:t xml:space="preserve">պայմանագրի կնքումը պետք է համապատասխանի Գերմանիայի Քաղաքացիական օրենսգրքով նախատեսված կանոններին, այն է` կողմերի կամահայտնության, պայմանագրերի կնքման կարգավորումներին։ </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Գերմանիայում պայմանագրերի կնքման օֆերտան և ակցեպտը, ինչպես նաև համապատասխան կարգի և պայմանների ինկորպորացումն ունեն մեծ կարևորություն։ Այսպես, որպես կանոն՝ հաճախորդը համարվում է իր առաջարկը ներկայացրած, եթե տեղադրում է համապատասխան պատվերը։ Իր հերթին, առևտուր իրականացնողը ընդունում է պատվերը, եթե վերջինս տրամադրել է պատվերի հաստատումը։ Ընդհանուր Կարգը և Պայմանները համարվում են պայմանագրում ինկորպորացված, եթե դրանք պատշաճորեն և արդյունավետորեն ներկայացվել են սպառողի ուշադրությանը և վերջինս սեղմել է համապատասխան հրահանգը՝ դրանով իսկ ընդունելով Ընդհանուր Կարգը և Պայմանները։</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Ընդհանուր առմամբ էլեկտրոնային գործարքների կնքմանը</w:t>
      </w:r>
      <w:r>
        <w:rPr>
          <w:rFonts w:ascii="GHEA Grapalat" w:hAnsi="GHEA Grapalat"/>
          <w:color w:val="000000" w:themeColor="text1"/>
        </w:rPr>
        <w:t xml:space="preserve"> </w:t>
      </w:r>
      <w:r w:rsidRPr="007B7114">
        <w:rPr>
          <w:rFonts w:ascii="GHEA Grapalat" w:hAnsi="GHEA Grapalat"/>
          <w:color w:val="000000" w:themeColor="text1"/>
        </w:rPr>
        <w:t>ներկայացվում են հետևյալ պահանջները.</w:t>
      </w:r>
    </w:p>
    <w:p w:rsidR="002159DA" w:rsidRPr="007B7114" w:rsidRDefault="002159DA" w:rsidP="002159DA">
      <w:pPr>
        <w:pStyle w:val="ListParagraph"/>
        <w:numPr>
          <w:ilvl w:val="0"/>
          <w:numId w:val="20"/>
        </w:numPr>
        <w:spacing w:line="360" w:lineRule="auto"/>
        <w:ind w:left="851" w:firstLine="567"/>
        <w:jc w:val="both"/>
        <w:rPr>
          <w:rFonts w:ascii="GHEA Grapalat" w:hAnsi="GHEA Grapalat"/>
          <w:color w:val="000000" w:themeColor="text1"/>
        </w:rPr>
      </w:pPr>
      <w:r w:rsidRPr="007B7114">
        <w:rPr>
          <w:rFonts w:ascii="GHEA Grapalat" w:hAnsi="GHEA Grapalat"/>
          <w:color w:val="000000" w:themeColor="text1"/>
        </w:rPr>
        <w:t xml:space="preserve">հաճախորդի կողմից ներկայացվող պատվեր կատարելու </w:t>
      </w:r>
      <w:r>
        <w:rPr>
          <w:rFonts w:ascii="GHEA Grapalat" w:hAnsi="GHEA Grapalat"/>
          <w:color w:val="000000" w:themeColor="text1"/>
        </w:rPr>
        <w:t>գործընթացը</w:t>
      </w:r>
      <w:r w:rsidRPr="007B7114">
        <w:rPr>
          <w:rFonts w:ascii="GHEA Grapalat" w:hAnsi="GHEA Grapalat"/>
          <w:color w:val="000000" w:themeColor="text1"/>
        </w:rPr>
        <w:t xml:space="preserve"> պետք է ներառի այն անհրաժեշտ քայլերի մասին տեղեկություններ, որոնք անհրաժեշտ են պայմանագրի կնքման համար, ինչպես նաև տեխնիկական հնարավորություն պետք է ընձեռի ուսումնասիրելու և շտկումներ կատարելու համապատասխան պատվերում,</w:t>
      </w:r>
    </w:p>
    <w:p w:rsidR="002159DA" w:rsidRPr="007B7114" w:rsidRDefault="002159DA" w:rsidP="002159DA">
      <w:pPr>
        <w:pStyle w:val="ListParagraph"/>
        <w:numPr>
          <w:ilvl w:val="0"/>
          <w:numId w:val="20"/>
        </w:numPr>
        <w:spacing w:line="360" w:lineRule="auto"/>
        <w:ind w:left="851" w:firstLine="567"/>
        <w:jc w:val="both"/>
        <w:rPr>
          <w:rFonts w:ascii="GHEA Grapalat" w:hAnsi="GHEA Grapalat"/>
          <w:color w:val="000000" w:themeColor="text1"/>
        </w:rPr>
      </w:pPr>
      <w:r w:rsidRPr="007B7114">
        <w:rPr>
          <w:rFonts w:ascii="GHEA Grapalat" w:hAnsi="GHEA Grapalat"/>
          <w:color w:val="000000" w:themeColor="text1"/>
        </w:rPr>
        <w:t xml:space="preserve">սպառողի կողմից պատվերի տրամադրման </w:t>
      </w:r>
      <w:r>
        <w:rPr>
          <w:rFonts w:ascii="GHEA Grapalat" w:hAnsi="GHEA Grapalat"/>
          <w:color w:val="000000" w:themeColor="text1"/>
        </w:rPr>
        <w:t>գործընթացը</w:t>
      </w:r>
      <w:r w:rsidRPr="007B7114">
        <w:rPr>
          <w:rFonts w:ascii="GHEA Grapalat" w:hAnsi="GHEA Grapalat"/>
          <w:color w:val="000000" w:themeColor="text1"/>
        </w:rPr>
        <w:t xml:space="preserve"> պետք է ներառի որոշակի պարտադիր տեղեկություններ` ապրանքի, ծառայության անվանումը, գինը, ապրանք վաճառողի կամ ծառայություն տրամադրողի վերաբերյալ տվյալները, երաշխիքային ժամկետներն</w:t>
      </w:r>
      <w:r>
        <w:rPr>
          <w:rFonts w:ascii="GHEA Grapalat" w:hAnsi="GHEA Grapalat"/>
          <w:color w:val="000000" w:themeColor="text1"/>
        </w:rPr>
        <w:t xml:space="preserve"> </w:t>
      </w:r>
      <w:r w:rsidRPr="007B7114">
        <w:rPr>
          <w:rFonts w:ascii="GHEA Grapalat" w:hAnsi="GHEA Grapalat"/>
          <w:color w:val="000000" w:themeColor="text1"/>
        </w:rPr>
        <w:t>ու պայմանները և այլն,</w:t>
      </w:r>
    </w:p>
    <w:p w:rsidR="002159DA" w:rsidRPr="007B7114" w:rsidRDefault="002159DA" w:rsidP="002159DA">
      <w:pPr>
        <w:pStyle w:val="ListParagraph"/>
        <w:numPr>
          <w:ilvl w:val="0"/>
          <w:numId w:val="20"/>
        </w:numPr>
        <w:spacing w:line="360" w:lineRule="auto"/>
        <w:ind w:left="851" w:firstLine="567"/>
        <w:jc w:val="both"/>
        <w:rPr>
          <w:rFonts w:ascii="GHEA Grapalat" w:hAnsi="GHEA Grapalat"/>
          <w:color w:val="000000" w:themeColor="text1"/>
        </w:rPr>
      </w:pPr>
      <w:r w:rsidRPr="007B7114">
        <w:rPr>
          <w:rFonts w:ascii="GHEA Grapalat" w:hAnsi="GHEA Grapalat"/>
          <w:color w:val="000000" w:themeColor="text1"/>
        </w:rPr>
        <w:t>առևտուր իրականացնողը պարտավոր է հաստատել պատվերի ստացումը և տրամադրել պայմանագրի կնքման հաստատում,</w:t>
      </w:r>
    </w:p>
    <w:p w:rsidR="002159DA" w:rsidRPr="007B7114" w:rsidRDefault="002159DA" w:rsidP="002159DA">
      <w:pPr>
        <w:pStyle w:val="ListParagraph"/>
        <w:numPr>
          <w:ilvl w:val="0"/>
          <w:numId w:val="20"/>
        </w:numPr>
        <w:spacing w:line="360" w:lineRule="auto"/>
        <w:ind w:left="851" w:firstLine="567"/>
        <w:jc w:val="both"/>
        <w:rPr>
          <w:rFonts w:ascii="GHEA Grapalat" w:hAnsi="GHEA Grapalat"/>
          <w:color w:val="000000" w:themeColor="text1"/>
        </w:rPr>
      </w:pPr>
      <w:r w:rsidRPr="007B7114">
        <w:rPr>
          <w:rFonts w:ascii="GHEA Grapalat" w:hAnsi="GHEA Grapalat"/>
          <w:color w:val="000000" w:themeColor="text1"/>
        </w:rPr>
        <w:lastRenderedPageBreak/>
        <w:t>Առևտուր իրականացնողը պարտավոր է սպառողին տրամադրել բոլոր տեղեկությունները նյութական կրիչի միջոցով (սովորաբար իրականացվում է էլեկտրոնային փոստի միջոցով)</w:t>
      </w:r>
      <w:r w:rsidRPr="007B7114">
        <w:rPr>
          <w:rStyle w:val="FootnoteReference"/>
          <w:rFonts w:ascii="GHEA Grapalat" w:hAnsi="GHEA Grapalat"/>
          <w:color w:val="000000" w:themeColor="text1"/>
        </w:rPr>
        <w:footnoteReference w:id="12"/>
      </w:r>
      <w:r w:rsidRPr="007B7114">
        <w:rPr>
          <w:rFonts w:ascii="GHEA Grapalat" w:hAnsi="GHEA Grapalat"/>
          <w:color w:val="000000" w:themeColor="text1"/>
        </w:rPr>
        <w:t>։</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b/>
          <w:bCs/>
          <w:color w:val="000000" w:themeColor="text1"/>
        </w:rPr>
        <w:t xml:space="preserve">- Ֆրանսիայի Հանրապետությունում </w:t>
      </w:r>
      <w:r w:rsidRPr="007B7114">
        <w:rPr>
          <w:rFonts w:ascii="GHEA Grapalat" w:hAnsi="GHEA Grapalat"/>
          <w:color w:val="000000" w:themeColor="text1"/>
        </w:rPr>
        <w:t>առցանց հարթակների թափանցիկության պահանջներն ուժի մեջ են մտել 2018թ.-ին, որոնք կիրառվում են առցանց հարթակների և շուկաների (առավել մանրամասն կարգավորվում է 2017թ. սեպտեմբերի 29-ի No 2017-1434 հրամանով), ինչպես նաև ինտերնետային կայքերի նկատմամբ (առավել մանրամասն՝ 2017թ. սեպտեմբերի 29-ի No 2017-1436 հրամանով)։ Վերոգրյալ կարգավորումների համաձայն՝ առցանց հարթակները պետք է ունենան առանձին և հատուկ բաժիններ, որոնցում զետեղված է մանրամասն տեղեկատվություն վաճառողների կամ այլ անձանց վերաբերյալ, ինչպես նաև հաճախորդների նկատմամբ արդարացի վերաբերմունք ապահովելու նպատակով համապատասխան տեղեկություններ պատվերների վարկանիշերի վերաբերյալ։</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 xml:space="preserve">Էլեկտրոնային գործարքների կնքման ձևի հետ կապված ֆրանսիական օրենսդրությունը որևէ պահանջներ չի նախատեսում, բացառությամբ նրա, որ վաճառողը պարտավոր է հաճախորդին տրամադրել համապատասխան տեղեկատվությունը նյութական կրիչով, որն իրենից ներկայացնում է ցանկացած գործիք, որը հաճախորդին հնարավորություն է տալիս պահպանել կամ արտատպել ցանկացած տեղեկություն այն ձևով, որը հնարավոր է դարձնում ապագայում այն օգտագործել կամ դրան հղում կատարել, և որը թույլ է տալիս անփոփոխ կերպով վերարտադրել տեղեկատվությունը (օրինակ՝ որպես pdf ֆայլ կամ էլեկտրոնային փոստ)։ Ընդ որում, Ֆրանսիական դատական պրակտիկային համաձայն՝ </w:t>
      </w:r>
      <w:r>
        <w:rPr>
          <w:rFonts w:ascii="GHEA Grapalat" w:hAnsi="GHEA Grapalat"/>
          <w:color w:val="000000" w:themeColor="text1"/>
        </w:rPr>
        <w:t>նյութական</w:t>
      </w:r>
      <w:r w:rsidRPr="007B7114">
        <w:rPr>
          <w:rFonts w:ascii="GHEA Grapalat" w:hAnsi="GHEA Grapalat"/>
          <w:color w:val="000000" w:themeColor="text1"/>
        </w:rPr>
        <w:t xml:space="preserve"> կրիչ չի կարող հանդիսանալ վաճառողի կայքում զետեղված հիպերտեքստին կատարված հղումը</w:t>
      </w:r>
      <w:r w:rsidRPr="007B7114">
        <w:rPr>
          <w:rStyle w:val="FootnoteReference"/>
          <w:rFonts w:ascii="GHEA Grapalat" w:hAnsi="GHEA Grapalat"/>
          <w:color w:val="000000" w:themeColor="text1"/>
        </w:rPr>
        <w:footnoteReference w:id="13"/>
      </w:r>
      <w:r w:rsidRPr="007B7114">
        <w:rPr>
          <w:rFonts w:ascii="GHEA Grapalat" w:hAnsi="GHEA Grapalat"/>
          <w:color w:val="000000" w:themeColor="text1"/>
        </w:rPr>
        <w:t>։</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b/>
          <w:bCs/>
          <w:color w:val="000000" w:themeColor="text1"/>
        </w:rPr>
        <w:lastRenderedPageBreak/>
        <w:t xml:space="preserve">- Նիդերլանդների Թագավորության </w:t>
      </w:r>
      <w:r w:rsidRPr="007B7114">
        <w:rPr>
          <w:rFonts w:ascii="GHEA Grapalat" w:hAnsi="GHEA Grapalat"/>
          <w:color w:val="000000" w:themeColor="text1"/>
        </w:rPr>
        <w:t>քաղաքացիական օրենսգիրքը ևս որոշակի կարգավորումներ է պարունակում էլեկտրոնային գործարքների (պայմանագրերի) հետ կապված։ Օրինակ.</w:t>
      </w:r>
    </w:p>
    <w:p w:rsidR="002159DA" w:rsidRPr="007B7114" w:rsidRDefault="002159DA" w:rsidP="002159DA">
      <w:pPr>
        <w:pStyle w:val="ListParagraph"/>
        <w:numPr>
          <w:ilvl w:val="0"/>
          <w:numId w:val="15"/>
        </w:numPr>
        <w:spacing w:line="360" w:lineRule="auto"/>
        <w:ind w:left="851" w:firstLine="567"/>
        <w:jc w:val="both"/>
        <w:rPr>
          <w:rFonts w:ascii="GHEA Grapalat" w:hAnsi="GHEA Grapalat"/>
          <w:color w:val="000000" w:themeColor="text1"/>
        </w:rPr>
      </w:pPr>
      <w:r w:rsidRPr="007B7114">
        <w:rPr>
          <w:rFonts w:ascii="GHEA Grapalat" w:hAnsi="GHEA Grapalat"/>
          <w:color w:val="000000" w:themeColor="text1"/>
        </w:rPr>
        <w:t>առևտուր իրականացնողը պարտավոր է սպառողին կամ հաճախորդին, նախքան պայմանագրի կնքումը, տրամադրել դրա պայմանները, այլապես այդպիսի պարտականության չկատարումը, նույնիսկ, եթե հաճախորդը կամ սպառողը կնքել է պայմանագիրը, կարող է հանգեցնել այդ պայմանների անվավերության։ Shrink-wrap, Click-wrap, Browse-wrap պայմանագրերի կնքումը հնարավոր է և իրավաչափ, եթե դրանց պայմանները կարող են տրամադրվել էլեկտրոնային եղանակով, և միաժամանակ առկա է հաճախորդի կամ սպառողի կողմից դրանց ծանոթանալու կամ դրանք հետագայում պահպանելու հնարավորություն (Նիդերլանդների քաղաքացիական օրենսգիրք, Գիրք 6, 234-րդ հոդված),</w:t>
      </w:r>
    </w:p>
    <w:p w:rsidR="002159DA" w:rsidRPr="007B7114" w:rsidRDefault="002159DA" w:rsidP="002159DA">
      <w:pPr>
        <w:pStyle w:val="ListParagraph"/>
        <w:numPr>
          <w:ilvl w:val="0"/>
          <w:numId w:val="15"/>
        </w:numPr>
        <w:spacing w:line="360" w:lineRule="auto"/>
        <w:ind w:left="851" w:firstLine="567"/>
        <w:jc w:val="both"/>
        <w:rPr>
          <w:rFonts w:ascii="GHEA Grapalat" w:hAnsi="GHEA Grapalat"/>
          <w:color w:val="000000" w:themeColor="text1"/>
        </w:rPr>
      </w:pPr>
      <w:r w:rsidRPr="007B7114">
        <w:rPr>
          <w:rFonts w:ascii="GHEA Grapalat" w:hAnsi="GHEA Grapalat"/>
          <w:color w:val="000000" w:themeColor="text1"/>
        </w:rPr>
        <w:t>նախքան պայմանագրի կնքումը կամ Ընդհանուր Կարգին և Պայմաններին միանալը, հաճախորդը պետք է տեղեկացվի իր քայլերի հաջորդականության (իր պատվերի տրամադրման ընթացակարգի), պայմանագրի լեզվի, ինչպես նաև վարվելակերպի այլ կանոնների առկայության մասին (Նիդերլանդների քաղաքացիական օրենսգիրք, Գիրք 6, 227b, 227c հոդվածներ),</w:t>
      </w:r>
    </w:p>
    <w:p w:rsidR="002159DA" w:rsidRPr="007B7114" w:rsidRDefault="002159DA" w:rsidP="002159DA">
      <w:pPr>
        <w:pStyle w:val="ListParagraph"/>
        <w:numPr>
          <w:ilvl w:val="0"/>
          <w:numId w:val="15"/>
        </w:numPr>
        <w:spacing w:line="360" w:lineRule="auto"/>
        <w:ind w:left="851" w:firstLine="567"/>
        <w:jc w:val="both"/>
        <w:rPr>
          <w:rFonts w:ascii="GHEA Grapalat" w:hAnsi="GHEA Grapalat"/>
          <w:color w:val="000000" w:themeColor="text1"/>
        </w:rPr>
      </w:pPr>
      <w:r w:rsidRPr="007B7114">
        <w:rPr>
          <w:rFonts w:ascii="GHEA Grapalat" w:hAnsi="GHEA Grapalat"/>
          <w:color w:val="000000" w:themeColor="text1"/>
        </w:rPr>
        <w:t>հաճախորդին պետք է տրվի հնարավորություն ուսումնասիրելու և շտկելու առցանց պատվերը նախքան դրա վերջնականացումը։ Պատվերի տեղադրումից և պայմանագրի վերջնականացումից հետո առևտուր իրականացնողը պարտավոր է էլեկտրոնային փոստով հաստատել պատվերի էլեկտրոնային ստացման մասին,</w:t>
      </w:r>
    </w:p>
    <w:p w:rsidR="002159DA" w:rsidRPr="007B7114" w:rsidRDefault="002159DA" w:rsidP="002159DA">
      <w:pPr>
        <w:pStyle w:val="ListParagraph"/>
        <w:numPr>
          <w:ilvl w:val="0"/>
          <w:numId w:val="15"/>
        </w:numPr>
        <w:spacing w:line="360" w:lineRule="auto"/>
        <w:ind w:left="851" w:firstLine="567"/>
        <w:jc w:val="both"/>
        <w:rPr>
          <w:rFonts w:ascii="GHEA Grapalat" w:hAnsi="GHEA Grapalat"/>
          <w:color w:val="000000" w:themeColor="text1"/>
        </w:rPr>
      </w:pPr>
      <w:r w:rsidRPr="007B7114">
        <w:rPr>
          <w:rFonts w:ascii="GHEA Grapalat" w:hAnsi="GHEA Grapalat"/>
          <w:color w:val="000000" w:themeColor="text1"/>
        </w:rPr>
        <w:t>պայմանագրի կնքումից հետո էլեկտրոնային փոստով կամ ցանկացած այլ հաղորդակցության միջոցով, որով հնարավոր է ամրագրել տեղեկություն, առևտուր իրականացնողը պարտավոր է տրամադրել որոշակի տեղեկությունները՝ ապրանքի բնութագրիչների, այն արտադրող ընկերության և այլնի վերաբերյալ,</w:t>
      </w:r>
    </w:p>
    <w:p w:rsidR="002159DA" w:rsidRPr="007B7114" w:rsidRDefault="002159DA" w:rsidP="002159DA">
      <w:pPr>
        <w:pStyle w:val="ListParagraph"/>
        <w:numPr>
          <w:ilvl w:val="0"/>
          <w:numId w:val="15"/>
        </w:numPr>
        <w:spacing w:line="360" w:lineRule="auto"/>
        <w:ind w:left="851" w:firstLine="567"/>
        <w:jc w:val="both"/>
        <w:rPr>
          <w:rFonts w:ascii="GHEA Grapalat" w:hAnsi="GHEA Grapalat"/>
          <w:color w:val="000000" w:themeColor="text1"/>
        </w:rPr>
      </w:pPr>
      <w:r w:rsidRPr="007B7114">
        <w:rPr>
          <w:rFonts w:ascii="GHEA Grapalat" w:hAnsi="GHEA Grapalat"/>
          <w:color w:val="000000" w:themeColor="text1"/>
        </w:rPr>
        <w:lastRenderedPageBreak/>
        <w:t xml:space="preserve">վերոգրյալ պահանջներին ցանկացած </w:t>
      </w:r>
      <w:r>
        <w:rPr>
          <w:rFonts w:ascii="GHEA Grapalat" w:hAnsi="GHEA Grapalat"/>
          <w:color w:val="000000" w:themeColor="text1"/>
        </w:rPr>
        <w:t>անհամապատասխանություն</w:t>
      </w:r>
      <w:r w:rsidRPr="007B7114">
        <w:rPr>
          <w:rFonts w:ascii="GHEA Grapalat" w:hAnsi="GHEA Grapalat"/>
          <w:color w:val="000000" w:themeColor="text1"/>
        </w:rPr>
        <w:t xml:space="preserve"> կամ դրանց խախտում, ըստ Նիդերլանդների քաղաքացիական օրենսգրքի, հանգեցնում է պայմանագրի կամ համապատասխան պայմանի անվավերության կամ այլ սանկցիաների (օրինակ՝ սպառողի կողմից պատժիչ տուգանքների գանձում)</w:t>
      </w:r>
      <w:r w:rsidRPr="007B7114">
        <w:rPr>
          <w:rStyle w:val="FootnoteReference"/>
          <w:rFonts w:ascii="GHEA Grapalat" w:hAnsi="GHEA Grapalat"/>
          <w:color w:val="000000" w:themeColor="text1"/>
        </w:rPr>
        <w:footnoteReference w:id="14"/>
      </w:r>
      <w:r w:rsidRPr="007B7114">
        <w:rPr>
          <w:rFonts w:ascii="GHEA Grapalat" w:hAnsi="GHEA Grapalat"/>
          <w:color w:val="000000" w:themeColor="text1"/>
        </w:rPr>
        <w:t>։</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b/>
          <w:bCs/>
          <w:color w:val="000000" w:themeColor="text1"/>
        </w:rPr>
        <w:t xml:space="preserve">- Իսպանիայի Թագավորությունում </w:t>
      </w:r>
      <w:r w:rsidRPr="007B7114">
        <w:rPr>
          <w:rFonts w:ascii="GHEA Grapalat" w:hAnsi="GHEA Grapalat"/>
          <w:color w:val="000000" w:themeColor="text1"/>
        </w:rPr>
        <w:t>էլեկտրոնային գործարքների կնքելիս</w:t>
      </w:r>
      <w:r>
        <w:rPr>
          <w:rFonts w:ascii="GHEA Grapalat" w:hAnsi="GHEA Grapalat"/>
          <w:color w:val="000000" w:themeColor="text1"/>
        </w:rPr>
        <w:t xml:space="preserve"> </w:t>
      </w:r>
      <w:r w:rsidRPr="007B7114">
        <w:rPr>
          <w:rFonts w:ascii="GHEA Grapalat" w:hAnsi="GHEA Grapalat"/>
          <w:color w:val="000000" w:themeColor="text1"/>
        </w:rPr>
        <w:t>համաձայնության տրամադրումը պետք է իրականացվի</w:t>
      </w:r>
      <w:r>
        <w:rPr>
          <w:rFonts w:ascii="GHEA Grapalat" w:hAnsi="GHEA Grapalat"/>
          <w:color w:val="000000" w:themeColor="text1"/>
        </w:rPr>
        <w:t xml:space="preserve"> </w:t>
      </w:r>
      <w:r w:rsidRPr="007B7114">
        <w:rPr>
          <w:rFonts w:ascii="GHEA Grapalat" w:hAnsi="GHEA Grapalat"/>
          <w:color w:val="000000" w:themeColor="text1"/>
        </w:rPr>
        <w:t>ակնհայտ ձևով պայմանագրի պայմանները ընդունելով, օրինակ,«Համաձայն եմ» հրահանգը</w:t>
      </w:r>
      <w:r>
        <w:rPr>
          <w:rFonts w:ascii="GHEA Grapalat" w:hAnsi="GHEA Grapalat"/>
          <w:color w:val="000000" w:themeColor="text1"/>
        </w:rPr>
        <w:t xml:space="preserve"> </w:t>
      </w:r>
      <w:r w:rsidRPr="007B7114">
        <w:rPr>
          <w:rFonts w:ascii="GHEA Grapalat" w:hAnsi="GHEA Grapalat"/>
          <w:color w:val="000000" w:themeColor="text1"/>
        </w:rPr>
        <w:t>սեղմելու միջոցով։ Ընդ որում, վերոգրյալ հրահանգի</w:t>
      </w:r>
      <w:r>
        <w:rPr>
          <w:rFonts w:ascii="GHEA Grapalat" w:hAnsi="GHEA Grapalat"/>
          <w:color w:val="000000" w:themeColor="text1"/>
        </w:rPr>
        <w:t xml:space="preserve"> </w:t>
      </w:r>
      <w:r w:rsidRPr="007B7114">
        <w:rPr>
          <w:rFonts w:ascii="GHEA Grapalat" w:hAnsi="GHEA Grapalat"/>
          <w:color w:val="000000" w:themeColor="text1"/>
        </w:rPr>
        <w:t>սեղմումը հնարավոր է դառնում, եթե դրանք ամբողջապես ընթերցվել են սպառողի կողմից (այլ կերպ, նշված հրահանգն ակտիվանում է պայմանները ամբողջությամբ թերթելուց (scroll-down) հետո) կամ առկա է համապատասխան հիպերհղում (hyperlink), որը դրանց ծանոթանալու հնարավորություն է տալիս։ Էլեկտրոնային պայմանագրերի վավերականությունը և իրագործելիությունը կախված են համապատասխան էլեկտրոնային պայմանագրի տարատեսակից, մասնավորապես.</w:t>
      </w:r>
    </w:p>
    <w:p w:rsidR="002159DA" w:rsidRPr="007B7114" w:rsidRDefault="002159DA" w:rsidP="002159DA">
      <w:pPr>
        <w:pStyle w:val="ListParagraph"/>
        <w:numPr>
          <w:ilvl w:val="0"/>
          <w:numId w:val="21"/>
        </w:numPr>
        <w:spacing w:line="360" w:lineRule="auto"/>
        <w:ind w:firstLine="567"/>
        <w:jc w:val="both"/>
        <w:rPr>
          <w:rFonts w:ascii="GHEA Grapalat" w:hAnsi="GHEA Grapalat"/>
          <w:b/>
          <w:bCs/>
          <w:color w:val="000000" w:themeColor="text1"/>
        </w:rPr>
      </w:pPr>
      <w:r w:rsidRPr="007B7114">
        <w:rPr>
          <w:rFonts w:ascii="GHEA Grapalat" w:hAnsi="GHEA Grapalat"/>
          <w:color w:val="000000" w:themeColor="text1"/>
        </w:rPr>
        <w:t>Click-wrap</w:t>
      </w:r>
      <w:r>
        <w:rPr>
          <w:rFonts w:ascii="GHEA Grapalat" w:hAnsi="GHEA Grapalat"/>
          <w:color w:val="000000" w:themeColor="text1"/>
        </w:rPr>
        <w:t xml:space="preserve"> </w:t>
      </w:r>
      <w:r w:rsidRPr="007B7114">
        <w:rPr>
          <w:rFonts w:ascii="GHEA Grapalat" w:hAnsi="GHEA Grapalat"/>
          <w:color w:val="000000" w:themeColor="text1"/>
        </w:rPr>
        <w:t>պայմանագրերի դեպքում, հաշվի առնելով այն, որ սպառողը կարող է ընթերցել պայմանագրի պայմաններ</w:t>
      </w:r>
      <w:r>
        <w:rPr>
          <w:rFonts w:ascii="GHEA Grapalat" w:hAnsi="GHEA Grapalat"/>
          <w:color w:val="000000" w:themeColor="text1"/>
        </w:rPr>
        <w:t>ը</w:t>
      </w:r>
      <w:r w:rsidRPr="007B7114">
        <w:rPr>
          <w:rFonts w:ascii="GHEA Grapalat" w:hAnsi="GHEA Grapalat"/>
          <w:color w:val="000000" w:themeColor="text1"/>
        </w:rPr>
        <w:t>, նշված հանգամանքը դիտարկվում է որպես իրավաչափ համաձայնություն։</w:t>
      </w:r>
      <w:r>
        <w:rPr>
          <w:rFonts w:ascii="GHEA Grapalat" w:hAnsi="GHEA Grapalat"/>
          <w:color w:val="000000" w:themeColor="text1"/>
        </w:rPr>
        <w:t xml:space="preserve"> </w:t>
      </w:r>
      <w:r w:rsidRPr="007B7114">
        <w:rPr>
          <w:rFonts w:ascii="GHEA Grapalat" w:hAnsi="GHEA Grapalat"/>
          <w:color w:val="000000" w:themeColor="text1"/>
        </w:rPr>
        <w:t>Ուստիև Click-wrap</w:t>
      </w:r>
      <w:r>
        <w:rPr>
          <w:rFonts w:ascii="GHEA Grapalat" w:hAnsi="GHEA Grapalat"/>
          <w:color w:val="000000" w:themeColor="text1"/>
        </w:rPr>
        <w:t xml:space="preserve"> </w:t>
      </w:r>
      <w:r w:rsidRPr="007B7114">
        <w:rPr>
          <w:rFonts w:ascii="GHEA Grapalat" w:hAnsi="GHEA Grapalat"/>
          <w:color w:val="000000" w:themeColor="text1"/>
        </w:rPr>
        <w:t>պայմանագիրը համարվում է իրագործելի և վավեր,</w:t>
      </w:r>
    </w:p>
    <w:p w:rsidR="002159DA" w:rsidRPr="007B7114" w:rsidRDefault="002159DA" w:rsidP="002159DA">
      <w:pPr>
        <w:pStyle w:val="ListParagraph"/>
        <w:numPr>
          <w:ilvl w:val="0"/>
          <w:numId w:val="21"/>
        </w:num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Browse-wrap</w:t>
      </w:r>
      <w:r>
        <w:rPr>
          <w:rFonts w:ascii="GHEA Grapalat" w:hAnsi="GHEA Grapalat"/>
          <w:color w:val="000000" w:themeColor="text1"/>
        </w:rPr>
        <w:t xml:space="preserve"> </w:t>
      </w:r>
      <w:r w:rsidRPr="007B7114">
        <w:rPr>
          <w:rFonts w:ascii="GHEA Grapalat" w:hAnsi="GHEA Grapalat"/>
          <w:color w:val="000000" w:themeColor="text1"/>
        </w:rPr>
        <w:t>պայմանագրերի դեպքում, հաշվի առնելով այն, որ սպառողի համաձայնությունը  պայմանագրի պայմաններին համարվում է տրված կայքէջ մուտք գործելու կամ այն օգտագործելու փաստերի ուժով, նման պայմանագրերի վավերականությունը հաճախ վիճարկվում է, քանի որ հաճախորդն իրապես տեղյակ չէ դրանք ընդունելու (դրանց պարտադիր բնույթի) մասին և, հետևաբար, չի տվել իր տեղեկացված համաձայնությունը դրանց վերաբերյալ։ Մատնանշված դիրքորոշումները հաստատվել են նաև</w:t>
      </w:r>
      <w:r>
        <w:rPr>
          <w:rFonts w:ascii="GHEA Grapalat" w:hAnsi="GHEA Grapalat"/>
          <w:color w:val="000000" w:themeColor="text1"/>
        </w:rPr>
        <w:t xml:space="preserve"> </w:t>
      </w:r>
      <w:r w:rsidRPr="007B7114">
        <w:rPr>
          <w:rFonts w:ascii="GHEA Grapalat" w:hAnsi="GHEA Grapalat"/>
          <w:i/>
          <w:iCs/>
          <w:color w:val="000000" w:themeColor="text1"/>
        </w:rPr>
        <w:t xml:space="preserve">Ryanair v </w:t>
      </w:r>
      <w:r w:rsidRPr="007B7114">
        <w:rPr>
          <w:rFonts w:ascii="GHEA Grapalat" w:hAnsi="GHEA Grapalat"/>
          <w:i/>
          <w:iCs/>
          <w:color w:val="000000" w:themeColor="text1"/>
        </w:rPr>
        <w:lastRenderedPageBreak/>
        <w:t>Edreams</w:t>
      </w:r>
      <w:r w:rsidRPr="007B7114">
        <w:rPr>
          <w:rFonts w:ascii="GHEA Grapalat" w:hAnsi="GHEA Grapalat"/>
          <w:color w:val="000000" w:themeColor="text1"/>
        </w:rPr>
        <w:t xml:space="preserve"> (C-630/2012)</w:t>
      </w:r>
      <w:r w:rsidRPr="007B7114">
        <w:rPr>
          <w:rFonts w:ascii="Cambria" w:hAnsi="Cambria" w:cs="Cambria"/>
          <w:color w:val="000000" w:themeColor="text1"/>
        </w:rPr>
        <w:t> </w:t>
      </w:r>
      <w:r w:rsidRPr="007B7114">
        <w:rPr>
          <w:rFonts w:ascii="GHEA Grapalat" w:hAnsi="GHEA Grapalat"/>
          <w:color w:val="000000" w:themeColor="text1"/>
        </w:rPr>
        <w:t>և</w:t>
      </w:r>
      <w:r w:rsidRPr="007B7114">
        <w:rPr>
          <w:rFonts w:ascii="Cambria" w:hAnsi="Cambria" w:cs="Cambria"/>
          <w:color w:val="000000" w:themeColor="text1"/>
        </w:rPr>
        <w:t> </w:t>
      </w:r>
      <w:r w:rsidRPr="007B7114">
        <w:rPr>
          <w:rFonts w:ascii="GHEA Grapalat" w:hAnsi="GHEA Grapalat"/>
          <w:i/>
          <w:iCs/>
          <w:color w:val="000000" w:themeColor="text1"/>
        </w:rPr>
        <w:t>Ryanair v Atrápalo</w:t>
      </w:r>
      <w:r w:rsidRPr="007B7114">
        <w:rPr>
          <w:rFonts w:ascii="GHEA Grapalat" w:hAnsi="GHEA Grapalat"/>
          <w:color w:val="000000" w:themeColor="text1"/>
        </w:rPr>
        <w:t xml:space="preserve"> (C-572/2015), 2012թ.) դատական գործերով,</w:t>
      </w:r>
    </w:p>
    <w:p w:rsidR="002159DA" w:rsidRPr="007B7114" w:rsidRDefault="002159DA" w:rsidP="002159DA">
      <w:pPr>
        <w:pStyle w:val="ListParagraph"/>
        <w:numPr>
          <w:ilvl w:val="0"/>
          <w:numId w:val="21"/>
        </w:numPr>
        <w:spacing w:line="360" w:lineRule="auto"/>
        <w:ind w:firstLine="567"/>
        <w:jc w:val="both"/>
        <w:rPr>
          <w:rFonts w:ascii="GHEA Grapalat" w:hAnsi="GHEA Grapalat"/>
          <w:color w:val="000000" w:themeColor="text1"/>
        </w:rPr>
      </w:pPr>
      <w:r w:rsidRPr="007B7114">
        <w:rPr>
          <w:rFonts w:ascii="GHEA Grapalat" w:hAnsi="GHEA Grapalat"/>
          <w:bCs/>
          <w:color w:val="000000" w:themeColor="text1"/>
        </w:rPr>
        <w:t>Shrink-wrap</w:t>
      </w:r>
      <w:r>
        <w:rPr>
          <w:rFonts w:ascii="GHEA Grapalat" w:hAnsi="GHEA Grapalat"/>
          <w:bCs/>
          <w:color w:val="000000" w:themeColor="text1"/>
        </w:rPr>
        <w:t xml:space="preserve"> </w:t>
      </w:r>
      <w:r w:rsidRPr="007B7114">
        <w:rPr>
          <w:rFonts w:ascii="GHEA Grapalat" w:hAnsi="GHEA Grapalat"/>
          <w:color w:val="000000" w:themeColor="text1"/>
        </w:rPr>
        <w:t>պայմանագրեր</w:t>
      </w:r>
      <w:r>
        <w:rPr>
          <w:rFonts w:ascii="GHEA Grapalat" w:hAnsi="GHEA Grapalat"/>
          <w:color w:val="000000" w:themeColor="text1"/>
        </w:rPr>
        <w:t>ն</w:t>
      </w:r>
      <w:r w:rsidRPr="007B7114">
        <w:rPr>
          <w:rFonts w:ascii="GHEA Grapalat" w:hAnsi="GHEA Grapalat"/>
          <w:color w:val="000000" w:themeColor="text1"/>
        </w:rPr>
        <w:t xml:space="preserve"> իսպանական օրենսդրությամբ վավերական և իրագործելի չեն, քանի որ դրանց դեպքում սպառող</w:t>
      </w:r>
      <w:r>
        <w:rPr>
          <w:rFonts w:ascii="GHEA Grapalat" w:hAnsi="GHEA Grapalat"/>
          <w:color w:val="000000" w:themeColor="text1"/>
        </w:rPr>
        <w:t>ն</w:t>
      </w:r>
      <w:r w:rsidRPr="007B7114">
        <w:rPr>
          <w:rFonts w:ascii="GHEA Grapalat" w:hAnsi="GHEA Grapalat"/>
          <w:color w:val="000000" w:themeColor="text1"/>
        </w:rPr>
        <w:t xml:space="preserve"> իր համաձայնությունը տալիս է պայմանագրի կնքման վերաբերյալ, այլ ոչ թե Ընդհանուր Կարգի և Պայմանների վերաբերյալ, որոնք տրամադրվում են պայմանագրի կնքման պահին։ Այդ է պատճառը, որ այսպիսի պայմանագրերը ևս դատական կարգով վիճարկվում են</w:t>
      </w:r>
      <w:r w:rsidRPr="007B7114">
        <w:rPr>
          <w:rStyle w:val="FootnoteReference"/>
          <w:rFonts w:ascii="GHEA Grapalat" w:hAnsi="GHEA Grapalat"/>
          <w:color w:val="000000" w:themeColor="text1"/>
        </w:rPr>
        <w:footnoteReference w:id="15"/>
      </w:r>
      <w:r w:rsidRPr="007B7114">
        <w:rPr>
          <w:rFonts w:ascii="GHEA Grapalat" w:hAnsi="GHEA Grapalat"/>
          <w:color w:val="000000" w:themeColor="text1"/>
        </w:rPr>
        <w:t>։</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b/>
          <w:bCs/>
          <w:color w:val="000000" w:themeColor="text1"/>
        </w:rPr>
        <w:t>- Բելգիայի Թագավորության</w:t>
      </w:r>
      <w:r w:rsidRPr="007B7114">
        <w:rPr>
          <w:rStyle w:val="FootnoteReference"/>
          <w:rFonts w:ascii="GHEA Grapalat" w:hAnsi="GHEA Grapalat"/>
          <w:color w:val="000000" w:themeColor="text1"/>
        </w:rPr>
        <w:footnoteReference w:id="16"/>
      </w:r>
      <w:r>
        <w:rPr>
          <w:rFonts w:ascii="GHEA Grapalat" w:hAnsi="GHEA Grapalat"/>
          <w:b/>
          <w:bCs/>
          <w:color w:val="000000" w:themeColor="text1"/>
        </w:rPr>
        <w:t xml:space="preserve"> </w:t>
      </w:r>
      <w:r w:rsidRPr="007B7114">
        <w:rPr>
          <w:rFonts w:ascii="GHEA Grapalat" w:hAnsi="GHEA Grapalat"/>
          <w:color w:val="000000" w:themeColor="text1"/>
        </w:rPr>
        <w:t>քաղաքացիական օրենսգրքով և «Տնտեսական իրավունքի մասին» օրենքով էլեկտրոնային եղանակով</w:t>
      </w:r>
      <w:r>
        <w:rPr>
          <w:rFonts w:ascii="GHEA Grapalat" w:hAnsi="GHEA Grapalat"/>
          <w:color w:val="000000" w:themeColor="text1"/>
        </w:rPr>
        <w:t xml:space="preserve"> </w:t>
      </w:r>
      <w:r w:rsidRPr="007B7114">
        <w:rPr>
          <w:rFonts w:ascii="GHEA Grapalat" w:hAnsi="GHEA Grapalat"/>
          <w:color w:val="000000" w:themeColor="text1"/>
        </w:rPr>
        <w:t xml:space="preserve">պայմանագրերի կնքման կապակցությամբ առկա </w:t>
      </w:r>
      <w:r>
        <w:rPr>
          <w:rFonts w:ascii="GHEA Grapalat" w:hAnsi="GHEA Grapalat"/>
          <w:color w:val="000000" w:themeColor="text1"/>
        </w:rPr>
        <w:t>է</w:t>
      </w:r>
      <w:r w:rsidRPr="007B7114">
        <w:rPr>
          <w:rFonts w:ascii="GHEA Grapalat" w:hAnsi="GHEA Grapalat"/>
          <w:color w:val="000000" w:themeColor="text1"/>
        </w:rPr>
        <w:t xml:space="preserve"> հետևյալ իրավիճակը.</w:t>
      </w:r>
    </w:p>
    <w:p w:rsidR="002159DA" w:rsidRPr="007B7114" w:rsidRDefault="002159DA" w:rsidP="002159DA">
      <w:pPr>
        <w:pStyle w:val="ListParagraph"/>
        <w:numPr>
          <w:ilvl w:val="0"/>
          <w:numId w:val="17"/>
        </w:numPr>
        <w:spacing w:line="360" w:lineRule="auto"/>
        <w:ind w:left="851" w:firstLine="567"/>
        <w:jc w:val="both"/>
        <w:rPr>
          <w:rFonts w:ascii="GHEA Grapalat" w:hAnsi="GHEA Grapalat"/>
          <w:color w:val="000000" w:themeColor="text1"/>
        </w:rPr>
      </w:pPr>
      <w:r w:rsidRPr="007B7114">
        <w:rPr>
          <w:rFonts w:ascii="GHEA Grapalat" w:hAnsi="GHEA Grapalat"/>
          <w:color w:val="000000" w:themeColor="text1"/>
        </w:rPr>
        <w:t>էլեկտրոնային եղանակով</w:t>
      </w:r>
      <w:r>
        <w:rPr>
          <w:rFonts w:ascii="GHEA Grapalat" w:hAnsi="GHEA Grapalat"/>
          <w:color w:val="000000" w:themeColor="text1"/>
        </w:rPr>
        <w:t xml:space="preserve"> </w:t>
      </w:r>
      <w:r w:rsidRPr="007B7114">
        <w:rPr>
          <w:rFonts w:ascii="GHEA Grapalat" w:hAnsi="GHEA Grapalat"/>
          <w:color w:val="000000" w:themeColor="text1"/>
        </w:rPr>
        <w:t>պայմանագրի կնքման ձևի կապակցությամբ օրենսդրությամբ հատուկ պահանջ առկա չեն։ Միակ պահանջը, ըստ էության, հանգում է նրան, որ այդպիսի պայմանագրերի կնքումը հնարավոր է իրականացնել էլեկտրոնային փոստով կամ ցանկացած այլ հաղորդակցության միջոցով, որով հնարավոր է ամրագրել տեղեկատվություն (նյութական կրիչ),</w:t>
      </w:r>
    </w:p>
    <w:p w:rsidR="002159DA" w:rsidRPr="007B7114" w:rsidRDefault="002159DA" w:rsidP="002159DA">
      <w:pPr>
        <w:pStyle w:val="ListParagraph"/>
        <w:numPr>
          <w:ilvl w:val="0"/>
          <w:numId w:val="17"/>
        </w:numPr>
        <w:spacing w:line="360" w:lineRule="auto"/>
        <w:ind w:left="851" w:firstLine="567"/>
        <w:jc w:val="both"/>
        <w:rPr>
          <w:rFonts w:ascii="GHEA Grapalat" w:hAnsi="GHEA Grapalat"/>
          <w:color w:val="000000" w:themeColor="text1"/>
        </w:rPr>
      </w:pPr>
      <w:r w:rsidRPr="007B7114">
        <w:rPr>
          <w:rFonts w:ascii="GHEA Grapalat" w:hAnsi="GHEA Grapalat"/>
          <w:color w:val="000000" w:themeColor="text1"/>
        </w:rPr>
        <w:t>էլեկտրոնային եղանակով</w:t>
      </w:r>
      <w:r>
        <w:rPr>
          <w:rFonts w:ascii="GHEA Grapalat" w:hAnsi="GHEA Grapalat"/>
          <w:color w:val="000000" w:themeColor="text1"/>
        </w:rPr>
        <w:t xml:space="preserve"> </w:t>
      </w:r>
      <w:r w:rsidRPr="007B7114">
        <w:rPr>
          <w:rFonts w:ascii="GHEA Grapalat" w:hAnsi="GHEA Grapalat"/>
          <w:color w:val="000000" w:themeColor="text1"/>
        </w:rPr>
        <w:t xml:space="preserve">կնքվող պայմանագրերը կարող են կիրառելի և իրագործելի լինել, եթե դրանք պատշաճորեն ներկայացվել են սպառողի ուշադրությանը և, որպես կանոն, կիրառելի են սպառողի կողմից ընդունվելուց հետո։ Ուստի, պետք է առկա լինի հստակ փաստ, որ սպառողն ունեցել է արդյունավետ և ողջամիտ տեղեկացվածություն պայմանագրի պայմանների վերաբերյալ։ Ընդ որում, սպառողի տեղեկացվածությունը պետք է առկա լինի մինչև պայմանագրի կնքումը, և եթե առևտուր իրականացնողը չի ապահովում սպառողի </w:t>
      </w:r>
      <w:r w:rsidRPr="007B7114">
        <w:rPr>
          <w:rFonts w:ascii="GHEA Grapalat" w:hAnsi="GHEA Grapalat"/>
          <w:color w:val="000000" w:themeColor="text1"/>
        </w:rPr>
        <w:lastRenderedPageBreak/>
        <w:t>ծանոթացման հնարավորությունը, ապա այդպիսի պայմանները չեն կարող համարվել կնքված կամ համաձայնեցված,</w:t>
      </w:r>
    </w:p>
    <w:p w:rsidR="002159DA" w:rsidRPr="007B7114" w:rsidRDefault="002159DA" w:rsidP="002159DA">
      <w:pPr>
        <w:pStyle w:val="ListParagraph"/>
        <w:numPr>
          <w:ilvl w:val="0"/>
          <w:numId w:val="17"/>
        </w:numPr>
        <w:spacing w:line="360" w:lineRule="auto"/>
        <w:ind w:left="851" w:firstLine="567"/>
        <w:jc w:val="both"/>
        <w:rPr>
          <w:rFonts w:ascii="GHEA Grapalat" w:hAnsi="GHEA Grapalat"/>
          <w:color w:val="000000" w:themeColor="text1"/>
        </w:rPr>
      </w:pPr>
      <w:r w:rsidRPr="007B7114">
        <w:rPr>
          <w:rFonts w:ascii="GHEA Grapalat" w:hAnsi="GHEA Grapalat"/>
          <w:color w:val="000000" w:themeColor="text1"/>
        </w:rPr>
        <w:t>հաճախորդը պատվերը կազմելիս պետք է բացահայտ կերպով ընդունի և ճանաչի վճարում կատարելու իր պարտականությունը։ Ուստի, եթե պատվերի տեղադրումը իրականացվում է որևէ հրահանգ սեղմելու կամ նմանատիպ այլ եղանակով, ապա պետք է նման հրահանգը պետք է պարունակի «Պատվեր տեղադրում վճարելու պարտականությամբ» կամ համանման այլ գրառում,</w:t>
      </w:r>
    </w:p>
    <w:p w:rsidR="002159DA" w:rsidRPr="007B7114" w:rsidRDefault="002159DA" w:rsidP="002159DA">
      <w:pPr>
        <w:pStyle w:val="ListParagraph"/>
        <w:numPr>
          <w:ilvl w:val="0"/>
          <w:numId w:val="17"/>
        </w:numPr>
        <w:spacing w:line="360" w:lineRule="auto"/>
        <w:ind w:left="851" w:firstLine="567"/>
        <w:jc w:val="both"/>
        <w:rPr>
          <w:rFonts w:ascii="GHEA Grapalat" w:hAnsi="GHEA Grapalat"/>
          <w:color w:val="000000" w:themeColor="text1"/>
        </w:rPr>
      </w:pPr>
      <w:r w:rsidRPr="007B7114">
        <w:rPr>
          <w:rFonts w:ascii="GHEA Grapalat" w:hAnsi="GHEA Grapalat"/>
          <w:color w:val="000000" w:themeColor="text1"/>
        </w:rPr>
        <w:t>Վերոգրյալ պահանջների չպահպանման դեպքում համապատասխան</w:t>
      </w:r>
      <w:r>
        <w:rPr>
          <w:rFonts w:ascii="GHEA Grapalat" w:hAnsi="GHEA Grapalat"/>
          <w:color w:val="000000" w:themeColor="text1"/>
        </w:rPr>
        <w:t xml:space="preserve"> </w:t>
      </w:r>
      <w:r w:rsidRPr="007B7114">
        <w:rPr>
          <w:rFonts w:ascii="GHEA Grapalat" w:hAnsi="GHEA Grapalat"/>
          <w:color w:val="000000" w:themeColor="text1"/>
        </w:rPr>
        <w:t>պայմանները հաճախորդի համար չեն կարող լինել պարտավորեցնող։</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b/>
          <w:bCs/>
          <w:color w:val="000000" w:themeColor="text1"/>
        </w:rPr>
        <w:t xml:space="preserve">- Շվեյցարիայի Կոնֆեդերացիայում </w:t>
      </w:r>
      <w:r w:rsidRPr="007B7114">
        <w:rPr>
          <w:rFonts w:ascii="GHEA Grapalat" w:hAnsi="GHEA Grapalat"/>
          <w:color w:val="000000" w:themeColor="text1"/>
        </w:rPr>
        <w:t>պայմանագրերը կարող են կնքվել էլեկտրոնային եղանակով, եթե կողմերը տվել են իրենց փոխադարձ համաձայնությունը պայմանագրի էական պայմանների վերաբերյալ։ Պայմանագրին և դրա անբաժանելի մաս կազմող Ընդհանուր Կարգի և Պայմանների վերաբերյալ համաձայնությունը կարող է հաստատվել և փաստարկվել Click-wrap պայմանագրերի եղանակով։</w:t>
      </w:r>
    </w:p>
    <w:p w:rsidR="002159DA" w:rsidRPr="007B7114" w:rsidRDefault="002159DA" w:rsidP="002159DA">
      <w:pPr>
        <w:spacing w:line="360" w:lineRule="auto"/>
        <w:ind w:firstLine="567"/>
        <w:jc w:val="both"/>
        <w:rPr>
          <w:rFonts w:ascii="GHEA Grapalat" w:hAnsi="GHEA Grapalat"/>
          <w:color w:val="000000" w:themeColor="text1"/>
        </w:rPr>
      </w:pPr>
      <w:r>
        <w:rPr>
          <w:rFonts w:ascii="GHEA Grapalat" w:hAnsi="GHEA Grapalat"/>
          <w:color w:val="000000" w:themeColor="text1"/>
        </w:rPr>
        <w:t>Միաժամանակ</w:t>
      </w:r>
      <w:r w:rsidRPr="007B7114">
        <w:rPr>
          <w:rFonts w:ascii="GHEA Grapalat" w:hAnsi="GHEA Grapalat"/>
          <w:color w:val="000000" w:themeColor="text1"/>
        </w:rPr>
        <w:t>, թե՛ օրենքով, թե՛ դատական պրակտիկայում հստակ չէ, Browse-wrap պայմանագրերի կիրառման հնարավորությունը։ Ուստի, այդ պայմանագրերի վավերականությունը պետք է գնահատվի անհատապես՝ հաշվի առնելով.</w:t>
      </w:r>
    </w:p>
    <w:p w:rsidR="002159DA" w:rsidRPr="007B7114" w:rsidRDefault="002159DA" w:rsidP="002159DA">
      <w:pPr>
        <w:pStyle w:val="ListParagraph"/>
        <w:numPr>
          <w:ilvl w:val="0"/>
          <w:numId w:val="22"/>
        </w:numPr>
        <w:spacing w:line="360" w:lineRule="auto"/>
        <w:ind w:left="851" w:firstLine="567"/>
        <w:jc w:val="both"/>
        <w:rPr>
          <w:rFonts w:ascii="GHEA Grapalat" w:hAnsi="GHEA Grapalat"/>
          <w:color w:val="000000" w:themeColor="text1"/>
        </w:rPr>
      </w:pPr>
      <w:r w:rsidRPr="007B7114">
        <w:rPr>
          <w:rFonts w:ascii="GHEA Grapalat" w:hAnsi="GHEA Grapalat"/>
          <w:color w:val="000000" w:themeColor="text1"/>
        </w:rPr>
        <w:t>խնդրո առարկա կայքէջի պատրաստման և մշակման առանձնահատկությունները,</w:t>
      </w:r>
    </w:p>
    <w:p w:rsidR="002159DA" w:rsidRPr="007B7114" w:rsidRDefault="002159DA" w:rsidP="002159DA">
      <w:pPr>
        <w:pStyle w:val="ListParagraph"/>
        <w:numPr>
          <w:ilvl w:val="0"/>
          <w:numId w:val="22"/>
        </w:numPr>
        <w:spacing w:line="360" w:lineRule="auto"/>
        <w:ind w:left="851" w:firstLine="567"/>
        <w:jc w:val="both"/>
        <w:rPr>
          <w:rFonts w:ascii="GHEA Grapalat" w:hAnsi="GHEA Grapalat"/>
          <w:color w:val="000000" w:themeColor="text1"/>
        </w:rPr>
      </w:pPr>
      <w:r w:rsidRPr="007B7114">
        <w:rPr>
          <w:rFonts w:ascii="GHEA Grapalat" w:hAnsi="GHEA Grapalat"/>
          <w:color w:val="000000" w:themeColor="text1"/>
        </w:rPr>
        <w:t>փոխադարձ համաձայնության սկզբունքները ընդհանուր պայմանագրային իրավունքում։</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 xml:space="preserve">Այդ է պատճառը, որ շվեցարական իրավունքում հստակ չէ, թե արդյոք ապրանքի ցուցադրումը կայքում իրենից ենթադրում է առաջարկ՝ օֆերտա։ Գերակայող մոտեցումներին համաձայն՝ ապրանքի ցուցադրումը կայքում իրենից չի ենթադրում օֆերտա, այլ դրանով ներկայացվում են միայն որոշակի ապրանքներ։ Հետևաբար, սպառողն ինքն է օֆերտա անում հաստատելով վերջնական պատվերը կամ սեղմելով համապատասխան հրահանգը։ Միայն որոշակի հանգամանքների առկայության դեպքում է, </w:t>
      </w:r>
      <w:r w:rsidRPr="007B7114">
        <w:rPr>
          <w:rFonts w:ascii="GHEA Grapalat" w:hAnsi="GHEA Grapalat"/>
          <w:color w:val="000000" w:themeColor="text1"/>
        </w:rPr>
        <w:lastRenderedPageBreak/>
        <w:t>որ կայքում որոշակի ապրանքի ցուցադրությունը կարող է համարվել պարտավորեցնող օֆերտա, այն է՝ եթե այդպիսի ցուցադրումը ներառում է տվյալ պայմանագրին բնորոշ բոլոր էական պայմանները, ներառյալ՝ գինը այնպիսի ձևով, որ սպառողը կարող է ընդունել այն՝ համապատասխան հրահանգը սեղմելով</w:t>
      </w:r>
      <w:r w:rsidRPr="007B7114">
        <w:rPr>
          <w:rStyle w:val="FootnoteReference"/>
          <w:rFonts w:ascii="GHEA Grapalat" w:hAnsi="GHEA Grapalat"/>
          <w:bCs/>
          <w:color w:val="000000" w:themeColor="text1"/>
        </w:rPr>
        <w:footnoteReference w:id="17"/>
      </w:r>
      <w:r w:rsidRPr="007B7114">
        <w:rPr>
          <w:rFonts w:ascii="GHEA Grapalat" w:hAnsi="GHEA Grapalat"/>
          <w:color w:val="000000" w:themeColor="text1"/>
        </w:rPr>
        <w:t>։</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b/>
          <w:bCs/>
          <w:color w:val="000000" w:themeColor="text1"/>
        </w:rPr>
        <w:t xml:space="preserve">- Դանիայի Թագավորությունում </w:t>
      </w:r>
      <w:r w:rsidRPr="007B7114">
        <w:rPr>
          <w:rFonts w:ascii="GHEA Grapalat" w:hAnsi="GHEA Grapalat"/>
          <w:color w:val="000000" w:themeColor="text1"/>
        </w:rPr>
        <w:t>ևս որոշակի հստակ պահանջներ առկա չեն էլեկտրոնային կարգով կնքվող պայմանագրերի կնքման ձևի և կարգի վերաբերյալ, ուստի պայմանագրերի կնքում</w:t>
      </w:r>
      <w:r>
        <w:rPr>
          <w:rFonts w:ascii="GHEA Grapalat" w:hAnsi="GHEA Grapalat"/>
          <w:color w:val="000000" w:themeColor="text1"/>
        </w:rPr>
        <w:t>ն</w:t>
      </w:r>
      <w:r w:rsidRPr="007B7114">
        <w:rPr>
          <w:rFonts w:ascii="GHEA Grapalat" w:hAnsi="GHEA Grapalat"/>
          <w:color w:val="000000" w:themeColor="text1"/>
        </w:rPr>
        <w:t xml:space="preserve"> էլեկտրոնային եղանակով, այդ թվում՝ էլեկտրոնային փոստով, իրավաչափ է և վավեր (մատնանշված հարցերը կարգավորում են «Հաճախորդների պայմանագրերի մասին» դանիական ակտի 8-րդ, 12-րդ և 14-րդ բաժիններով)։ Դանիական օրենսդրական պրակտիկայի համաձայն՝ ապրանքների կամ ծառայությունների ցուցադրման նպատակով կայքում պայմանագրի պայմանների, այդ թվում՝ Ընդհանուր Կարգի և Պայմանների առկայությունը իրենից չի ենթադրում հաճախորդներին ուղղված օֆերտա, այլ՝ օֆերտա անելու հրավեր, իսկ առևտուր իրականացնող իրավաբանական անձի համար հաճախորդի կողմից պատվերի տեղադրումը չի կարող լինել պարտավորեցնող, քանի դեռ հաճախորդի առաջարկը գրավոր ձևով չի ընդունվել։ Ընդ որում, համապատասխան կայքը պետք է պարունակի հստակ </w:t>
      </w:r>
      <w:r>
        <w:rPr>
          <w:rFonts w:ascii="GHEA Grapalat" w:hAnsi="GHEA Grapalat"/>
          <w:color w:val="000000" w:themeColor="text1"/>
        </w:rPr>
        <w:t>տեղեկատվություն</w:t>
      </w:r>
      <w:r w:rsidRPr="007B7114">
        <w:rPr>
          <w:rFonts w:ascii="GHEA Grapalat" w:hAnsi="GHEA Grapalat"/>
          <w:color w:val="000000" w:themeColor="text1"/>
        </w:rPr>
        <w:t xml:space="preserve"> առ այն, որ ապրանքների և ծառայությունների ցուցադրումը կամ դրանց մասին տեղեկության զետեղումը չի հանդիսանում առաջարկ, որը պետք է ընդունվի սպառողի կողմից։ Համապատասխանաբար, տեղեկատվությունը պետք է ներկայացվի այնպիսի ձևով, որ ակնհայտ լինի, որ հաճախորդի կողմից պատվերի տեղադրումն իրենից ներկայացնում է առևտուր իրականացնողին ուղղված առաջարկ։</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 xml:space="preserve">Միևնույն ժամանակ, դանիական իրավունքով Browse-wrap և Shrink-wrap պայմանագրերը կարող են դատական կարգով անվավեր ճանաչվել, եթե դրանցում պարունակվում են «անսովոր», «չսպասված» կամ «ծանրաբեռնող» դրույթներ։ Իսկ Click-wrap պայմանագրերի դեպքում «անսովոր», «չսպասված» կամ «ծանրաբեռնող» </w:t>
      </w:r>
      <w:r w:rsidRPr="007B7114">
        <w:rPr>
          <w:rFonts w:ascii="GHEA Grapalat" w:hAnsi="GHEA Grapalat"/>
          <w:color w:val="000000" w:themeColor="text1"/>
        </w:rPr>
        <w:lastRenderedPageBreak/>
        <w:t>պայմանների մասին վերապահումները պետք է հատուկ ընդգծված լինեն, իսկ առևտուր իրականացնողը պետք է ապահովի, որ դրանք ընդունող կողմը՝ սպառողը, լիարժեքորեն իրազեկված լինի դրանց մասին</w:t>
      </w:r>
      <w:r w:rsidRPr="007B7114">
        <w:rPr>
          <w:rStyle w:val="FootnoteReference"/>
          <w:rFonts w:ascii="GHEA Grapalat" w:hAnsi="GHEA Grapalat"/>
          <w:bCs/>
          <w:color w:val="000000" w:themeColor="text1"/>
        </w:rPr>
        <w:footnoteReference w:id="18"/>
      </w:r>
      <w:r w:rsidRPr="007B7114">
        <w:rPr>
          <w:rFonts w:ascii="GHEA Grapalat" w:hAnsi="GHEA Grapalat"/>
          <w:color w:val="000000" w:themeColor="text1"/>
        </w:rPr>
        <w:t>։</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b/>
          <w:bCs/>
          <w:color w:val="000000" w:themeColor="text1"/>
        </w:rPr>
        <w:t xml:space="preserve">- Ճապոնիայում </w:t>
      </w:r>
      <w:r w:rsidRPr="007B7114">
        <w:rPr>
          <w:rFonts w:ascii="GHEA Grapalat" w:hAnsi="GHEA Grapalat"/>
          <w:color w:val="000000" w:themeColor="text1"/>
        </w:rPr>
        <w:t>էլեկտրոնային եղանակով</w:t>
      </w:r>
      <w:r>
        <w:rPr>
          <w:rFonts w:ascii="GHEA Grapalat" w:hAnsi="GHEA Grapalat"/>
          <w:color w:val="000000" w:themeColor="text1"/>
        </w:rPr>
        <w:t xml:space="preserve"> </w:t>
      </w:r>
      <w:r w:rsidRPr="007B7114">
        <w:rPr>
          <w:rFonts w:ascii="GHEA Grapalat" w:hAnsi="GHEA Grapalat"/>
          <w:color w:val="000000" w:themeColor="text1"/>
        </w:rPr>
        <w:t xml:space="preserve">պայմանագրերի կնքման կապակցությամբ կիրառվում է պայմանագրի ազատության սկզբունքը։ </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Միաժամանակ, ինտերնետային կայքը մշակելիս այն շահագործող անձը պարտավոր է պահպանել հետևյալ պահանջները, մասնավորապես.</w:t>
      </w:r>
    </w:p>
    <w:p w:rsidR="002159DA" w:rsidRPr="007B7114" w:rsidRDefault="002159DA" w:rsidP="002159DA">
      <w:pPr>
        <w:pStyle w:val="ListParagraph"/>
        <w:numPr>
          <w:ilvl w:val="0"/>
          <w:numId w:val="18"/>
        </w:numPr>
        <w:spacing w:line="360" w:lineRule="auto"/>
        <w:ind w:left="851" w:firstLine="567"/>
        <w:jc w:val="both"/>
        <w:rPr>
          <w:rFonts w:ascii="GHEA Grapalat" w:hAnsi="GHEA Grapalat"/>
          <w:color w:val="000000" w:themeColor="text1"/>
        </w:rPr>
      </w:pPr>
      <w:r w:rsidRPr="007B7114">
        <w:rPr>
          <w:rFonts w:ascii="GHEA Grapalat" w:hAnsi="GHEA Grapalat"/>
          <w:color w:val="000000" w:themeColor="text1"/>
        </w:rPr>
        <w:t>հաճախորդները պետք է պարզ և դյուրըմբռնելի կերպով ընկալելի լինի, որ որոշակի փոխանցման/հաստատման հրահանգը սեղմելով նրանք անում են օֆերտա,</w:t>
      </w:r>
    </w:p>
    <w:p w:rsidR="002159DA" w:rsidRPr="007B7114" w:rsidRDefault="002159DA" w:rsidP="002159DA">
      <w:pPr>
        <w:pStyle w:val="ListParagraph"/>
        <w:numPr>
          <w:ilvl w:val="0"/>
          <w:numId w:val="18"/>
        </w:numPr>
        <w:spacing w:line="360" w:lineRule="auto"/>
        <w:ind w:left="851" w:firstLine="567"/>
        <w:jc w:val="both"/>
        <w:rPr>
          <w:rFonts w:ascii="GHEA Grapalat" w:hAnsi="GHEA Grapalat"/>
          <w:color w:val="000000" w:themeColor="text1"/>
        </w:rPr>
      </w:pPr>
      <w:r w:rsidRPr="007B7114">
        <w:rPr>
          <w:rFonts w:ascii="GHEA Grapalat" w:hAnsi="GHEA Grapalat"/>
          <w:color w:val="000000" w:themeColor="text1"/>
        </w:rPr>
        <w:t>հաճախորդի առաջարկի հստակ բովանդակությունները և պայմանները պետք է որոշակիորեն և հասանելի ձևով նկարագրված/ցուցադրված լինեն</w:t>
      </w:r>
      <w:r>
        <w:rPr>
          <w:rFonts w:ascii="GHEA Grapalat" w:hAnsi="GHEA Grapalat"/>
          <w:color w:val="000000" w:themeColor="text1"/>
        </w:rPr>
        <w:t>,</w:t>
      </w:r>
      <w:r w:rsidRPr="007B7114">
        <w:rPr>
          <w:rFonts w:ascii="GHEA Grapalat" w:hAnsi="GHEA Grapalat"/>
          <w:color w:val="000000" w:themeColor="text1"/>
        </w:rPr>
        <w:t xml:space="preserve"> և հաճախորդները, նախքան վերջնական պատվերի </w:t>
      </w:r>
      <w:r>
        <w:rPr>
          <w:rFonts w:ascii="GHEA Grapalat" w:hAnsi="GHEA Grapalat"/>
          <w:color w:val="000000" w:themeColor="text1"/>
        </w:rPr>
        <w:t>հաստատումը</w:t>
      </w:r>
      <w:r w:rsidRPr="007B7114">
        <w:rPr>
          <w:rFonts w:ascii="GHEA Grapalat" w:hAnsi="GHEA Grapalat"/>
          <w:color w:val="000000" w:themeColor="text1"/>
        </w:rPr>
        <w:t xml:space="preserve"> և տեղադրումը, պետք է հնարավորություն ունենան դրանք ուսումնասիրելու (Էլեկտրոնային Առևտրի և Տեղեկատվության Գույքային Առևտրի վերաբերյալ Իմպերատիվ Ուղեցույցներ, Բաժին I-1-2)։</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Ճապոնիայում հատուկ կարգավորումներ առկա են նաև Shrink-wrap, Browse-wrap, Click-wrap պայմանագրերի կապակցությամբ։ Այսպես՝</w:t>
      </w:r>
    </w:p>
    <w:p w:rsidR="002159DA" w:rsidRPr="007B7114" w:rsidRDefault="002159DA" w:rsidP="002159DA">
      <w:pPr>
        <w:pStyle w:val="ListParagraph"/>
        <w:numPr>
          <w:ilvl w:val="0"/>
          <w:numId w:val="19"/>
        </w:numPr>
        <w:spacing w:line="360" w:lineRule="auto"/>
        <w:ind w:left="851" w:firstLine="567"/>
        <w:jc w:val="both"/>
        <w:rPr>
          <w:rFonts w:ascii="GHEA Grapalat" w:hAnsi="GHEA Grapalat"/>
          <w:color w:val="000000" w:themeColor="text1"/>
        </w:rPr>
      </w:pPr>
      <w:r w:rsidRPr="007B7114">
        <w:rPr>
          <w:rFonts w:ascii="GHEA Grapalat" w:hAnsi="GHEA Grapalat"/>
          <w:color w:val="000000" w:themeColor="text1"/>
        </w:rPr>
        <w:t>Click-wrap պայմանագրերի կնքումը վավեր է և պարտավորեցնող, եթե օգտատերը, մինչև համապատասխան</w:t>
      </w:r>
      <w:r>
        <w:rPr>
          <w:rFonts w:ascii="GHEA Grapalat" w:hAnsi="GHEA Grapalat"/>
          <w:color w:val="000000" w:themeColor="text1"/>
        </w:rPr>
        <w:t xml:space="preserve"> </w:t>
      </w:r>
      <w:r w:rsidRPr="007B7114">
        <w:rPr>
          <w:rFonts w:ascii="GHEA Grapalat" w:hAnsi="GHEA Grapalat"/>
          <w:color w:val="000000" w:themeColor="text1"/>
        </w:rPr>
        <w:t>հրահանգի</w:t>
      </w:r>
      <w:r>
        <w:rPr>
          <w:rFonts w:ascii="GHEA Grapalat" w:hAnsi="GHEA Grapalat"/>
          <w:color w:val="000000" w:themeColor="text1"/>
        </w:rPr>
        <w:t xml:space="preserve"> </w:t>
      </w:r>
      <w:r w:rsidRPr="007B7114">
        <w:rPr>
          <w:rFonts w:ascii="GHEA Grapalat" w:hAnsi="GHEA Grapalat"/>
          <w:color w:val="000000" w:themeColor="text1"/>
        </w:rPr>
        <w:t>սեղմումը, իրազեկված է եղել կնքվելիք պայմանագրի պայմանների և բովանդակության վերաբերյալ։ Ի լրումն վերոգրյալի՝ պայմանագիրը համարվում է կնքված, եթե օգտատերը սեղմում է համապատասխան հրահանգը այդ պայմանագիրը կնքելու մտադրությամբ։</w:t>
      </w:r>
    </w:p>
    <w:p w:rsidR="002159DA" w:rsidRPr="007B7114" w:rsidRDefault="002159DA" w:rsidP="002159DA">
      <w:pPr>
        <w:pStyle w:val="ListParagraph"/>
        <w:numPr>
          <w:ilvl w:val="0"/>
          <w:numId w:val="19"/>
        </w:numPr>
        <w:spacing w:line="360" w:lineRule="auto"/>
        <w:ind w:left="851" w:firstLine="567"/>
        <w:jc w:val="both"/>
        <w:rPr>
          <w:rFonts w:ascii="GHEA Grapalat" w:hAnsi="GHEA Grapalat"/>
          <w:color w:val="000000" w:themeColor="text1"/>
        </w:rPr>
      </w:pPr>
      <w:r w:rsidRPr="007B7114">
        <w:rPr>
          <w:rFonts w:ascii="GHEA Grapalat" w:hAnsi="GHEA Grapalat"/>
          <w:color w:val="000000" w:themeColor="text1"/>
        </w:rPr>
        <w:t>Browse-wrap պայմանագրերը չեն համարվում կնքված, եթե միաժամանակ չեն պահպանվել հետևյալ պայմանները.</w:t>
      </w:r>
    </w:p>
    <w:p w:rsidR="002159DA" w:rsidRPr="007B7114" w:rsidRDefault="002159DA" w:rsidP="002159DA">
      <w:pPr>
        <w:pStyle w:val="ListParagraph"/>
        <w:spacing w:line="360" w:lineRule="auto"/>
        <w:ind w:left="1843" w:firstLine="567"/>
        <w:jc w:val="both"/>
        <w:rPr>
          <w:rFonts w:ascii="GHEA Grapalat" w:hAnsi="GHEA Grapalat"/>
          <w:color w:val="000000" w:themeColor="text1"/>
        </w:rPr>
      </w:pPr>
      <w:r w:rsidRPr="007B7114">
        <w:rPr>
          <w:rFonts w:ascii="GHEA Grapalat" w:hAnsi="GHEA Grapalat"/>
          <w:color w:val="000000" w:themeColor="text1"/>
        </w:rPr>
        <w:lastRenderedPageBreak/>
        <w:t>ա) առցանց հարթակը/էկրանը կազմված (կոնֆիգուրացված) է այնպես, որ օգտատերն իրավասու է հղման (link) օգտագործմամբ առցանց պայմանագրի տարբերակի էկրանից փոխադրվել միանգամից վերջնական պայմանագրի տարբերակին,</w:t>
      </w:r>
    </w:p>
    <w:p w:rsidR="002159DA" w:rsidRPr="007B7114" w:rsidRDefault="002159DA" w:rsidP="002159DA">
      <w:pPr>
        <w:pStyle w:val="ListParagraph"/>
        <w:spacing w:line="360" w:lineRule="auto"/>
        <w:ind w:left="1843" w:firstLine="567"/>
        <w:jc w:val="both"/>
        <w:rPr>
          <w:rFonts w:ascii="GHEA Grapalat" w:hAnsi="GHEA Grapalat"/>
          <w:color w:val="000000" w:themeColor="text1"/>
        </w:rPr>
      </w:pPr>
      <w:r w:rsidRPr="007B7114">
        <w:rPr>
          <w:rFonts w:ascii="GHEA Grapalat" w:hAnsi="GHEA Grapalat"/>
          <w:color w:val="000000" w:themeColor="text1"/>
        </w:rPr>
        <w:t>բ) հղումը (link) փնտրելը բարդ է,</w:t>
      </w:r>
    </w:p>
    <w:p w:rsidR="002159DA" w:rsidRPr="007B7114" w:rsidRDefault="002159DA" w:rsidP="002159DA">
      <w:pPr>
        <w:pStyle w:val="ListParagraph"/>
        <w:spacing w:line="360" w:lineRule="auto"/>
        <w:ind w:left="1843" w:firstLine="567"/>
        <w:jc w:val="both"/>
        <w:rPr>
          <w:rFonts w:ascii="GHEA Grapalat" w:hAnsi="GHEA Grapalat"/>
          <w:color w:val="000000" w:themeColor="text1"/>
        </w:rPr>
      </w:pPr>
      <w:r w:rsidRPr="007B7114">
        <w:rPr>
          <w:rFonts w:ascii="GHEA Grapalat" w:hAnsi="GHEA Grapalat"/>
          <w:color w:val="000000" w:themeColor="text1"/>
        </w:rPr>
        <w:t>գ) պայմանագրի և դրա պայմանների վերաբերյալ հաճախորդների համաձայնությունը չի պահանջվում նախքան գնման, պատվերի տեղադրման հրահանգի սեղմումը։</w:t>
      </w:r>
    </w:p>
    <w:p w:rsidR="002159DA" w:rsidRPr="007B7114" w:rsidRDefault="002159DA" w:rsidP="002159DA">
      <w:pPr>
        <w:pStyle w:val="ListParagraph"/>
        <w:numPr>
          <w:ilvl w:val="0"/>
          <w:numId w:val="19"/>
        </w:numPr>
        <w:spacing w:line="360" w:lineRule="auto"/>
        <w:ind w:left="851" w:firstLine="567"/>
        <w:jc w:val="both"/>
        <w:rPr>
          <w:rFonts w:ascii="GHEA Grapalat" w:hAnsi="GHEA Grapalat"/>
          <w:color w:val="000000" w:themeColor="text1"/>
        </w:rPr>
      </w:pPr>
      <w:r w:rsidRPr="007B7114">
        <w:rPr>
          <w:rFonts w:ascii="GHEA Grapalat" w:hAnsi="GHEA Grapalat"/>
          <w:color w:val="000000" w:themeColor="text1"/>
        </w:rPr>
        <w:t>Shrink-wrap պայմանագրերի կապակցությամբ ճապոնական դատարանների մոտեցումները հակասական են և ոչ միանշանակ։ Այսպես, եթե օգտատերը տեղյակ է պայմանագրի պայմանների մասին նախքան էլեկտրոնային եղանակով համաձայնություն տալը, և եթե նա այդպիսի ստորագրությունը կամ կնիքը դնում է պայմանագրի կնքման նպատակով, ուրեմն պայմանագիրը կհամարվի կնքված։ Այսպիսի պարագայում օգտատերն իրավունք չունի վերադարձնել ձեռքբերած ապրանքներն այն հիմքով, որ նա չի տվել համապատասխան համաձայնությունը։ Հնարավոր չարաշահումներից խուսափելու նպատակով ճապոնական պրակտիկան սահմանում է, որ եթե հաճախորդի կողմից էլեկտրոնային կնիքի կամ ստորագրության դնելը կամ վերջինիս անհատականացնող այլ միջոցի կիրառությունը բավարար է և վերաբերելի (ճանաչելի), ապա հաճախորդը չի կարող բերել հակափաստարկ առ այն, որ իրականում պայմանագիրը կնքված չէ, իսկ դրա պայմանները կիրառելի չեն իր նկատմամբ։ Այնուհանդերձ, եթե հաճախորդը կարողանում է ապացուցել, որ ինքն իրապես տեղյակ չէ պայմանագրի բովանդակությանը, ապա այս դեպքում պայմանագիրը կարող է համարվել չկնքված</w:t>
      </w:r>
      <w:r w:rsidRPr="007B7114">
        <w:rPr>
          <w:rStyle w:val="FootnoteReference"/>
          <w:rFonts w:ascii="GHEA Grapalat" w:hAnsi="GHEA Grapalat"/>
          <w:bCs/>
          <w:color w:val="000000" w:themeColor="text1"/>
        </w:rPr>
        <w:footnoteReference w:id="19"/>
      </w:r>
      <w:r w:rsidRPr="007B7114">
        <w:rPr>
          <w:rFonts w:ascii="GHEA Grapalat" w:hAnsi="GHEA Grapalat"/>
          <w:color w:val="000000" w:themeColor="text1"/>
        </w:rPr>
        <w:t>։</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b/>
          <w:bCs/>
          <w:color w:val="000000" w:themeColor="text1"/>
        </w:rPr>
        <w:lastRenderedPageBreak/>
        <w:t xml:space="preserve">- Լեհաստանի Հանրապետությունում </w:t>
      </w:r>
      <w:r w:rsidRPr="007B7114">
        <w:rPr>
          <w:rFonts w:ascii="GHEA Grapalat" w:hAnsi="GHEA Grapalat"/>
          <w:color w:val="000000" w:themeColor="text1"/>
        </w:rPr>
        <w:t>էլեկտրոնային եղանակով</w:t>
      </w:r>
      <w:r w:rsidR="00996AD3">
        <w:rPr>
          <w:rFonts w:ascii="GHEA Grapalat" w:hAnsi="GHEA Grapalat"/>
          <w:color w:val="000000" w:themeColor="text1"/>
        </w:rPr>
        <w:t xml:space="preserve"> </w:t>
      </w:r>
      <w:r w:rsidRPr="007B7114">
        <w:rPr>
          <w:rFonts w:ascii="GHEA Grapalat" w:hAnsi="GHEA Grapalat"/>
          <w:color w:val="000000" w:themeColor="text1"/>
        </w:rPr>
        <w:t xml:space="preserve">պայմանագրեր կնքելիս անձի կամահայտնությունը կարող է հաստատվել ցանկացած ձևով, այդ թվում՝ էլեկտրոնային (Լեհաստանի քաղաքացիական օրենսգրքի 60-րդ հոդված)։ </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Էլեկտրոնային եղանակով</w:t>
      </w:r>
      <w:r w:rsidR="00996AD3">
        <w:rPr>
          <w:rFonts w:ascii="GHEA Grapalat" w:hAnsi="GHEA Grapalat"/>
          <w:color w:val="000000" w:themeColor="text1"/>
        </w:rPr>
        <w:t xml:space="preserve"> </w:t>
      </w:r>
      <w:r w:rsidRPr="007B7114">
        <w:rPr>
          <w:rFonts w:ascii="GHEA Grapalat" w:hAnsi="GHEA Grapalat"/>
          <w:color w:val="000000" w:themeColor="text1"/>
        </w:rPr>
        <w:t>կնքված պայմանագիրը պետք է համապատասխանի հետևյալ երեք չափանիշներին.</w:t>
      </w:r>
    </w:p>
    <w:p w:rsidR="002159DA" w:rsidRPr="007B7114" w:rsidRDefault="002159DA" w:rsidP="002159DA">
      <w:pPr>
        <w:pStyle w:val="ListParagraph"/>
        <w:numPr>
          <w:ilvl w:val="0"/>
          <w:numId w:val="19"/>
        </w:numPr>
        <w:spacing w:line="360" w:lineRule="auto"/>
        <w:ind w:left="851" w:firstLine="567"/>
        <w:jc w:val="both"/>
        <w:rPr>
          <w:rFonts w:ascii="GHEA Grapalat" w:hAnsi="GHEA Grapalat"/>
          <w:color w:val="000000" w:themeColor="text1"/>
        </w:rPr>
      </w:pPr>
      <w:r w:rsidRPr="007B7114">
        <w:rPr>
          <w:rFonts w:ascii="GHEA Grapalat" w:hAnsi="GHEA Grapalat"/>
          <w:color w:val="000000" w:themeColor="text1"/>
        </w:rPr>
        <w:t>սպառողի կամահայտնությունը պետք է հաստատվի այնպիսի ձևով, որը հնարավորություն է տալիս այն հետագայում ստուգելու,</w:t>
      </w:r>
    </w:p>
    <w:p w:rsidR="002159DA" w:rsidRPr="007B7114" w:rsidRDefault="002159DA" w:rsidP="002159DA">
      <w:pPr>
        <w:pStyle w:val="ListParagraph"/>
        <w:numPr>
          <w:ilvl w:val="0"/>
          <w:numId w:val="19"/>
        </w:numPr>
        <w:spacing w:line="360" w:lineRule="auto"/>
        <w:ind w:left="851" w:firstLine="567"/>
        <w:jc w:val="both"/>
        <w:rPr>
          <w:rFonts w:ascii="GHEA Grapalat" w:hAnsi="GHEA Grapalat"/>
          <w:color w:val="000000" w:themeColor="text1"/>
        </w:rPr>
      </w:pPr>
      <w:r w:rsidRPr="007B7114">
        <w:rPr>
          <w:rFonts w:ascii="GHEA Grapalat" w:hAnsi="GHEA Grapalat"/>
          <w:color w:val="000000" w:themeColor="text1"/>
        </w:rPr>
        <w:t>պետք է հնարավոր լինի ծանոթանալ արտահայտված կամահայտնության բովանդակությանը,</w:t>
      </w:r>
    </w:p>
    <w:p w:rsidR="002159DA" w:rsidRPr="007B7114" w:rsidRDefault="002159DA" w:rsidP="002159DA">
      <w:pPr>
        <w:pStyle w:val="ListParagraph"/>
        <w:numPr>
          <w:ilvl w:val="0"/>
          <w:numId w:val="19"/>
        </w:numPr>
        <w:spacing w:line="360" w:lineRule="auto"/>
        <w:ind w:left="851" w:firstLine="567"/>
        <w:jc w:val="both"/>
        <w:rPr>
          <w:rFonts w:ascii="GHEA Grapalat" w:hAnsi="GHEA Grapalat"/>
          <w:color w:val="000000" w:themeColor="text1"/>
        </w:rPr>
      </w:pPr>
      <w:r w:rsidRPr="007B7114">
        <w:rPr>
          <w:rFonts w:ascii="GHEA Grapalat" w:hAnsi="GHEA Grapalat"/>
          <w:color w:val="000000" w:themeColor="text1"/>
        </w:rPr>
        <w:t>պետք է հնարավորություն լինի նույնականացնել մտադրությունների և կամահայտնության հեղինակին:</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Click-wrap, browse-wrap and shrink-wrap պայմանագրերը լեհական իրավունքում իրագործելի են և վավերական, եթե կողմին հնարավորություն է տրվել ամբողջապես ծանոթանալու պայմանագրի պայմաններին</w:t>
      </w:r>
      <w:r w:rsidRPr="007B7114">
        <w:rPr>
          <w:rStyle w:val="FootnoteReference"/>
          <w:rFonts w:ascii="GHEA Grapalat" w:hAnsi="GHEA Grapalat"/>
          <w:bCs/>
          <w:color w:val="000000" w:themeColor="text1"/>
        </w:rPr>
        <w:footnoteReference w:id="20"/>
      </w:r>
      <w:r w:rsidRPr="007B7114">
        <w:rPr>
          <w:rFonts w:ascii="GHEA Grapalat" w:hAnsi="GHEA Grapalat"/>
          <w:color w:val="000000" w:themeColor="text1"/>
        </w:rPr>
        <w:t xml:space="preserve">։ </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b/>
          <w:bCs/>
          <w:color w:val="000000" w:themeColor="text1"/>
        </w:rPr>
        <w:t xml:space="preserve">- Ուկրաինայի Հանրապետությունում </w:t>
      </w:r>
      <w:r w:rsidRPr="007B7114">
        <w:rPr>
          <w:rFonts w:ascii="GHEA Grapalat" w:hAnsi="GHEA Grapalat"/>
          <w:color w:val="000000" w:themeColor="text1"/>
        </w:rPr>
        <w:t>նույնպես «Էլեկտրոնային առևտրի մասին» օրենքի ուժով էլեկտրոնային գործարքների (պայմանագրերի) կնքումը հնարավոր է, եթե համապատասխան ծառայություն մատուցողի, ապրանք մատակարարողի, աշխատանք կատարողի օֆերտան ստացած անձը գրանցվում է տեղեկատվական հեռահաղորդակցության համակարգում. այսինքն, այդպիսի համակարգում գրանցման պահին օֆերտա ուղարկած անձի մատնանշած ձևով (կարճ հաղորդագրության փոխանցմամբ, էլեկտրոնային փոստային նամակի փոխանակմամբ, վարկառուի անձնական կաբինետի մուտք գործելով և այլ միջոցներով)</w:t>
      </w:r>
      <w:r w:rsidRPr="007B7114">
        <w:rPr>
          <w:rStyle w:val="FootnoteReference"/>
          <w:rFonts w:ascii="GHEA Grapalat" w:hAnsi="GHEA Grapalat"/>
          <w:color w:val="000000" w:themeColor="text1"/>
        </w:rPr>
        <w:footnoteReference w:id="21"/>
      </w:r>
      <w:r w:rsidRPr="007B7114">
        <w:rPr>
          <w:rFonts w:ascii="GHEA Grapalat" w:hAnsi="GHEA Grapalat"/>
          <w:color w:val="000000" w:themeColor="text1"/>
        </w:rPr>
        <w:t>։</w:t>
      </w:r>
    </w:p>
    <w:p w:rsidR="002159DA" w:rsidRPr="007B7114" w:rsidRDefault="002159DA" w:rsidP="002159DA">
      <w:pPr>
        <w:pStyle w:val="ListParagraph"/>
        <w:spacing w:line="360" w:lineRule="auto"/>
        <w:ind w:left="0" w:firstLine="567"/>
        <w:jc w:val="both"/>
        <w:rPr>
          <w:rFonts w:ascii="GHEA Grapalat" w:hAnsi="GHEA Grapalat"/>
          <w:b/>
          <w:bCs/>
          <w:color w:val="000000" w:themeColor="text1"/>
          <w:u w:val="single"/>
        </w:rPr>
      </w:pPr>
      <w:r w:rsidRPr="007B7114">
        <w:rPr>
          <w:rFonts w:ascii="GHEA Grapalat" w:hAnsi="GHEA Grapalat" w:cstheme="minorBidi"/>
          <w:color w:val="000000" w:themeColor="text1"/>
          <w:u w:val="single"/>
        </w:rPr>
        <w:t xml:space="preserve">1.3. Միանալու </w:t>
      </w:r>
      <w:r>
        <w:rPr>
          <w:rFonts w:ascii="GHEA Grapalat" w:hAnsi="GHEA Grapalat" w:cstheme="minorBidi"/>
          <w:color w:val="000000" w:themeColor="text1"/>
          <w:u w:val="single"/>
        </w:rPr>
        <w:t>պայմանագրերը</w:t>
      </w:r>
      <w:r w:rsidRPr="007B7114">
        <w:rPr>
          <w:rFonts w:ascii="GHEA Grapalat" w:hAnsi="GHEA Grapalat" w:cstheme="minorBidi"/>
          <w:color w:val="000000" w:themeColor="text1"/>
          <w:u w:val="single"/>
        </w:rPr>
        <w:t xml:space="preserve"> և անարդար պայմանները</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lastRenderedPageBreak/>
        <w:t>Հարկ է ընդգծել,որ Օրենսգիրքը որոշակի երաշխիքներ է նախատեսում նաև միանալու պայմանագրերով միացած կողմերի համար։ Այսպես՝ Օրենսգրքի 444-րդ հոդվածի 2-րդ մասի իմաստով՝ միանալու պայմանագրին միացած կողմը կարող է պահանջել միայն լուծելու կամ փոփոխելու պայմանագիրը բացառապես, եթե առկա են հետևյալ պայմանները.</w:t>
      </w:r>
    </w:p>
    <w:p w:rsidR="002159DA" w:rsidRPr="007B7114" w:rsidRDefault="002159DA" w:rsidP="002159DA">
      <w:pPr>
        <w:pStyle w:val="ListParagraph"/>
        <w:numPr>
          <w:ilvl w:val="0"/>
          <w:numId w:val="28"/>
        </w:numPr>
        <w:spacing w:line="360" w:lineRule="auto"/>
        <w:ind w:left="851" w:firstLine="567"/>
        <w:jc w:val="both"/>
        <w:rPr>
          <w:rFonts w:ascii="GHEA Grapalat" w:hAnsi="GHEA Grapalat"/>
          <w:color w:val="000000" w:themeColor="text1"/>
        </w:rPr>
      </w:pPr>
      <w:r w:rsidRPr="007B7114">
        <w:rPr>
          <w:rFonts w:ascii="GHEA Grapalat" w:hAnsi="GHEA Grapalat"/>
          <w:color w:val="000000" w:themeColor="text1"/>
        </w:rPr>
        <w:t xml:space="preserve">միացող կողմը զրկվում է նման տեսակ պայմանագրերով սովորաբար տրամադրվող իրավունքներից, կամ </w:t>
      </w:r>
    </w:p>
    <w:p w:rsidR="002159DA" w:rsidRPr="007B7114" w:rsidRDefault="002159DA" w:rsidP="002159DA">
      <w:pPr>
        <w:pStyle w:val="ListParagraph"/>
        <w:numPr>
          <w:ilvl w:val="0"/>
          <w:numId w:val="28"/>
        </w:numPr>
        <w:spacing w:line="360" w:lineRule="auto"/>
        <w:ind w:left="851" w:firstLine="567"/>
        <w:jc w:val="both"/>
        <w:rPr>
          <w:rFonts w:ascii="GHEA Grapalat" w:hAnsi="GHEA Grapalat"/>
          <w:color w:val="000000" w:themeColor="text1"/>
        </w:rPr>
      </w:pPr>
      <w:r w:rsidRPr="007B7114">
        <w:rPr>
          <w:rFonts w:ascii="GHEA Grapalat" w:hAnsi="GHEA Grapalat"/>
          <w:color w:val="000000" w:themeColor="text1"/>
        </w:rPr>
        <w:t>բացառվում կամ սահմանափակվում է միանալու պայմանագիրը մշակած կողմի պատասխանատվությունը պարտավորությունները խախտելու համար, կամ</w:t>
      </w:r>
    </w:p>
    <w:p w:rsidR="002159DA" w:rsidRPr="007B7114" w:rsidRDefault="002159DA" w:rsidP="002159DA">
      <w:pPr>
        <w:pStyle w:val="ListParagraph"/>
        <w:numPr>
          <w:ilvl w:val="0"/>
          <w:numId w:val="28"/>
        </w:numPr>
        <w:spacing w:line="360" w:lineRule="auto"/>
        <w:ind w:left="851" w:firstLine="567"/>
        <w:jc w:val="both"/>
        <w:rPr>
          <w:rFonts w:ascii="GHEA Grapalat" w:hAnsi="GHEA Grapalat"/>
          <w:color w:val="000000" w:themeColor="text1"/>
        </w:rPr>
      </w:pPr>
      <w:r w:rsidRPr="007B7114">
        <w:rPr>
          <w:rFonts w:ascii="GHEA Grapalat" w:hAnsi="GHEA Grapalat"/>
          <w:color w:val="000000" w:themeColor="text1"/>
        </w:rPr>
        <w:t>միանալու պայմանագիրը պարունակում է միացած կողմի համար այլ ակնհայտ ծանր պայմաններ։</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Ընդ որում, վերոգրյալ դեպքերում պայմանագրի լուծումը և փոփոխումը կարող է վավեր համարվել՝ պայմանով, որ միացող կողմը, ելնելով ողջամտորեն գիտակցված իր շահերից, չէր ընդունի այդ պայմանագիրը, եթե հնարավորություն ունենար մասնակցել պայմանագրի պայմանների որոշմանը:</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Հաշվի առնելով նաև այն հանգամանքը, որ «Սպառողների իրավունքների պաշտպանության մասին» օրենքում առկա չեն միանալու պայմանագրերի վերաբերյալ կարգավորումներ` կարող ենք եզրակացնել, որ գործող օրենսդրությամբ բացակայում են սպառողների հետ կքնվող միանալու պայմանագրերում, այդ թվում` օրինակելի պայմաններում, «անարդար պայմանների» վերաբերյալ դրույթներ ներառելու անթույլատրելիության մասին կարգավորումները։</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 xml:space="preserve">Հարկ է ընդգծել նաև, որ քննարկվող հոդվածի շարադրանքում օգտագործվող «այլ ակնհայտ ծանր պայմաններ», «ողջամտորեն գիտակցված շահ» արտահայտությունների առկայությունը գործնականում կարող է ոչ միանշանակ ընկալվել և կիրառվել՝ հաշվի առնելով դրանց գնահատողական էության, ինչպես նաև միացած կողմի վրա ակնհայտ ծանր ապացուցողական բեռ դնելու հանգամանքները։ Բացի այդ, նշված կարգավորման պարագայում, ըստ էության, սահմանափակվում են վերոնշյալ հանգամանքներով պայմանավորված պայմանագիրն անվավեր ճանաչելու և անվավերության հետևանքներ </w:t>
      </w:r>
      <w:r w:rsidRPr="007B7114">
        <w:rPr>
          <w:rFonts w:ascii="GHEA Grapalat" w:hAnsi="GHEA Grapalat"/>
          <w:color w:val="000000" w:themeColor="text1"/>
        </w:rPr>
        <w:lastRenderedPageBreak/>
        <w:t>կիրառելու հնարավորությունը, ինչպես նաև</w:t>
      </w:r>
      <w:r>
        <w:rPr>
          <w:rFonts w:ascii="GHEA Grapalat" w:hAnsi="GHEA Grapalat"/>
          <w:color w:val="000000" w:themeColor="text1"/>
        </w:rPr>
        <w:t>պայմանագիրը</w:t>
      </w:r>
      <w:r w:rsidRPr="007B7114">
        <w:rPr>
          <w:rFonts w:ascii="GHEA Grapalat" w:hAnsi="GHEA Grapalat"/>
          <w:color w:val="000000" w:themeColor="text1"/>
        </w:rPr>
        <w:t xml:space="preserve"> մասնակի անվավեր ճանաչելը և մնացած մասով դրա գործողությունը շարունակելը, քանի որ նշված նորմը հնարավորություն է տալիս միայն պայմանագիրը փոփոխել կամ լուծել։</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Նշենք, որ «անարդար պայմանների» վերաբերյալ կարգավորումները բավականին լայն տարածում ունեն միջազգային պրակտիկայում և նույնիսկ իրենց արտացոլումն են գտել Եվրոպական Միության խորհրդի կողմից 1993թ. ապրիլի 5-ին ընդունված«Սպառողների հետ կնքվող պայմանագրերում անարդար պայմանների մասին» 93/13/EEC դիրեկտիվով (այսուհետ` Անարդար պայմանների մասին դիրեկտիվ), ինչպես նաև`</w:t>
      </w:r>
      <w:r w:rsidR="00C42C39">
        <w:rPr>
          <w:rFonts w:ascii="GHEA Grapalat" w:hAnsi="GHEA Grapalat"/>
          <w:color w:val="000000" w:themeColor="text1"/>
        </w:rPr>
        <w:t xml:space="preserve"> </w:t>
      </w:r>
      <w:r w:rsidRPr="007B7114">
        <w:rPr>
          <w:rFonts w:ascii="GHEA Grapalat" w:hAnsi="GHEA Grapalat"/>
          <w:color w:val="000000" w:themeColor="text1"/>
        </w:rPr>
        <w:t xml:space="preserve">դրանով պայմանավորված, Գերմանիայի, Մեծ </w:t>
      </w:r>
      <w:r>
        <w:rPr>
          <w:rFonts w:ascii="GHEA Grapalat" w:hAnsi="GHEA Grapalat"/>
          <w:color w:val="000000" w:themeColor="text1"/>
        </w:rPr>
        <w:t>Բրիտանիայի</w:t>
      </w:r>
      <w:r w:rsidRPr="007B7114">
        <w:rPr>
          <w:rFonts w:ascii="GHEA Grapalat" w:hAnsi="GHEA Grapalat"/>
          <w:color w:val="000000" w:themeColor="text1"/>
        </w:rPr>
        <w:t>, Նիդերլանդների և ԵՄ այլ առաջատար երկրների օրենսդրությամբ։ Այս տեսանկյունից նկատենք, որ դեռևս ստորագրման փուլում գտնվող Հայաստանի Հանրապետության՝ մի կողմից և Եվրոպական միության և Ատոմային էներգիայի եվրոպական համայնքի ու դրանց անդամ պետությունների՝ մյուս կողմից, միջև Համապարփակ և ընդլայնված գործընկերության համաձայնագրի Հավելված VI-ով Հայաստանի Հանրապետության համար սահմանված է պարտականություն մոտարկել իր օրենսդրությունը Անարդար պայմանների մասին դիրեկտիվին:</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stheme="minorBidi"/>
          <w:color w:val="000000" w:themeColor="text1"/>
          <w:u w:val="single"/>
        </w:rPr>
        <w:t xml:space="preserve">1.4. </w:t>
      </w:r>
      <w:r w:rsidRPr="007B7114">
        <w:rPr>
          <w:rFonts w:ascii="GHEA Grapalat" w:hAnsi="GHEA Grapalat"/>
          <w:color w:val="000000" w:themeColor="text1"/>
          <w:u w:val="single"/>
        </w:rPr>
        <w:t>Միանալու պայմանագրերի և անարդար պայմանների վերաբերյալ միջազգային փորձը</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Միջազգային իրավական պրակտիկայում հատուկ ուշադրություն է դարձվում այնպիսի դրույթներին, որոնցով միանալու պայմանագրինմիացող կողմը (որի դերում գերազանցապես հանդես են գալիս սպառողները) կարող է հայտնվել անհավասար և խտրական իրավիճակներում։ Նմանատիպ իրավիճակների բացառման նպատակով ԵՄ շրջանակներում, ինչպես նաև վերջինիս անդամ հանդիսացող պետությունների ներպետական ակտերով նախատեսվել են այնպիսի դրույթներ, որոնց ուժով միանալու պայմանագրերի որոշակի դրույթների և կարգավորումների առկայության իրավաչափությունը վիճարկվում է (դրանք համարելով անվավեր կամ առոչինչ)՝ նպատակ ունենալով երաշխավորել նկարագրված դեպքերում «թույլ» կողմի</w:t>
      </w:r>
      <w:r w:rsidR="0073205E">
        <w:rPr>
          <w:rFonts w:ascii="GHEA Grapalat" w:hAnsi="GHEA Grapalat"/>
          <w:color w:val="000000" w:themeColor="text1"/>
        </w:rPr>
        <w:t xml:space="preserve"> </w:t>
      </w:r>
      <w:r w:rsidRPr="007B7114">
        <w:rPr>
          <w:rFonts w:ascii="GHEA Grapalat" w:hAnsi="GHEA Grapalat"/>
          <w:color w:val="000000" w:themeColor="text1"/>
        </w:rPr>
        <w:t>շահերը։</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lastRenderedPageBreak/>
        <w:t>Մատնանշվածով պայմանավորված</w:t>
      </w:r>
      <w:r w:rsidR="0073205E">
        <w:rPr>
          <w:rFonts w:ascii="GHEA Grapalat" w:hAnsi="GHEA Grapalat"/>
          <w:color w:val="000000" w:themeColor="text1"/>
        </w:rPr>
        <w:t>՝</w:t>
      </w:r>
      <w:r w:rsidRPr="007B7114">
        <w:rPr>
          <w:rFonts w:ascii="GHEA Grapalat" w:hAnsi="GHEA Grapalat"/>
          <w:color w:val="000000" w:themeColor="text1"/>
        </w:rPr>
        <w:t xml:space="preserve"> առավել ցայտուն օրինակներից է արդեն նշված Անարդար պայմանների մասին դիրեկտիվը</w:t>
      </w:r>
      <w:r w:rsidRPr="007B7114">
        <w:rPr>
          <w:rStyle w:val="FootnoteReference"/>
          <w:rFonts w:ascii="GHEA Grapalat" w:hAnsi="GHEA Grapalat"/>
          <w:color w:val="000000" w:themeColor="text1"/>
        </w:rPr>
        <w:footnoteReference w:id="22"/>
      </w:r>
      <w:r w:rsidRPr="007B7114">
        <w:rPr>
          <w:rFonts w:ascii="GHEA Grapalat" w:hAnsi="GHEA Grapalat"/>
          <w:color w:val="000000" w:themeColor="text1"/>
        </w:rPr>
        <w:t>, որի հավելվածով սահմանվում է այն պայմանների ցանկը, որոնք համարվում են «անարդար»։ Այդպիսիք են, օրի</w:t>
      </w:r>
      <w:r w:rsidRPr="0037694F">
        <w:rPr>
          <w:rFonts w:ascii="GHEA Grapalat" w:hAnsi="GHEA Grapalat"/>
          <w:color w:val="000000" w:themeColor="text1"/>
        </w:rPr>
        <w:t>նա</w:t>
      </w:r>
      <w:r w:rsidRPr="007B7114">
        <w:rPr>
          <w:rFonts w:ascii="GHEA Grapalat" w:hAnsi="GHEA Grapalat"/>
          <w:color w:val="000000" w:themeColor="text1"/>
        </w:rPr>
        <w:t>կ, այնպիսի պայմանները, որոնք սահմանափակում կամ բացառում են վաճառողի</w:t>
      </w:r>
      <w:r w:rsidRPr="007B7114">
        <w:rPr>
          <w:rStyle w:val="FootnoteReference"/>
          <w:rFonts w:ascii="GHEA Grapalat" w:hAnsi="GHEA Grapalat"/>
          <w:color w:val="000000" w:themeColor="text1"/>
        </w:rPr>
        <w:footnoteReference w:id="23"/>
      </w:r>
      <w:r w:rsidRPr="007B7114">
        <w:rPr>
          <w:rFonts w:ascii="GHEA Grapalat" w:hAnsi="GHEA Grapalat"/>
          <w:color w:val="000000" w:themeColor="text1"/>
        </w:rPr>
        <w:t xml:space="preserve"> իրավաբանական պատասխանատվությունը սպառողի մահվան կամ վաճառողի կամ մատակարարի գործողությունների կամ բացթողումների հետևանքով սպառողի առողջությանը պատճառված վնասի դեպքում,ոչ ողջամիտ ձևով սահմանափակում կամ բացառում են սպառողի իրավունքները վաճառողի կամ մատակարարի կամ այլ անձի նկատմամբ վաճառողի կամ մատակարարի կողմից իրենց կողմից ստանձնած պարտավորությունների լրիվ կամ մասնակի չկատարման կամ դրանց ոչ պատշաճ կատարման դեպքերում, հնարավորություն է տրվում վաճառողին գանձելու կամ պահելու սպառողի կողմից վճարված ցանկացած դրամական միջոց այն դեպքերում, եթե սպառողը հրաժարվում է կնքել կամ կատարել պայմանագիրը, և որով պայմանագրի կատարումից հրաժարվող սպառողը զրկվում է վաճառողից կամ մատակարարից համարժեք գումար ստանալու հնարավորությունից,</w:t>
      </w:r>
      <w:r w:rsidR="004B7E9B">
        <w:rPr>
          <w:rFonts w:ascii="GHEA Grapalat" w:hAnsi="GHEA Grapalat"/>
          <w:color w:val="000000" w:themeColor="text1"/>
        </w:rPr>
        <w:t xml:space="preserve"> </w:t>
      </w:r>
      <w:r w:rsidRPr="007B7114">
        <w:rPr>
          <w:rFonts w:ascii="GHEA Grapalat" w:hAnsi="GHEA Grapalat"/>
          <w:color w:val="000000" w:themeColor="text1"/>
        </w:rPr>
        <w:t>հնարավորություն են տալիս վաճառողին կամ մատակարարին լուծելու անորոշ ժամկետով կնքված պայմանագիրը առանց ողջամիտ ծանուցման, ինքնաբերաբար երկարաձգելու որոշակի ժամկետով կնքված պայմանագիրը, եթե դրա վերաբերյալ առկա չէ սպառողի համաձայնությունը,</w:t>
      </w:r>
      <w:r w:rsidR="004B7E9B">
        <w:rPr>
          <w:rFonts w:ascii="GHEA Grapalat" w:hAnsi="GHEA Grapalat"/>
          <w:color w:val="000000" w:themeColor="text1"/>
        </w:rPr>
        <w:t xml:space="preserve"> </w:t>
      </w:r>
      <w:r w:rsidRPr="007B7114">
        <w:rPr>
          <w:rFonts w:ascii="GHEA Grapalat" w:hAnsi="GHEA Grapalat"/>
          <w:color w:val="000000" w:themeColor="text1"/>
        </w:rPr>
        <w:t>փոփոխելու պայմանագրի պայմանները առանց հիմնավոր պատճառի և հիմքի, որոնք պետք է սահմանված լինի պայմանագրով և այլն:</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b/>
          <w:bCs/>
          <w:color w:val="000000" w:themeColor="text1"/>
        </w:rPr>
        <w:t>Վրաստանի Հանրապետությունում</w:t>
      </w:r>
      <w:r w:rsidRPr="007B7114">
        <w:rPr>
          <w:rStyle w:val="FootnoteReference"/>
          <w:rFonts w:ascii="GHEA Grapalat" w:hAnsi="GHEA Grapalat"/>
          <w:b/>
          <w:bCs/>
          <w:color w:val="000000" w:themeColor="text1"/>
        </w:rPr>
        <w:footnoteReference w:id="24"/>
      </w:r>
      <w:r w:rsidR="004B7E9B">
        <w:rPr>
          <w:rFonts w:ascii="GHEA Grapalat" w:hAnsi="GHEA Grapalat"/>
          <w:b/>
          <w:bCs/>
          <w:color w:val="000000" w:themeColor="text1"/>
        </w:rPr>
        <w:t xml:space="preserve"> </w:t>
      </w:r>
      <w:r w:rsidRPr="007B7114">
        <w:rPr>
          <w:rFonts w:ascii="GHEA Grapalat" w:hAnsi="GHEA Grapalat"/>
          <w:color w:val="000000" w:themeColor="text1"/>
        </w:rPr>
        <w:t>Անարդար պայմանների մասին</w:t>
      </w:r>
      <w:r w:rsidR="004B7E9B">
        <w:rPr>
          <w:rFonts w:ascii="GHEA Grapalat" w:hAnsi="GHEA Grapalat"/>
          <w:color w:val="000000" w:themeColor="text1"/>
        </w:rPr>
        <w:t xml:space="preserve"> </w:t>
      </w:r>
      <w:r w:rsidRPr="007B7114">
        <w:rPr>
          <w:rFonts w:ascii="GHEA Grapalat" w:hAnsi="GHEA Grapalat"/>
          <w:color w:val="000000" w:themeColor="text1"/>
        </w:rPr>
        <w:t>դիրտեկտիվով նկարագրված «անարդար պայմանները» դասակարգված են երկու խմբի՝ այնպիսի պայմաններ, որոնք օրենքի ուժով առոչինչ են և այնպիսիք, որոնք կարող են վիճարկվել համապատասխան անձի պահանջով (վիճահարույց պայմաններ)։</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lastRenderedPageBreak/>
        <w:t>Օրինակ՝ Վրաստանի քաղաքացիական օրենսգրքի 347-րդ հոդվածի համաձայն՝ առոչինչ են հետևյալ պայմանները.</w:t>
      </w:r>
    </w:p>
    <w:p w:rsidR="002159DA" w:rsidRPr="007B7114" w:rsidRDefault="002159DA" w:rsidP="002159DA">
      <w:pPr>
        <w:pStyle w:val="ListParagraph"/>
        <w:numPr>
          <w:ilvl w:val="0"/>
          <w:numId w:val="23"/>
        </w:num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որոնցով առաջարկ վաճառողըսահմանում է անհիմն երկար կամ ակնհայտորեն անարդյունավետ ժամանակահատվածներ ներկայացված առաջարկի կապակցությամբ ակցեպտ տրամադրելու կամ ակցեպտից հրաժարվելու համար կամ դրանց կապակցությամբ որոշակի գործողությունների ձեռնարկման համար,</w:t>
      </w:r>
    </w:p>
    <w:p w:rsidR="002159DA" w:rsidRPr="007B7114" w:rsidRDefault="002159DA" w:rsidP="002159DA">
      <w:pPr>
        <w:pStyle w:val="ListParagraph"/>
        <w:numPr>
          <w:ilvl w:val="0"/>
          <w:numId w:val="23"/>
        </w:num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 xml:space="preserve">որոնք </w:t>
      </w:r>
      <w:r>
        <w:rPr>
          <w:rFonts w:ascii="GHEA Grapalat" w:hAnsi="GHEA Grapalat"/>
          <w:color w:val="000000" w:themeColor="text1"/>
        </w:rPr>
        <w:t>վաճառողին հնարավորություն</w:t>
      </w:r>
      <w:r w:rsidRPr="007B7114">
        <w:rPr>
          <w:rFonts w:ascii="GHEA Grapalat" w:hAnsi="GHEA Grapalat"/>
          <w:color w:val="000000" w:themeColor="text1"/>
        </w:rPr>
        <w:t xml:space="preserve"> են տալիս դադարեցնելու իր պարտավորություններն առանց հիմնավոր պատճառի, որոնց մասին պետք է նշված լիներ համապատասխան պայմանագրում,</w:t>
      </w:r>
    </w:p>
    <w:p w:rsidR="002159DA" w:rsidRPr="007B7114" w:rsidRDefault="002159DA" w:rsidP="002159DA">
      <w:pPr>
        <w:pStyle w:val="ListParagraph"/>
        <w:numPr>
          <w:ilvl w:val="0"/>
          <w:numId w:val="23"/>
        </w:num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որոնք հնարավորություն են տալիս վաճառողին փոփոխելու, լրացնելու կամ այլ կերպ խուսափելու պայմանավորված կատարումից (պայմանագրի փոփոխության, լրացման վերապահում),</w:t>
      </w:r>
    </w:p>
    <w:p w:rsidR="002159DA" w:rsidRPr="007B7114" w:rsidRDefault="002159DA" w:rsidP="002159DA">
      <w:pPr>
        <w:pStyle w:val="ListParagraph"/>
        <w:numPr>
          <w:ilvl w:val="0"/>
          <w:numId w:val="23"/>
        </w:num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որոնք հնարավորություն են տալիս վաճառողին մյուս կողմից պահանջել անհիմն բարձր վնասների հատուցում,</w:t>
      </w:r>
    </w:p>
    <w:p w:rsidR="002159DA" w:rsidRPr="007B7114" w:rsidRDefault="002159DA" w:rsidP="002159DA">
      <w:pPr>
        <w:pStyle w:val="ListParagraph"/>
        <w:numPr>
          <w:ilvl w:val="0"/>
          <w:numId w:val="23"/>
        </w:numPr>
        <w:spacing w:line="360" w:lineRule="auto"/>
        <w:ind w:firstLine="567"/>
        <w:jc w:val="both"/>
        <w:rPr>
          <w:rFonts w:ascii="GHEA Grapalat" w:hAnsi="GHEA Grapalat"/>
          <w:color w:val="000000" w:themeColor="text1"/>
        </w:rPr>
      </w:pPr>
      <w:r w:rsidRPr="007B7114">
        <w:rPr>
          <w:rFonts w:ascii="GHEA Grapalat" w:hAnsi="GHEA Grapalat"/>
          <w:color w:val="000000" w:themeColor="text1"/>
          <w:lang w:val="en-US"/>
        </w:rPr>
        <w:t>և այլն</w:t>
      </w:r>
      <w:r w:rsidRPr="007B7114">
        <w:rPr>
          <w:rFonts w:ascii="GHEA Grapalat" w:hAnsi="GHEA Grapalat"/>
          <w:color w:val="000000" w:themeColor="text1"/>
        </w:rPr>
        <w:t>։</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Իր հերթին, Վրաստանի քաղաքացիական օրենսգրքի 348-րդ հոդվածով սահմանված են այն պայմանները, որոնք կողմի պահանջով կարող են վիճարկվել (վիճահարույց պայմաններ):</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t>Հատկանշական է, որ Անարդար պայմանների վերաբերյալ դիրեկտիվի դրույթները իրենց տառացի արտացոլումն են գտել նաև Գերմանիայի, Մեծ Բրիտանիայի, Շվեյցարիայի, Նիդերլանդների և ԵՄ առաջատար այլ երկրների օրենսդրությամբ</w:t>
      </w:r>
      <w:r w:rsidRPr="007B7114">
        <w:rPr>
          <w:rStyle w:val="FootnoteReference"/>
          <w:rFonts w:ascii="GHEA Grapalat" w:hAnsi="GHEA Grapalat"/>
          <w:color w:val="000000" w:themeColor="text1"/>
        </w:rPr>
        <w:footnoteReference w:id="25"/>
      </w:r>
      <w:r w:rsidRPr="007B7114">
        <w:rPr>
          <w:rFonts w:ascii="GHEA Grapalat" w:hAnsi="GHEA Grapalat"/>
          <w:color w:val="000000" w:themeColor="text1"/>
        </w:rPr>
        <w:t>։</w:t>
      </w:r>
    </w:p>
    <w:p w:rsidR="002159DA" w:rsidRPr="007B7114" w:rsidRDefault="002159DA" w:rsidP="002159DA">
      <w:pPr>
        <w:spacing w:line="360" w:lineRule="auto"/>
        <w:ind w:firstLine="567"/>
        <w:jc w:val="both"/>
        <w:rPr>
          <w:rFonts w:ascii="GHEA Grapalat" w:hAnsi="GHEA Grapalat"/>
          <w:color w:val="000000" w:themeColor="text1"/>
        </w:rPr>
      </w:pPr>
      <w:bookmarkStart w:id="0" w:name="_gjdgxs" w:colFirst="0" w:colLast="0"/>
      <w:bookmarkEnd w:id="0"/>
    </w:p>
    <w:p w:rsidR="002159DA" w:rsidRPr="003E608A" w:rsidRDefault="002159DA" w:rsidP="002159DA">
      <w:pPr>
        <w:pBdr>
          <w:top w:val="nil"/>
          <w:left w:val="nil"/>
          <w:bottom w:val="nil"/>
          <w:right w:val="nil"/>
          <w:between w:val="nil"/>
        </w:pBdr>
        <w:suppressAutoHyphens/>
        <w:spacing w:line="360" w:lineRule="auto"/>
        <w:ind w:firstLine="565"/>
        <w:jc w:val="both"/>
        <w:textDirection w:val="btLr"/>
        <w:textAlignment w:val="top"/>
        <w:outlineLvl w:val="0"/>
        <w:rPr>
          <w:rFonts w:ascii="GHEA Grapalat" w:eastAsia="GHEA Grapalat" w:hAnsi="GHEA Grapalat" w:cs="GHEA Grapalat"/>
          <w:b/>
          <w:color w:val="000000"/>
        </w:rPr>
      </w:pPr>
      <w:r w:rsidRPr="0037694F">
        <w:rPr>
          <w:rFonts w:ascii="GHEA Grapalat" w:eastAsia="GHEA Grapalat" w:hAnsi="GHEA Grapalat" w:cs="GHEA Grapalat"/>
          <w:b/>
          <w:color w:val="000000"/>
        </w:rPr>
        <w:t>2. Առաջարկվող կարգավորման բնույթը</w:t>
      </w:r>
    </w:p>
    <w:p w:rsidR="002159DA" w:rsidRPr="007B7114" w:rsidRDefault="002159DA" w:rsidP="002159DA">
      <w:pPr>
        <w:spacing w:line="360" w:lineRule="auto"/>
        <w:ind w:firstLine="567"/>
        <w:jc w:val="both"/>
        <w:rPr>
          <w:rFonts w:ascii="GHEA Grapalat" w:hAnsi="GHEA Grapalat"/>
          <w:color w:val="000000" w:themeColor="text1"/>
        </w:rPr>
      </w:pPr>
      <w:r w:rsidRPr="007B7114">
        <w:rPr>
          <w:rFonts w:ascii="GHEA Grapalat" w:hAnsi="GHEA Grapalat"/>
          <w:color w:val="000000" w:themeColor="text1"/>
        </w:rPr>
        <w:lastRenderedPageBreak/>
        <w:t>Ամփոփելով վերոգրյալը՝ Նախագծ</w:t>
      </w:r>
      <w:r w:rsidRPr="0037694F">
        <w:rPr>
          <w:rFonts w:ascii="GHEA Grapalat" w:hAnsi="GHEA Grapalat"/>
          <w:color w:val="000000" w:themeColor="text1"/>
        </w:rPr>
        <w:t>եր</w:t>
      </w:r>
      <w:r w:rsidRPr="007B7114">
        <w:rPr>
          <w:rFonts w:ascii="GHEA Grapalat" w:hAnsi="GHEA Grapalat"/>
          <w:color w:val="000000" w:themeColor="text1"/>
        </w:rPr>
        <w:t>ով առաջարկվում է Հայաստանի Հանրապետության քաղաքացիական օրենսգրքում, «Սպառողների իրավունքների պաշտպանության մասին» և «Առևտրի և ծառայությունների մա</w:t>
      </w:r>
      <w:r w:rsidRPr="0037694F">
        <w:rPr>
          <w:rFonts w:ascii="GHEA Grapalat" w:hAnsi="GHEA Grapalat"/>
          <w:color w:val="000000" w:themeColor="text1"/>
        </w:rPr>
        <w:t>ս</w:t>
      </w:r>
      <w:r w:rsidRPr="007B7114">
        <w:rPr>
          <w:rFonts w:ascii="GHEA Grapalat" w:hAnsi="GHEA Grapalat"/>
          <w:color w:val="000000" w:themeColor="text1"/>
        </w:rPr>
        <w:t>ին» օրենքներում կատարել հետևյալ փոփոխությունները և լրացումները.</w:t>
      </w:r>
    </w:p>
    <w:p w:rsidR="002159DA" w:rsidRPr="007B7114" w:rsidRDefault="002159DA" w:rsidP="002159DA">
      <w:pPr>
        <w:pStyle w:val="ListParagraph"/>
        <w:numPr>
          <w:ilvl w:val="0"/>
          <w:numId w:val="26"/>
        </w:numPr>
        <w:spacing w:line="360" w:lineRule="auto"/>
        <w:ind w:firstLine="567"/>
        <w:jc w:val="both"/>
        <w:rPr>
          <w:rFonts w:ascii="GHEA Grapalat" w:hAnsi="GHEA Grapalat"/>
          <w:b/>
          <w:bCs/>
          <w:i/>
          <w:iCs/>
          <w:color w:val="000000" w:themeColor="text1"/>
        </w:rPr>
      </w:pPr>
      <w:r w:rsidRPr="0037694F">
        <w:rPr>
          <w:rFonts w:ascii="GHEA Grapalat" w:hAnsi="GHEA Grapalat"/>
          <w:b/>
          <w:bCs/>
          <w:iCs/>
          <w:color w:val="000000" w:themeColor="text1"/>
        </w:rPr>
        <w:t>Առաջին,</w:t>
      </w:r>
      <w:r w:rsidR="00F5389B">
        <w:rPr>
          <w:rFonts w:ascii="GHEA Grapalat" w:hAnsi="GHEA Grapalat"/>
          <w:b/>
          <w:bCs/>
          <w:iCs/>
          <w:color w:val="000000" w:themeColor="text1"/>
        </w:rPr>
        <w:t xml:space="preserve"> </w:t>
      </w:r>
      <w:r w:rsidR="0066408F">
        <w:rPr>
          <w:rFonts w:ascii="GHEA Grapalat" w:hAnsi="GHEA Grapalat"/>
          <w:color w:val="000000" w:themeColor="text1"/>
          <w:lang w:val="en-US"/>
        </w:rPr>
        <w:t xml:space="preserve">պայմանագրերի գրավոր ձևով կնքման եղանակները հստակեցում՝ առանձին նշելով նաև դրանց էլեկտրոնային եղանակով կնքվելը, որը կներառի ինչպես էլեկտրոնային կապի միջոցներով տվյալների փոխանակումը, այնպես էլ </w:t>
      </w:r>
      <w:r w:rsidR="0066408F" w:rsidRPr="007B7114">
        <w:rPr>
          <w:rFonts w:ascii="GHEA Grapalat" w:eastAsia="GHEA Grapalat" w:hAnsi="GHEA Grapalat" w:cs="GHEA Grapalat"/>
          <w:color w:val="000000"/>
        </w:rPr>
        <w:t>էլեկտրոնային հարթակ</w:t>
      </w:r>
      <w:r w:rsidR="0066408F" w:rsidRPr="0037694F">
        <w:rPr>
          <w:rFonts w:ascii="GHEA Grapalat" w:eastAsia="GHEA Grapalat" w:hAnsi="GHEA Grapalat" w:cs="GHEA Grapalat"/>
          <w:color w:val="000000"/>
        </w:rPr>
        <w:t xml:space="preserve">ով </w:t>
      </w:r>
      <w:r w:rsidR="0066408F" w:rsidRPr="007B7114">
        <w:rPr>
          <w:rFonts w:ascii="GHEA Grapalat" w:eastAsia="GHEA Grapalat" w:hAnsi="GHEA Grapalat" w:cs="GHEA Grapalat"/>
          <w:color w:val="000000"/>
        </w:rPr>
        <w:t xml:space="preserve">(ինտերնետային կայք, էլեկտրոնային հավելված </w:t>
      </w:r>
      <w:r w:rsidR="0066408F" w:rsidRPr="0037694F">
        <w:rPr>
          <w:rFonts w:ascii="GHEA Grapalat" w:eastAsia="GHEA Grapalat" w:hAnsi="GHEA Grapalat" w:cs="GHEA Grapalat"/>
          <w:color w:val="000000"/>
        </w:rPr>
        <w:t>կամ</w:t>
      </w:r>
      <w:r w:rsidR="0066408F" w:rsidRPr="007B7114">
        <w:rPr>
          <w:rFonts w:ascii="GHEA Grapalat" w:eastAsia="GHEA Grapalat" w:hAnsi="GHEA Grapalat" w:cs="GHEA Grapalat"/>
          <w:color w:val="000000"/>
        </w:rPr>
        <w:t xml:space="preserve"> համանման այլ միջոցներ)</w:t>
      </w:r>
      <w:r w:rsidR="0066408F" w:rsidRPr="006918CF">
        <w:rPr>
          <w:rFonts w:ascii="GHEA Grapalat" w:eastAsia="GHEA Grapalat" w:hAnsi="GHEA Grapalat" w:cs="GHEA Grapalat"/>
          <w:color w:val="000000"/>
        </w:rPr>
        <w:t xml:space="preserve"> </w:t>
      </w:r>
      <w:r w:rsidR="0066408F">
        <w:rPr>
          <w:rFonts w:ascii="GHEA Grapalat" w:eastAsia="GHEA Grapalat" w:hAnsi="GHEA Grapalat" w:cs="GHEA Grapalat"/>
          <w:color w:val="000000"/>
          <w:lang w:val="en-US"/>
        </w:rPr>
        <w:t>էլեկտրոնային տվյալների փոխանակումը</w:t>
      </w:r>
      <w:r w:rsidRPr="007B7114">
        <w:rPr>
          <w:rFonts w:ascii="GHEA Grapalat" w:hAnsi="GHEA Grapalat"/>
          <w:color w:val="000000" w:themeColor="text1"/>
        </w:rPr>
        <w:t>։</w:t>
      </w:r>
      <w:r w:rsidR="0066408F">
        <w:rPr>
          <w:rFonts w:ascii="GHEA Grapalat" w:hAnsi="GHEA Grapalat"/>
          <w:color w:val="000000" w:themeColor="text1"/>
          <w:lang w:val="en-US"/>
        </w:rPr>
        <w:t xml:space="preserve"> </w:t>
      </w:r>
      <w:r w:rsidR="00043E88">
        <w:rPr>
          <w:rFonts w:ascii="GHEA Grapalat" w:hAnsi="GHEA Grapalat"/>
          <w:color w:val="000000" w:themeColor="text1"/>
          <w:lang w:val="en-US"/>
        </w:rPr>
        <w:t xml:space="preserve">Ընդ որում, էլեկտրոնային եղանակով պայմանագրերի կնքման դեպքում </w:t>
      </w:r>
      <w:r w:rsidR="000E3BFF">
        <w:rPr>
          <w:rFonts w:ascii="GHEA Grapalat" w:hAnsi="GHEA Grapalat"/>
          <w:color w:val="000000" w:themeColor="text1"/>
          <w:lang w:val="en-US"/>
        </w:rPr>
        <w:t>պետք է ապահովվեն փոխանակվող տվյալների իսկությունը, պայմանագիրը կնքող անձանց նույնականացումը, ինչպես նաև պայմանագիրը պահպանելու և անփոփոխ վերարտադրելու հնարավորությունը, որոնք երաշխիք են նման եղանակով կնքվող պայմանագրերի վավերականության համար:</w:t>
      </w:r>
    </w:p>
    <w:p w:rsidR="002159DA" w:rsidRPr="007B7114" w:rsidRDefault="002159DA" w:rsidP="002159DA">
      <w:pPr>
        <w:pStyle w:val="ListParagraph"/>
        <w:numPr>
          <w:ilvl w:val="0"/>
          <w:numId w:val="26"/>
        </w:numPr>
        <w:spacing w:line="360" w:lineRule="auto"/>
        <w:ind w:firstLine="567"/>
        <w:jc w:val="both"/>
        <w:rPr>
          <w:rFonts w:ascii="GHEA Grapalat" w:hAnsi="GHEA Grapalat"/>
          <w:b/>
          <w:bCs/>
          <w:i/>
          <w:iCs/>
          <w:color w:val="000000" w:themeColor="text1"/>
        </w:rPr>
      </w:pPr>
      <w:r w:rsidRPr="0037694F">
        <w:rPr>
          <w:rFonts w:ascii="GHEA Grapalat" w:hAnsi="GHEA Grapalat"/>
          <w:b/>
          <w:bCs/>
          <w:iCs/>
          <w:color w:val="000000" w:themeColor="text1"/>
        </w:rPr>
        <w:t>Երկրորդ,</w:t>
      </w:r>
      <w:r w:rsidR="002A0660">
        <w:rPr>
          <w:rFonts w:ascii="GHEA Grapalat" w:hAnsi="GHEA Grapalat"/>
          <w:b/>
          <w:bCs/>
          <w:iCs/>
          <w:color w:val="000000" w:themeColor="text1"/>
        </w:rPr>
        <w:t xml:space="preserve"> </w:t>
      </w:r>
      <w:r w:rsidRPr="007B7114">
        <w:rPr>
          <w:rFonts w:ascii="GHEA Grapalat" w:hAnsi="GHEA Grapalat"/>
          <w:color w:val="000000" w:themeColor="text1"/>
        </w:rPr>
        <w:t>նախատեսել օրինակելի</w:t>
      </w:r>
      <w:r w:rsidRPr="0037694F">
        <w:rPr>
          <w:rFonts w:ascii="GHEA Grapalat" w:hAnsi="GHEA Grapalat"/>
          <w:color w:val="000000" w:themeColor="text1"/>
        </w:rPr>
        <w:t xml:space="preserve"> (ընդհանուր)</w:t>
      </w:r>
      <w:r w:rsidRPr="007B7114">
        <w:rPr>
          <w:rFonts w:ascii="GHEA Grapalat" w:hAnsi="GHEA Grapalat"/>
          <w:color w:val="000000" w:themeColor="text1"/>
        </w:rPr>
        <w:t xml:space="preserve"> պայմանների կիրառելիության արդյունավետությանը միտված պայմաններ, որոնց չպահպանման դեպքում դրանք այդ պայմանների մասով կհամարվեն անվավեր։</w:t>
      </w:r>
      <w:r w:rsidR="000E3BFF">
        <w:rPr>
          <w:rFonts w:ascii="GHEA Grapalat" w:hAnsi="GHEA Grapalat"/>
          <w:color w:val="000000" w:themeColor="text1"/>
          <w:lang w:val="en-US"/>
        </w:rPr>
        <w:t xml:space="preserve"> Իր հերթին, հստակեցվում են ընդհանուր պայմանները միակողմանի փոփոխելու հետ կապված նորմերը, նշելով որ նման հնարավորությունը կգործի, եթե նախատեսված լինի կողմերի միջև կնքված բուն պայմանագրում:</w:t>
      </w:r>
    </w:p>
    <w:p w:rsidR="002159DA" w:rsidRPr="007B7114" w:rsidRDefault="000E3BFF" w:rsidP="002159DA">
      <w:pPr>
        <w:pStyle w:val="ListParagraph"/>
        <w:numPr>
          <w:ilvl w:val="0"/>
          <w:numId w:val="26"/>
        </w:numPr>
        <w:spacing w:line="360" w:lineRule="auto"/>
        <w:ind w:firstLine="567"/>
        <w:jc w:val="both"/>
        <w:rPr>
          <w:rFonts w:ascii="GHEA Grapalat" w:hAnsi="GHEA Grapalat"/>
          <w:b/>
          <w:bCs/>
          <w:i/>
          <w:iCs/>
          <w:color w:val="000000" w:themeColor="text1"/>
        </w:rPr>
      </w:pPr>
      <w:r>
        <w:rPr>
          <w:rFonts w:ascii="GHEA Grapalat" w:hAnsi="GHEA Grapalat"/>
          <w:b/>
          <w:bCs/>
          <w:iCs/>
          <w:color w:val="000000" w:themeColor="text1"/>
          <w:lang w:val="en-US"/>
        </w:rPr>
        <w:t>Երրորդ</w:t>
      </w:r>
      <w:r w:rsidR="002159DA" w:rsidRPr="0037694F">
        <w:rPr>
          <w:rFonts w:ascii="GHEA Grapalat" w:hAnsi="GHEA Grapalat"/>
          <w:b/>
          <w:bCs/>
          <w:iCs/>
          <w:color w:val="000000" w:themeColor="text1"/>
        </w:rPr>
        <w:t>,</w:t>
      </w:r>
      <w:r w:rsidR="001575EE">
        <w:rPr>
          <w:rFonts w:ascii="GHEA Grapalat" w:hAnsi="GHEA Grapalat"/>
          <w:b/>
          <w:bCs/>
          <w:iCs/>
          <w:color w:val="000000" w:themeColor="text1"/>
        </w:rPr>
        <w:t xml:space="preserve"> </w:t>
      </w:r>
      <w:r w:rsidR="002159DA" w:rsidRPr="007B7114">
        <w:rPr>
          <w:rFonts w:ascii="GHEA Grapalat" w:hAnsi="GHEA Grapalat"/>
          <w:bCs/>
          <w:iCs/>
          <w:color w:val="000000" w:themeColor="text1"/>
        </w:rPr>
        <w:t>առաջարկվում է հստակեցնել</w:t>
      </w:r>
      <w:r w:rsidR="001575EE">
        <w:rPr>
          <w:rFonts w:ascii="GHEA Grapalat" w:hAnsi="GHEA Grapalat"/>
          <w:bCs/>
          <w:iCs/>
          <w:color w:val="000000" w:themeColor="text1"/>
        </w:rPr>
        <w:t xml:space="preserve"> </w:t>
      </w:r>
      <w:r w:rsidR="002159DA" w:rsidRPr="007B7114">
        <w:rPr>
          <w:rFonts w:ascii="GHEA Grapalat" w:hAnsi="GHEA Grapalat"/>
          <w:bCs/>
          <w:iCs/>
          <w:color w:val="000000" w:themeColor="text1"/>
        </w:rPr>
        <w:t>նաև էլեկտրոնային եղանակով պայմանագրեր կնքելիս օֆերտայի և ակցեպտի ստացման պահերը, որոնց հետ հնարավոր կլինի կապել որոշակի իրավական հետևանքներ:</w:t>
      </w:r>
    </w:p>
    <w:p w:rsidR="002159DA" w:rsidRPr="00206F7C" w:rsidRDefault="00206F7C" w:rsidP="002159DA">
      <w:pPr>
        <w:pStyle w:val="ListParagraph"/>
        <w:numPr>
          <w:ilvl w:val="0"/>
          <w:numId w:val="26"/>
        </w:numPr>
        <w:spacing w:line="360" w:lineRule="auto"/>
        <w:ind w:firstLine="567"/>
        <w:jc w:val="both"/>
        <w:rPr>
          <w:rFonts w:ascii="GHEA Grapalat" w:hAnsi="GHEA Grapalat"/>
          <w:b/>
          <w:bCs/>
          <w:i/>
          <w:iCs/>
          <w:color w:val="000000" w:themeColor="text1"/>
        </w:rPr>
      </w:pPr>
      <w:r>
        <w:rPr>
          <w:rFonts w:ascii="GHEA Grapalat" w:hAnsi="GHEA Grapalat"/>
          <w:b/>
          <w:bCs/>
          <w:iCs/>
          <w:color w:val="000000" w:themeColor="text1"/>
          <w:lang w:val="en-US"/>
        </w:rPr>
        <w:t>Չորրորդ</w:t>
      </w:r>
      <w:r w:rsidR="002159DA" w:rsidRPr="0037694F">
        <w:rPr>
          <w:rFonts w:ascii="GHEA Grapalat" w:hAnsi="GHEA Grapalat"/>
          <w:b/>
          <w:bCs/>
          <w:iCs/>
          <w:color w:val="000000" w:themeColor="text1"/>
        </w:rPr>
        <w:t>,</w:t>
      </w:r>
      <w:r w:rsidR="001575EE">
        <w:rPr>
          <w:rFonts w:ascii="GHEA Grapalat" w:hAnsi="GHEA Grapalat"/>
          <w:b/>
          <w:bCs/>
          <w:iCs/>
          <w:color w:val="000000" w:themeColor="text1"/>
        </w:rPr>
        <w:t xml:space="preserve"> </w:t>
      </w:r>
      <w:r w:rsidR="002159DA" w:rsidRPr="007B7114">
        <w:rPr>
          <w:rFonts w:ascii="GHEA Grapalat" w:hAnsi="GHEA Grapalat"/>
          <w:color w:val="000000" w:themeColor="text1"/>
        </w:rPr>
        <w:t>առաջարկվում է նախատեսել անարդար պայմանները սպառողների հետ կնքվող միանալու պայմանագրերում կամ օրինակելի</w:t>
      </w:r>
      <w:r w:rsidR="002159DA" w:rsidRPr="0037694F">
        <w:rPr>
          <w:rFonts w:ascii="GHEA Grapalat" w:hAnsi="GHEA Grapalat"/>
          <w:color w:val="000000" w:themeColor="text1"/>
        </w:rPr>
        <w:t xml:space="preserve"> (ընդհանուր)</w:t>
      </w:r>
      <w:r w:rsidR="002159DA" w:rsidRPr="007B7114">
        <w:rPr>
          <w:rFonts w:ascii="GHEA Grapalat" w:hAnsi="GHEA Grapalat"/>
          <w:color w:val="000000" w:themeColor="text1"/>
        </w:rPr>
        <w:t xml:space="preserve"> պայմաններում ներառելու անթույլատրելիության վերաբերյալ հստակ </w:t>
      </w:r>
      <w:r w:rsidR="002159DA" w:rsidRPr="007B7114">
        <w:rPr>
          <w:rFonts w:ascii="GHEA Grapalat" w:hAnsi="GHEA Grapalat"/>
          <w:color w:val="000000" w:themeColor="text1"/>
        </w:rPr>
        <w:lastRenderedPageBreak/>
        <w:t>կարգավորումներ, որոնց ուժով որոշակի պայմաններ օրենքի ուժով կդիտարկվեն անվավեր կամ առոչինչ։</w:t>
      </w:r>
    </w:p>
    <w:p w:rsidR="00206F7C" w:rsidRPr="007B7114" w:rsidRDefault="00206F7C" w:rsidP="002159DA">
      <w:pPr>
        <w:pStyle w:val="ListParagraph"/>
        <w:numPr>
          <w:ilvl w:val="0"/>
          <w:numId w:val="26"/>
        </w:numPr>
        <w:spacing w:line="360" w:lineRule="auto"/>
        <w:ind w:firstLine="567"/>
        <w:jc w:val="both"/>
        <w:rPr>
          <w:rFonts w:ascii="GHEA Grapalat" w:hAnsi="GHEA Grapalat"/>
          <w:b/>
          <w:bCs/>
          <w:i/>
          <w:iCs/>
          <w:color w:val="000000" w:themeColor="text1"/>
        </w:rPr>
      </w:pPr>
      <w:r>
        <w:rPr>
          <w:rFonts w:ascii="GHEA Grapalat" w:hAnsi="GHEA Grapalat"/>
          <w:b/>
          <w:bCs/>
          <w:iCs/>
          <w:color w:val="000000" w:themeColor="text1"/>
          <w:lang w:val="en-US"/>
        </w:rPr>
        <w:t xml:space="preserve">Հինգերորդ, </w:t>
      </w:r>
      <w:r>
        <w:rPr>
          <w:rFonts w:ascii="GHEA Grapalat" w:hAnsi="GHEA Grapalat"/>
          <w:bCs/>
          <w:iCs/>
          <w:color w:val="000000" w:themeColor="text1"/>
          <w:lang w:val="en-US"/>
        </w:rPr>
        <w:t>առավել հստակեցվում է միանալու պայմանագրերի շրջանակը՝ նախատեսելով, որ, ինքնին, պայմանագրի որևէ պայմանի որոշումը չի կարող հանգեցնել դրա՝ որպես միանալու պայմանագիր դիտարկելու էության բացառմանը, եթե այդպիսի պայմանը չի փոխում պայմանագրի էությունը և պայմանագիրը սահմանվել է ստանդարտ ձևերով:</w:t>
      </w:r>
    </w:p>
    <w:p w:rsidR="002159DA" w:rsidRPr="007B7114" w:rsidRDefault="002159DA" w:rsidP="002159DA">
      <w:pPr>
        <w:spacing w:line="360" w:lineRule="auto"/>
        <w:ind w:firstLine="567"/>
        <w:jc w:val="both"/>
        <w:rPr>
          <w:rFonts w:ascii="GHEA Grapalat" w:hAnsi="GHEA Grapalat"/>
          <w:color w:val="000000" w:themeColor="text1"/>
        </w:rPr>
      </w:pPr>
    </w:p>
    <w:p w:rsidR="002159DA" w:rsidRPr="003E608A" w:rsidRDefault="002159DA" w:rsidP="002159DA">
      <w:pPr>
        <w:pBdr>
          <w:top w:val="nil"/>
          <w:left w:val="nil"/>
          <w:bottom w:val="nil"/>
          <w:right w:val="nil"/>
          <w:between w:val="nil"/>
        </w:pBdr>
        <w:suppressAutoHyphens/>
        <w:spacing w:line="360" w:lineRule="auto"/>
        <w:ind w:firstLine="565"/>
        <w:jc w:val="both"/>
        <w:textDirection w:val="btLr"/>
        <w:textAlignment w:val="top"/>
        <w:outlineLvl w:val="0"/>
        <w:rPr>
          <w:rFonts w:ascii="GHEA Grapalat" w:eastAsia="GHEA Grapalat" w:hAnsi="GHEA Grapalat" w:cs="GHEA Grapalat"/>
          <w:b/>
          <w:color w:val="000000"/>
        </w:rPr>
      </w:pPr>
      <w:r w:rsidRPr="0037694F">
        <w:rPr>
          <w:rFonts w:ascii="GHEA Grapalat" w:eastAsia="GHEA Grapalat" w:hAnsi="GHEA Grapalat" w:cs="GHEA Grapalat"/>
          <w:b/>
          <w:color w:val="000000"/>
        </w:rPr>
        <w:t>3. Նախագծերի մշակման գործընթացում ներգրավված ինստիտուտները</w:t>
      </w:r>
    </w:p>
    <w:p w:rsidR="002159DA" w:rsidRPr="007B7114" w:rsidRDefault="002159DA" w:rsidP="002159DA">
      <w:pPr>
        <w:pBdr>
          <w:top w:val="nil"/>
          <w:left w:val="nil"/>
          <w:bottom w:val="nil"/>
          <w:right w:val="nil"/>
          <w:between w:val="nil"/>
        </w:pBdr>
        <w:spacing w:line="360" w:lineRule="auto"/>
        <w:ind w:left="-2" w:firstLine="567"/>
        <w:jc w:val="both"/>
        <w:rPr>
          <w:rFonts w:ascii="GHEA Grapalat" w:eastAsia="GHEA Grapalat" w:hAnsi="GHEA Grapalat" w:cs="GHEA Grapalat"/>
          <w:color w:val="000000"/>
        </w:rPr>
      </w:pPr>
      <w:r w:rsidRPr="007B7114">
        <w:rPr>
          <w:rFonts w:ascii="GHEA Grapalat" w:eastAsia="GHEA Grapalat" w:hAnsi="GHEA Grapalat" w:cs="GHEA Grapalat"/>
          <w:color w:val="000000"/>
        </w:rPr>
        <w:t>Նախագծ</w:t>
      </w:r>
      <w:r w:rsidRPr="0037694F">
        <w:rPr>
          <w:rFonts w:ascii="GHEA Grapalat" w:eastAsia="GHEA Grapalat" w:hAnsi="GHEA Grapalat" w:cs="GHEA Grapalat"/>
          <w:color w:val="000000"/>
        </w:rPr>
        <w:t>եր</w:t>
      </w:r>
      <w:r w:rsidRPr="007B7114">
        <w:rPr>
          <w:rFonts w:ascii="GHEA Grapalat" w:eastAsia="GHEA Grapalat" w:hAnsi="GHEA Grapalat" w:cs="GHEA Grapalat"/>
          <w:color w:val="000000"/>
        </w:rPr>
        <w:t xml:space="preserve">ը մշակվել </w:t>
      </w:r>
      <w:r w:rsidRPr="0037694F">
        <w:rPr>
          <w:rFonts w:ascii="GHEA Grapalat" w:eastAsia="GHEA Grapalat" w:hAnsi="GHEA Grapalat" w:cs="GHEA Grapalat"/>
          <w:color w:val="000000"/>
        </w:rPr>
        <w:t>են</w:t>
      </w:r>
      <w:r w:rsidRPr="002159DA">
        <w:rPr>
          <w:rFonts w:ascii="GHEA Grapalat" w:eastAsia="GHEA Grapalat" w:hAnsi="GHEA Grapalat" w:cs="GHEA Grapalat"/>
          <w:color w:val="000000"/>
        </w:rPr>
        <w:t xml:space="preserve"> Ա</w:t>
      </w:r>
      <w:r w:rsidRPr="007B7114">
        <w:rPr>
          <w:rFonts w:ascii="GHEA Grapalat" w:eastAsia="GHEA Grapalat" w:hAnsi="GHEA Grapalat" w:cs="GHEA Grapalat"/>
          <w:color w:val="000000"/>
        </w:rPr>
        <w:t xml:space="preserve">րդարադատության նախարարության «Օրենսդրության զարգացման կենտրոն» հիմնադրամի կողմից: </w:t>
      </w:r>
    </w:p>
    <w:p w:rsidR="002159DA" w:rsidRPr="007B7114" w:rsidRDefault="002159DA" w:rsidP="002159DA">
      <w:pPr>
        <w:pBdr>
          <w:top w:val="nil"/>
          <w:left w:val="nil"/>
          <w:bottom w:val="nil"/>
          <w:right w:val="nil"/>
          <w:between w:val="nil"/>
        </w:pBdr>
        <w:spacing w:line="360" w:lineRule="auto"/>
        <w:ind w:left="-2" w:firstLine="567"/>
        <w:jc w:val="both"/>
        <w:rPr>
          <w:rFonts w:ascii="GHEA Grapalat" w:eastAsia="GHEA Grapalat" w:hAnsi="GHEA Grapalat" w:cs="GHEA Grapalat"/>
          <w:color w:val="000000"/>
        </w:rPr>
      </w:pPr>
    </w:p>
    <w:p w:rsidR="002159DA" w:rsidRPr="003E608A" w:rsidRDefault="002159DA" w:rsidP="002159DA">
      <w:pPr>
        <w:pBdr>
          <w:top w:val="nil"/>
          <w:left w:val="nil"/>
          <w:bottom w:val="nil"/>
          <w:right w:val="nil"/>
          <w:between w:val="nil"/>
        </w:pBdr>
        <w:suppressAutoHyphens/>
        <w:spacing w:line="360" w:lineRule="auto"/>
        <w:ind w:firstLine="567"/>
        <w:jc w:val="both"/>
        <w:textDirection w:val="btLr"/>
        <w:textAlignment w:val="top"/>
        <w:outlineLvl w:val="0"/>
        <w:rPr>
          <w:rFonts w:ascii="GHEA Grapalat" w:eastAsia="GHEA Grapalat" w:hAnsi="GHEA Grapalat" w:cs="GHEA Grapalat"/>
          <w:b/>
          <w:color w:val="000000"/>
        </w:rPr>
      </w:pPr>
      <w:r w:rsidRPr="0037694F">
        <w:rPr>
          <w:rFonts w:ascii="GHEA Grapalat" w:eastAsia="GHEA Grapalat" w:hAnsi="GHEA Grapalat" w:cs="GHEA Grapalat"/>
          <w:b/>
          <w:color w:val="000000"/>
        </w:rPr>
        <w:t>4. Ակնկալվող արդյունքը</w:t>
      </w:r>
    </w:p>
    <w:p w:rsidR="002159DA" w:rsidRPr="007B7114" w:rsidRDefault="002159DA" w:rsidP="002159DA">
      <w:pPr>
        <w:pBdr>
          <w:top w:val="nil"/>
          <w:left w:val="nil"/>
          <w:bottom w:val="nil"/>
          <w:right w:val="nil"/>
          <w:between w:val="nil"/>
        </w:pBdr>
        <w:spacing w:line="360" w:lineRule="auto"/>
        <w:ind w:left="-2" w:firstLine="567"/>
        <w:jc w:val="both"/>
        <w:rPr>
          <w:rFonts w:ascii="GHEA Grapalat" w:hAnsi="GHEA Grapalat"/>
          <w:color w:val="000000" w:themeColor="text1"/>
        </w:rPr>
      </w:pPr>
      <w:r w:rsidRPr="007B7114">
        <w:rPr>
          <w:rFonts w:ascii="GHEA Grapalat" w:eastAsia="GHEA Grapalat" w:hAnsi="GHEA Grapalat" w:cs="GHEA Grapalat"/>
          <w:color w:val="000000"/>
        </w:rPr>
        <w:t>Նախագծ</w:t>
      </w:r>
      <w:r w:rsidRPr="0037694F">
        <w:rPr>
          <w:rFonts w:ascii="GHEA Grapalat" w:eastAsia="GHEA Grapalat" w:hAnsi="GHEA Grapalat" w:cs="GHEA Grapalat"/>
          <w:color w:val="000000"/>
        </w:rPr>
        <w:t>եր</w:t>
      </w:r>
      <w:r w:rsidRPr="007B7114">
        <w:rPr>
          <w:rFonts w:ascii="GHEA Grapalat" w:eastAsia="GHEA Grapalat" w:hAnsi="GHEA Grapalat" w:cs="GHEA Grapalat"/>
          <w:color w:val="000000"/>
        </w:rPr>
        <w:t xml:space="preserve">ի ընդունման արդյունքում ակնկալվում է ստեղծել անհրաժեշտ, կանխատեսելի և որոշակի օրենսդրական հիմքեր </w:t>
      </w:r>
      <w:r w:rsidRPr="007B7114">
        <w:rPr>
          <w:rFonts w:ascii="GHEA Grapalat" w:hAnsi="GHEA Grapalat"/>
          <w:color w:val="000000" w:themeColor="text1"/>
        </w:rPr>
        <w:t xml:space="preserve">էլեկտրոնային </w:t>
      </w:r>
      <w:r w:rsidRPr="0037694F">
        <w:rPr>
          <w:rFonts w:ascii="GHEA Grapalat" w:hAnsi="GHEA Grapalat"/>
          <w:color w:val="000000" w:themeColor="text1"/>
        </w:rPr>
        <w:t>եղանակով</w:t>
      </w:r>
      <w:r w:rsidRPr="007B7114">
        <w:rPr>
          <w:rFonts w:ascii="GHEA Grapalat" w:hAnsi="GHEA Grapalat"/>
          <w:color w:val="000000" w:themeColor="text1"/>
        </w:rPr>
        <w:t>պայմանագրերի կնքման, կարգի և պայմանների, վավերականության և իրավաչափության վերաբերյալ, ինչպես նաև նախատեսել սպառողների հետ կնքվելիք միանալու պայմանագրերում կամ օրինակելի</w:t>
      </w:r>
      <w:r w:rsidRPr="0037694F">
        <w:rPr>
          <w:rFonts w:ascii="GHEA Grapalat" w:hAnsi="GHEA Grapalat"/>
          <w:color w:val="000000" w:themeColor="text1"/>
        </w:rPr>
        <w:t xml:space="preserve"> (ընդհանուր)</w:t>
      </w:r>
      <w:r w:rsidRPr="007B7114">
        <w:rPr>
          <w:rFonts w:ascii="GHEA Grapalat" w:hAnsi="GHEA Grapalat"/>
          <w:color w:val="000000" w:themeColor="text1"/>
        </w:rPr>
        <w:t xml:space="preserve"> պայմաններում</w:t>
      </w:r>
      <w:r w:rsidR="00CD7A13">
        <w:rPr>
          <w:rFonts w:ascii="GHEA Grapalat" w:hAnsi="GHEA Grapalat"/>
          <w:color w:val="000000" w:themeColor="text1"/>
        </w:rPr>
        <w:t xml:space="preserve"> </w:t>
      </w:r>
      <w:r w:rsidRPr="007B7114">
        <w:rPr>
          <w:rFonts w:ascii="GHEA Grapalat" w:hAnsi="GHEA Grapalat"/>
          <w:color w:val="000000" w:themeColor="text1"/>
        </w:rPr>
        <w:t>անարդար պայմանների ներառելու անթույլատրելիության վերաբերյալ դրույթներ։</w:t>
      </w:r>
    </w:p>
    <w:p w:rsidR="002159DA" w:rsidRPr="006C65D6" w:rsidRDefault="002159DA" w:rsidP="002159DA">
      <w:pPr>
        <w:pBdr>
          <w:top w:val="nil"/>
          <w:left w:val="nil"/>
          <w:bottom w:val="nil"/>
          <w:right w:val="nil"/>
          <w:between w:val="nil"/>
        </w:pBdr>
        <w:spacing w:line="360" w:lineRule="auto"/>
        <w:ind w:left="-2" w:firstLine="567"/>
        <w:jc w:val="both"/>
        <w:rPr>
          <w:rFonts w:ascii="GHEA Grapalat" w:hAnsi="GHEA Grapalat"/>
          <w:color w:val="000000" w:themeColor="text1"/>
        </w:rPr>
      </w:pPr>
    </w:p>
    <w:p w:rsidR="002159DA" w:rsidRPr="003E608A" w:rsidRDefault="002159DA" w:rsidP="002159DA">
      <w:pPr>
        <w:spacing w:line="360" w:lineRule="auto"/>
        <w:ind w:firstLine="540"/>
        <w:jc w:val="both"/>
        <w:rPr>
          <w:rFonts w:ascii="GHEA Grapalat" w:eastAsia="GHEA Grapalat" w:hAnsi="GHEA Grapalat" w:cs="GHEA Grapalat"/>
          <w:b/>
        </w:rPr>
      </w:pPr>
      <w:r w:rsidRPr="0037694F">
        <w:rPr>
          <w:rFonts w:ascii="GHEA Grapalat" w:hAnsi="GHEA Grapalat"/>
          <w:b/>
          <w:color w:val="000000" w:themeColor="text1"/>
        </w:rPr>
        <w:t xml:space="preserve">5. </w:t>
      </w:r>
      <w:r w:rsidRPr="0037694F">
        <w:rPr>
          <w:rFonts w:ascii="GHEA Grapalat" w:eastAsia="GHEA Grapalat" w:hAnsi="GHEA Grapalat" w:cs="GHEA Grapalat"/>
          <w:b/>
        </w:rPr>
        <w:t>Նախագծերի ընդունման կապակցությամբ այլ նորմատիվ իրավական ակտերի ընդունման անհրաժեշտությունը, ինչպես նաև լրացուցիչ ֆինանսական միջոցների անհրաժեշտությունը և պետական բյուջեի եկամուտներում և ծախսերում սպասվելիք փոփոխությունները</w:t>
      </w:r>
    </w:p>
    <w:p w:rsidR="002159DA" w:rsidRPr="006C65D6" w:rsidRDefault="002159DA" w:rsidP="002159DA">
      <w:pPr>
        <w:spacing w:line="360" w:lineRule="auto"/>
        <w:ind w:firstLine="540"/>
        <w:jc w:val="both"/>
        <w:rPr>
          <w:rFonts w:ascii="GHEA Grapalat" w:hAnsi="GHEA Grapalat"/>
          <w:b/>
          <w:i/>
          <w:color w:val="000000" w:themeColor="text1"/>
        </w:rPr>
      </w:pPr>
      <w:r w:rsidRPr="007B7114">
        <w:rPr>
          <w:rFonts w:ascii="GHEA Grapalat" w:eastAsia="GHEA Grapalat" w:hAnsi="GHEA Grapalat" w:cs="GHEA Grapalat"/>
        </w:rPr>
        <w:t>Նախագծ</w:t>
      </w:r>
      <w:r w:rsidRPr="0037694F">
        <w:rPr>
          <w:rFonts w:ascii="GHEA Grapalat" w:eastAsia="GHEA Grapalat" w:hAnsi="GHEA Grapalat" w:cs="GHEA Grapalat"/>
        </w:rPr>
        <w:t>եր</w:t>
      </w:r>
      <w:r w:rsidRPr="007B7114">
        <w:rPr>
          <w:rFonts w:ascii="GHEA Grapalat" w:eastAsia="GHEA Grapalat" w:hAnsi="GHEA Grapalat" w:cs="GHEA Grapalat"/>
        </w:rPr>
        <w:t>ի ընդունման կապակցությամբ այլ նորմատիվ իրավական ակտեր ընդունել անհրաժեշտ չէ,  ինչպես նաև պետական կամ տեղական ինքնակառավարման մարմնի բյուջեում եկամուտների և ծախսերի էական ավելացում կամ նվազեցում չի նախատեսվում:</w:t>
      </w:r>
    </w:p>
    <w:p w:rsidR="002159DA" w:rsidRPr="006C65D6" w:rsidRDefault="002159DA" w:rsidP="002159DA">
      <w:pPr>
        <w:pBdr>
          <w:top w:val="nil"/>
          <w:left w:val="nil"/>
          <w:bottom w:val="nil"/>
          <w:right w:val="nil"/>
          <w:between w:val="nil"/>
        </w:pBdr>
        <w:spacing w:line="360" w:lineRule="auto"/>
        <w:ind w:left="-2" w:firstLine="567"/>
        <w:jc w:val="both"/>
        <w:rPr>
          <w:rFonts w:ascii="GHEA Grapalat" w:hAnsi="GHEA Grapalat"/>
          <w:b/>
          <w:i/>
          <w:color w:val="000000" w:themeColor="text1"/>
        </w:rPr>
      </w:pPr>
    </w:p>
    <w:p w:rsidR="002159DA" w:rsidRPr="006C65D6" w:rsidRDefault="002159DA" w:rsidP="002159DA">
      <w:pPr>
        <w:pBdr>
          <w:top w:val="nil"/>
          <w:left w:val="nil"/>
          <w:bottom w:val="nil"/>
          <w:right w:val="nil"/>
          <w:between w:val="nil"/>
        </w:pBdr>
        <w:spacing w:line="360" w:lineRule="auto"/>
        <w:ind w:left="-2" w:firstLine="567"/>
        <w:jc w:val="both"/>
        <w:rPr>
          <w:rFonts w:ascii="GHEA Grapalat" w:hAnsi="GHEA Grapalat"/>
          <w:b/>
          <w:color w:val="000000" w:themeColor="text1"/>
        </w:rPr>
      </w:pPr>
      <w:r w:rsidRPr="0037694F">
        <w:rPr>
          <w:rFonts w:ascii="GHEA Grapalat" w:hAnsi="GHEA Grapalat"/>
          <w:b/>
          <w:color w:val="000000" w:themeColor="text1"/>
        </w:rPr>
        <w:t>6. Կապը ռազմավարական փաստաթղթերի հետ</w:t>
      </w:r>
    </w:p>
    <w:p w:rsidR="002159DA" w:rsidRPr="00693A10" w:rsidRDefault="002159DA" w:rsidP="002159DA">
      <w:pPr>
        <w:pBdr>
          <w:top w:val="nil"/>
          <w:left w:val="nil"/>
          <w:bottom w:val="nil"/>
          <w:right w:val="nil"/>
          <w:between w:val="nil"/>
        </w:pBdr>
        <w:spacing w:line="360" w:lineRule="auto"/>
        <w:ind w:left="-2" w:firstLine="567"/>
        <w:jc w:val="both"/>
        <w:rPr>
          <w:rFonts w:ascii="GHEA Grapalat" w:hAnsi="GHEA Grapalat"/>
          <w:color w:val="000000" w:themeColor="text1"/>
        </w:rPr>
      </w:pPr>
      <w:r w:rsidRPr="0037694F">
        <w:rPr>
          <w:rFonts w:ascii="GHEA Grapalat" w:hAnsi="GHEA Grapalat"/>
          <w:color w:val="000000" w:themeColor="text1"/>
        </w:rPr>
        <w:t xml:space="preserve">Նախագծերով առաջարկվող </w:t>
      </w:r>
      <w:r w:rsidRPr="007B7114">
        <w:rPr>
          <w:rFonts w:ascii="GHEA Grapalat" w:hAnsi="GHEA Grapalat"/>
          <w:color w:val="000000" w:themeColor="text1"/>
        </w:rPr>
        <w:t>փոփոխությունները բխում են Հայաստանի Հանրապետության դատակա</w:t>
      </w:r>
      <w:r>
        <w:rPr>
          <w:rFonts w:ascii="GHEA Grapalat" w:hAnsi="GHEA Grapalat"/>
          <w:color w:val="000000" w:themeColor="text1"/>
        </w:rPr>
        <w:t>ն և իրավական բարեփոխումների 20</w:t>
      </w:r>
      <w:r w:rsidRPr="002159DA">
        <w:rPr>
          <w:rFonts w:ascii="GHEA Grapalat" w:hAnsi="GHEA Grapalat"/>
          <w:color w:val="000000" w:themeColor="text1"/>
        </w:rPr>
        <w:t>22</w:t>
      </w:r>
      <w:r w:rsidRPr="007B7114">
        <w:rPr>
          <w:rFonts w:ascii="GHEA Grapalat" w:hAnsi="GHEA Grapalat"/>
          <w:color w:val="000000" w:themeColor="text1"/>
        </w:rPr>
        <w:t>-202</w:t>
      </w:r>
      <w:r w:rsidRPr="002159DA">
        <w:rPr>
          <w:rFonts w:ascii="GHEA Grapalat" w:hAnsi="GHEA Grapalat"/>
          <w:color w:val="000000" w:themeColor="text1"/>
        </w:rPr>
        <w:t>6</w:t>
      </w:r>
      <w:r w:rsidRPr="007B7114">
        <w:rPr>
          <w:rFonts w:ascii="GHEA Grapalat" w:hAnsi="GHEA Grapalat"/>
          <w:color w:val="000000" w:themeColor="text1"/>
        </w:rPr>
        <w:t xml:space="preserve"> թվականների ռազմավարությունից և դրանից բխող գործողությունների ծրագրից</w:t>
      </w:r>
      <w:r w:rsidRPr="002159DA">
        <w:rPr>
          <w:rFonts w:ascii="GHEA Grapalat" w:hAnsi="GHEA Grapalat"/>
          <w:color w:val="000000" w:themeColor="text1"/>
        </w:rPr>
        <w:t xml:space="preserve">, ինչպես նաև նախատեսված են եղել </w:t>
      </w:r>
      <w:r w:rsidRPr="007B7114">
        <w:rPr>
          <w:rFonts w:ascii="GHEA Grapalat" w:hAnsi="GHEA Grapalat"/>
          <w:color w:val="000000" w:themeColor="text1"/>
        </w:rPr>
        <w:t>Հայաստանի Հանրապետության դատական և իրավական բարեփոխումների 2019-2023 թվականների ռազմավարությ</w:t>
      </w:r>
      <w:r w:rsidRPr="002159DA">
        <w:rPr>
          <w:rFonts w:ascii="GHEA Grapalat" w:hAnsi="GHEA Grapalat"/>
          <w:color w:val="000000" w:themeColor="text1"/>
        </w:rPr>
        <w:t>ամբ</w:t>
      </w:r>
      <w:r w:rsidRPr="007B7114">
        <w:rPr>
          <w:rFonts w:ascii="GHEA Grapalat" w:hAnsi="GHEA Grapalat"/>
          <w:color w:val="000000" w:themeColor="text1"/>
        </w:rPr>
        <w:t xml:space="preserve"> և դրանի</w:t>
      </w:r>
      <w:r>
        <w:rPr>
          <w:rFonts w:ascii="GHEA Grapalat" w:hAnsi="GHEA Grapalat"/>
          <w:color w:val="000000" w:themeColor="text1"/>
        </w:rPr>
        <w:t>ց բխող գործողությունների ծրագր</w:t>
      </w:r>
      <w:r w:rsidRPr="002159DA">
        <w:rPr>
          <w:rFonts w:ascii="GHEA Grapalat" w:hAnsi="GHEA Grapalat"/>
          <w:color w:val="000000" w:themeColor="text1"/>
        </w:rPr>
        <w:t>ով</w:t>
      </w:r>
      <w:r w:rsidRPr="0037694F">
        <w:rPr>
          <w:rFonts w:ascii="GHEA Grapalat" w:hAnsi="GHEA Grapalat"/>
          <w:color w:val="000000" w:themeColor="text1"/>
        </w:rPr>
        <w:t>:</w:t>
      </w:r>
    </w:p>
    <w:p w:rsidR="003307B2" w:rsidRDefault="003307B2">
      <w:bookmarkStart w:id="1" w:name="_GoBack"/>
      <w:bookmarkEnd w:id="1"/>
    </w:p>
    <w:sectPr w:rsidR="003307B2" w:rsidSect="00D515C7">
      <w:headerReference w:type="default" r:id="rId7"/>
      <w:footerReference w:type="even" r:id="rId8"/>
      <w:footerReference w:type="default" r:id="rId9"/>
      <w:pgSz w:w="12240" w:h="15840"/>
      <w:pgMar w:top="1468" w:right="1020" w:bottom="1440" w:left="1014" w:header="247"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162C" w:rsidRDefault="00D5162C" w:rsidP="002159DA">
      <w:r>
        <w:separator/>
      </w:r>
    </w:p>
  </w:endnote>
  <w:endnote w:type="continuationSeparator" w:id="0">
    <w:p w:rsidR="00D5162C" w:rsidRDefault="00D5162C" w:rsidP="002159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altName w:val="Sylfaen"/>
    <w:panose1 w:val="02000506050000020003"/>
    <w:charset w:val="00"/>
    <w:family w:val="modern"/>
    <w:notTrueType/>
    <w:pitch w:val="variable"/>
    <w:sig w:usb0="A00006AF" w:usb1="5000204B" w:usb2="00000000" w:usb3="00000000" w:csb0="0000009F" w:csb1="00000000"/>
  </w:font>
  <w:font w:name="Vrinda">
    <w:panose1 w:val="020B0502040204020203"/>
    <w:charset w:val="00"/>
    <w:family w:val="swiss"/>
    <w:pitch w:val="variable"/>
    <w:sig w:usb0="0001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Arial LatArm">
    <w:panose1 w:val="020B0604020202020204"/>
    <w:charset w:val="00"/>
    <w:family w:val="swiss"/>
    <w:pitch w:val="variable"/>
    <w:sig w:usb0="00000003" w:usb1="00000000" w:usb2="00000000" w:usb3="00000000" w:csb0="00000001" w:csb1="00000000"/>
  </w:font>
  <w:font w:name="Calibri Light">
    <w:altName w:val="Arial"/>
    <w:charset w:val="00"/>
    <w:family w:val="swiss"/>
    <w:pitch w:val="variable"/>
    <w:sig w:usb0="00000000"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5B1F" w:rsidRDefault="00F92280">
    <w:pPr>
      <w:pBdr>
        <w:top w:val="nil"/>
        <w:left w:val="nil"/>
        <w:bottom w:val="nil"/>
        <w:right w:val="nil"/>
        <w:between w:val="nil"/>
      </w:pBdr>
      <w:tabs>
        <w:tab w:val="center" w:pos="4680"/>
        <w:tab w:val="right" w:pos="9360"/>
      </w:tabs>
      <w:jc w:val="center"/>
      <w:rPr>
        <w:color w:val="000000"/>
      </w:rPr>
    </w:pPr>
    <w:r>
      <w:rPr>
        <w:color w:val="000000"/>
      </w:rPr>
      <w:fldChar w:fldCharType="begin"/>
    </w:r>
    <w:r w:rsidR="00B02EEB">
      <w:rPr>
        <w:color w:val="000000"/>
      </w:rPr>
      <w:instrText>PAGE</w:instrText>
    </w:r>
    <w:r>
      <w:rPr>
        <w:color w:val="000000"/>
      </w:rPr>
      <w:fldChar w:fldCharType="end"/>
    </w:r>
  </w:p>
  <w:p w:rsidR="00465B1F" w:rsidRDefault="00D5162C">
    <w:pPr>
      <w:pBdr>
        <w:top w:val="nil"/>
        <w:left w:val="nil"/>
        <w:bottom w:val="nil"/>
        <w:right w:val="nil"/>
        <w:between w:val="nil"/>
      </w:pBdr>
      <w:tabs>
        <w:tab w:val="center" w:pos="4680"/>
        <w:tab w:val="right" w:pos="9360"/>
      </w:tabs>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5B1F" w:rsidRPr="009A1B03" w:rsidRDefault="00F92280">
    <w:pPr>
      <w:pBdr>
        <w:top w:val="nil"/>
        <w:left w:val="nil"/>
        <w:bottom w:val="nil"/>
        <w:right w:val="nil"/>
        <w:between w:val="nil"/>
      </w:pBdr>
      <w:tabs>
        <w:tab w:val="center" w:pos="4680"/>
        <w:tab w:val="right" w:pos="9360"/>
      </w:tabs>
      <w:jc w:val="center"/>
      <w:rPr>
        <w:rFonts w:ascii="GHEA Grapalat" w:hAnsi="GHEA Grapalat"/>
        <w:color w:val="000000"/>
      </w:rPr>
    </w:pPr>
    <w:r w:rsidRPr="009A1B03">
      <w:rPr>
        <w:rFonts w:ascii="GHEA Grapalat" w:hAnsi="GHEA Grapalat"/>
        <w:color w:val="000000"/>
      </w:rPr>
      <w:fldChar w:fldCharType="begin"/>
    </w:r>
    <w:r w:rsidR="00B02EEB" w:rsidRPr="009A1B03">
      <w:rPr>
        <w:rFonts w:ascii="GHEA Grapalat" w:hAnsi="GHEA Grapalat"/>
        <w:color w:val="000000"/>
      </w:rPr>
      <w:instrText>PAGE</w:instrText>
    </w:r>
    <w:r w:rsidRPr="009A1B03">
      <w:rPr>
        <w:rFonts w:ascii="GHEA Grapalat" w:hAnsi="GHEA Grapalat"/>
        <w:color w:val="000000"/>
      </w:rPr>
      <w:fldChar w:fldCharType="separate"/>
    </w:r>
    <w:r w:rsidR="00206F7C">
      <w:rPr>
        <w:rFonts w:ascii="GHEA Grapalat" w:hAnsi="GHEA Grapalat"/>
        <w:noProof/>
        <w:color w:val="000000"/>
      </w:rPr>
      <w:t>27</w:t>
    </w:r>
    <w:r w:rsidRPr="009A1B03">
      <w:rPr>
        <w:rFonts w:ascii="GHEA Grapalat" w:hAnsi="GHEA Grapalat"/>
        <w:color w:val="000000"/>
      </w:rPr>
      <w:fldChar w:fldCharType="end"/>
    </w:r>
  </w:p>
  <w:p w:rsidR="00465B1F" w:rsidRPr="009A1B03" w:rsidRDefault="00D5162C">
    <w:pPr>
      <w:pBdr>
        <w:top w:val="nil"/>
        <w:left w:val="nil"/>
        <w:bottom w:val="nil"/>
        <w:right w:val="nil"/>
        <w:between w:val="nil"/>
      </w:pBdr>
      <w:tabs>
        <w:tab w:val="center" w:pos="4680"/>
        <w:tab w:val="right" w:pos="9360"/>
      </w:tabs>
      <w:rPr>
        <w:rFonts w:ascii="GHEA Grapalat" w:hAnsi="GHEA Grapalat"/>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162C" w:rsidRDefault="00D5162C" w:rsidP="002159DA">
      <w:r>
        <w:separator/>
      </w:r>
    </w:p>
  </w:footnote>
  <w:footnote w:type="continuationSeparator" w:id="0">
    <w:p w:rsidR="00D5162C" w:rsidRDefault="00D5162C" w:rsidP="002159DA">
      <w:r>
        <w:continuationSeparator/>
      </w:r>
    </w:p>
  </w:footnote>
  <w:footnote w:id="1">
    <w:p w:rsidR="002159DA" w:rsidRPr="00BD54A4" w:rsidRDefault="002159DA" w:rsidP="002159DA">
      <w:pPr>
        <w:pStyle w:val="FootnoteText"/>
        <w:rPr>
          <w:rFonts w:ascii="GHEA Grapalat" w:hAnsi="GHEA Grapalat"/>
          <w:szCs w:val="20"/>
        </w:rPr>
      </w:pPr>
      <w:r w:rsidRPr="00BD54A4">
        <w:rPr>
          <w:rStyle w:val="FootnoteReference"/>
          <w:rFonts w:ascii="GHEA Grapalat" w:hAnsi="GHEA Grapalat"/>
          <w:szCs w:val="20"/>
        </w:rPr>
        <w:footnoteRef/>
      </w:r>
      <w:r w:rsidRPr="00BD54A4">
        <w:rPr>
          <w:rFonts w:ascii="GHEA Grapalat" w:hAnsi="GHEA Grapalat"/>
          <w:szCs w:val="20"/>
        </w:rPr>
        <w:t xml:space="preserve"> Տե՛ս օրինակ՝ United Nations Convention on the Use of Electronic Communications in International Contracts, Article 4(g); Uniform Electronic Transactions Act (1999), National Conference of Commissioners on Uniform State Laws, Sec. 2(2)</w:t>
      </w:r>
    </w:p>
  </w:footnote>
  <w:footnote w:id="2">
    <w:p w:rsidR="002159DA" w:rsidRPr="00BD54A4" w:rsidRDefault="002159DA" w:rsidP="002159DA">
      <w:pPr>
        <w:jc w:val="both"/>
        <w:rPr>
          <w:rFonts w:ascii="GHEA Grapalat" w:hAnsi="GHEA Grapalat"/>
          <w:sz w:val="20"/>
          <w:szCs w:val="20"/>
        </w:rPr>
      </w:pPr>
      <w:r w:rsidRPr="00BD54A4">
        <w:rPr>
          <w:rStyle w:val="FootnoteReference"/>
          <w:rFonts w:ascii="GHEA Grapalat" w:hAnsi="GHEA Grapalat"/>
          <w:sz w:val="20"/>
          <w:szCs w:val="20"/>
        </w:rPr>
        <w:footnoteRef/>
      </w:r>
      <w:r w:rsidRPr="00BD54A4">
        <w:rPr>
          <w:rFonts w:ascii="GHEA Grapalat" w:eastAsia="Arial Unicode MS" w:hAnsi="GHEA Grapalat" w:cs="Arial Unicode MS"/>
          <w:sz w:val="20"/>
          <w:szCs w:val="20"/>
        </w:rPr>
        <w:t xml:space="preserve"> Առավել մանրամասն տես՝ ՄԱԿ միջազգային առևտրի իրավունքի հանձնաժողովի մոդելային օրենքը «Էլեկտրոնային առևտրի մասին» (1996թ.)</w:t>
      </w:r>
      <w:hyperlink r:id="rId1" w:anchor=":~:text=The%20Model%20Law%20on%20Electronic,legal%20predictability%20for%20electronic%20commerce." w:history="1">
        <w:r w:rsidRPr="00BD54A4">
          <w:rPr>
            <w:rStyle w:val="Hyperlink"/>
            <w:rFonts w:ascii="GHEA Grapalat" w:eastAsia="Arial Unicode MS" w:hAnsi="GHEA Grapalat" w:cs="Arial Unicode MS"/>
            <w:sz w:val="20"/>
            <w:szCs w:val="20"/>
          </w:rPr>
          <w:t>https://uncitral.un.org/en/texts/ecommerce/modellaw/electronic_commerce#:~:text=The%20Model%20Law%20on%20Electronic,legal%20predictability%20for%20electronic%20commerce.</w:t>
        </w:r>
      </w:hyperlink>
    </w:p>
  </w:footnote>
  <w:footnote w:id="3">
    <w:p w:rsidR="002159DA" w:rsidRPr="00BD54A4" w:rsidRDefault="002159DA" w:rsidP="002159DA">
      <w:pPr>
        <w:rPr>
          <w:rFonts w:ascii="GHEA Grapalat" w:hAnsi="GHEA Grapalat"/>
          <w:sz w:val="20"/>
          <w:szCs w:val="20"/>
        </w:rPr>
      </w:pPr>
      <w:r w:rsidRPr="00BD54A4">
        <w:rPr>
          <w:rStyle w:val="FootnoteReference"/>
          <w:rFonts w:ascii="GHEA Grapalat" w:hAnsi="GHEA Grapalat"/>
          <w:sz w:val="20"/>
          <w:szCs w:val="20"/>
        </w:rPr>
        <w:footnoteRef/>
      </w:r>
      <w:r w:rsidRPr="00BD54A4">
        <w:rPr>
          <w:rFonts w:ascii="GHEA Grapalat" w:hAnsi="GHEA Grapalat"/>
          <w:sz w:val="20"/>
          <w:szCs w:val="20"/>
        </w:rPr>
        <w:t xml:space="preserve">Տես՝ </w:t>
      </w:r>
      <w:hyperlink r:id="rId2" w:history="1">
        <w:r w:rsidRPr="00BD54A4">
          <w:rPr>
            <w:rStyle w:val="Hyperlink"/>
            <w:rFonts w:ascii="GHEA Grapalat" w:hAnsi="GHEA Grapalat"/>
            <w:sz w:val="20"/>
            <w:szCs w:val="20"/>
          </w:rPr>
          <w:t>https://www.uncitral.org/pdf/english/texts/electcom/06-57452_Ebook.pdf</w:t>
        </w:r>
      </w:hyperlink>
    </w:p>
  </w:footnote>
  <w:footnote w:id="4">
    <w:p w:rsidR="002159DA" w:rsidRPr="00BD54A4" w:rsidRDefault="002159DA" w:rsidP="002159DA">
      <w:pPr>
        <w:jc w:val="both"/>
        <w:rPr>
          <w:rFonts w:ascii="GHEA Grapalat" w:hAnsi="GHEA Grapalat"/>
          <w:sz w:val="20"/>
          <w:szCs w:val="20"/>
        </w:rPr>
      </w:pPr>
      <w:r w:rsidRPr="00BD54A4">
        <w:rPr>
          <w:rStyle w:val="FootnoteReference"/>
          <w:rFonts w:ascii="GHEA Grapalat" w:hAnsi="GHEA Grapalat"/>
          <w:sz w:val="20"/>
          <w:szCs w:val="20"/>
        </w:rPr>
        <w:footnoteRef/>
      </w:r>
      <w:r w:rsidRPr="00BD54A4">
        <w:rPr>
          <w:rFonts w:ascii="GHEA Grapalat" w:hAnsi="GHEA Grapalat"/>
          <w:sz w:val="20"/>
          <w:szCs w:val="20"/>
        </w:rPr>
        <w:t xml:space="preserve">Տես՝ </w:t>
      </w:r>
      <w:hyperlink r:id="rId3" w:history="1">
        <w:r w:rsidRPr="00BD54A4">
          <w:rPr>
            <w:rStyle w:val="Hyperlink"/>
            <w:rFonts w:ascii="GHEA Grapalat" w:hAnsi="GHEA Grapalat"/>
            <w:sz w:val="20"/>
            <w:szCs w:val="20"/>
          </w:rPr>
          <w:t>https://uncitral.un.org/sites/uncitral.un.org/files/media-documents/uncitral/en/19-04970_ebook.pdf</w:t>
        </w:r>
      </w:hyperlink>
    </w:p>
  </w:footnote>
  <w:footnote w:id="5">
    <w:p w:rsidR="002159DA" w:rsidRPr="00BD54A4" w:rsidRDefault="002159DA" w:rsidP="002159DA">
      <w:pPr>
        <w:rPr>
          <w:rFonts w:ascii="GHEA Grapalat" w:hAnsi="GHEA Grapalat"/>
          <w:sz w:val="20"/>
          <w:szCs w:val="20"/>
        </w:rPr>
      </w:pPr>
      <w:r w:rsidRPr="00BD54A4">
        <w:rPr>
          <w:rStyle w:val="FootnoteReference"/>
          <w:rFonts w:ascii="GHEA Grapalat" w:hAnsi="GHEA Grapalat"/>
          <w:sz w:val="20"/>
          <w:szCs w:val="20"/>
        </w:rPr>
        <w:footnoteRef/>
      </w:r>
      <w:r w:rsidRPr="00BD54A4">
        <w:rPr>
          <w:rFonts w:ascii="GHEA Grapalat" w:hAnsi="GHEA Grapalat"/>
          <w:sz w:val="20"/>
          <w:szCs w:val="20"/>
        </w:rPr>
        <w:t xml:space="preserve">Տես՝ </w:t>
      </w:r>
      <w:hyperlink r:id="rId4" w:history="1">
        <w:r w:rsidRPr="00BD54A4">
          <w:rPr>
            <w:rStyle w:val="Hyperlink"/>
            <w:rFonts w:ascii="GHEA Grapalat" w:hAnsi="GHEA Grapalat"/>
            <w:sz w:val="20"/>
            <w:szCs w:val="20"/>
          </w:rPr>
          <w:t>https://eur-lex.europa.eu/legal-content/EN/ALL/?uri=CELEX%3A31999L0093</w:t>
        </w:r>
      </w:hyperlink>
    </w:p>
  </w:footnote>
  <w:footnote w:id="6">
    <w:p w:rsidR="002159DA" w:rsidRPr="00BD54A4" w:rsidRDefault="002159DA" w:rsidP="002159DA">
      <w:pPr>
        <w:jc w:val="both"/>
        <w:rPr>
          <w:rFonts w:ascii="GHEA Grapalat" w:hAnsi="GHEA Grapalat"/>
          <w:sz w:val="20"/>
          <w:szCs w:val="20"/>
        </w:rPr>
      </w:pPr>
      <w:r w:rsidRPr="00BD54A4">
        <w:rPr>
          <w:rStyle w:val="FootnoteReference"/>
          <w:rFonts w:ascii="GHEA Grapalat" w:hAnsi="GHEA Grapalat"/>
          <w:sz w:val="20"/>
          <w:szCs w:val="20"/>
        </w:rPr>
        <w:footnoteRef/>
      </w:r>
      <w:r w:rsidRPr="00BD54A4">
        <w:rPr>
          <w:rFonts w:ascii="GHEA Grapalat" w:hAnsi="GHEA Grapalat"/>
          <w:sz w:val="20"/>
          <w:szCs w:val="20"/>
        </w:rPr>
        <w:t xml:space="preserve">Տես՝ </w:t>
      </w:r>
      <w:hyperlink r:id="rId5" w:history="1">
        <w:r w:rsidRPr="00BD54A4">
          <w:rPr>
            <w:rStyle w:val="Hyperlink"/>
            <w:rFonts w:ascii="GHEA Grapalat" w:hAnsi="GHEA Grapalat"/>
            <w:sz w:val="20"/>
            <w:szCs w:val="20"/>
          </w:rPr>
          <w:t>https://eur-lex.europa.eu/legal-content/EN/ALL/?uri=CELEX%3A32000L0031</w:t>
        </w:r>
      </w:hyperlink>
    </w:p>
  </w:footnote>
  <w:footnote w:id="7">
    <w:p w:rsidR="002159DA" w:rsidRPr="00BD54A4" w:rsidRDefault="002159DA" w:rsidP="002159DA">
      <w:pPr>
        <w:jc w:val="both"/>
        <w:rPr>
          <w:rFonts w:ascii="GHEA Grapalat" w:hAnsi="GHEA Grapalat"/>
          <w:sz w:val="20"/>
          <w:szCs w:val="20"/>
        </w:rPr>
      </w:pPr>
      <w:r w:rsidRPr="00BD54A4">
        <w:rPr>
          <w:rStyle w:val="FootnoteReference"/>
          <w:rFonts w:ascii="GHEA Grapalat" w:hAnsi="GHEA Grapalat"/>
          <w:sz w:val="20"/>
          <w:szCs w:val="20"/>
        </w:rPr>
        <w:footnoteRef/>
      </w:r>
      <w:r w:rsidRPr="00BD54A4">
        <w:rPr>
          <w:rFonts w:ascii="GHEA Grapalat" w:hAnsi="GHEA Grapalat"/>
          <w:sz w:val="20"/>
          <w:szCs w:val="20"/>
        </w:rPr>
        <w:t xml:space="preserve"> Տես՝Digital business in the United States: overviewby</w:t>
      </w:r>
      <w:r w:rsidRPr="00BD54A4">
        <w:rPr>
          <w:rFonts w:ascii="Cambria" w:hAnsi="Cambria" w:cs="Cambria"/>
          <w:sz w:val="20"/>
          <w:szCs w:val="20"/>
        </w:rPr>
        <w:t> </w:t>
      </w:r>
      <w:r w:rsidRPr="00BD54A4">
        <w:rPr>
          <w:rFonts w:ascii="GHEA Grapalat" w:hAnsi="GHEA Grapalat"/>
          <w:sz w:val="20"/>
          <w:szCs w:val="20"/>
        </w:rPr>
        <w:t>Ieuan Jolly and Angela Matney, Loeb &amp; Loeb LLP, 2019թ.</w:t>
      </w:r>
    </w:p>
  </w:footnote>
  <w:footnote w:id="8">
    <w:p w:rsidR="002159DA" w:rsidRPr="00BD54A4" w:rsidRDefault="002159DA" w:rsidP="002159DA">
      <w:pPr>
        <w:pStyle w:val="FootnoteText"/>
        <w:jc w:val="both"/>
        <w:rPr>
          <w:rFonts w:ascii="GHEA Grapalat" w:hAnsi="GHEA Grapalat"/>
          <w:szCs w:val="20"/>
          <w:lang w:val="hy-AM"/>
        </w:rPr>
      </w:pPr>
      <w:r w:rsidRPr="00BD54A4">
        <w:rPr>
          <w:rStyle w:val="FootnoteReference"/>
          <w:rFonts w:ascii="GHEA Grapalat" w:hAnsi="GHEA Grapalat"/>
          <w:szCs w:val="20"/>
        </w:rPr>
        <w:footnoteRef/>
      </w:r>
      <w:r w:rsidRPr="00BD54A4">
        <w:rPr>
          <w:rFonts w:ascii="GHEA Grapalat" w:hAnsi="GHEA Grapalat"/>
          <w:szCs w:val="20"/>
          <w:lang w:val="hy-AM"/>
        </w:rPr>
        <w:t xml:space="preserve">Տես՝ </w:t>
      </w:r>
      <w:r w:rsidRPr="00BD54A4">
        <w:rPr>
          <w:rFonts w:ascii="GHEA Grapalat" w:hAnsi="GHEA Grapalat"/>
          <w:szCs w:val="20"/>
        </w:rPr>
        <w:t>Uniform Electronic Transactions Act (1999)Articles2</w:t>
      </w:r>
      <w:r w:rsidRPr="00BD54A4">
        <w:rPr>
          <w:rFonts w:ascii="GHEA Grapalat" w:hAnsi="GHEA Grapalat"/>
          <w:szCs w:val="20"/>
          <w:lang w:val="hy-AM"/>
        </w:rPr>
        <w:t xml:space="preserve">, </w:t>
      </w:r>
      <w:r w:rsidRPr="00BD54A4">
        <w:rPr>
          <w:rFonts w:ascii="GHEA Grapalat" w:hAnsi="GHEA Grapalat"/>
          <w:szCs w:val="20"/>
        </w:rPr>
        <w:t>5</w:t>
      </w:r>
      <w:r w:rsidRPr="00BD54A4">
        <w:rPr>
          <w:rFonts w:ascii="GHEA Grapalat" w:hAnsi="GHEA Grapalat"/>
          <w:szCs w:val="20"/>
          <w:lang w:val="hy-AM"/>
        </w:rPr>
        <w:t>,</w:t>
      </w:r>
      <w:r w:rsidRPr="00BD54A4">
        <w:rPr>
          <w:rFonts w:ascii="GHEA Grapalat" w:hAnsi="GHEA Grapalat"/>
          <w:szCs w:val="20"/>
        </w:rPr>
        <w:t xml:space="preserve"> 7</w:t>
      </w:r>
      <w:r w:rsidRPr="00BD54A4">
        <w:rPr>
          <w:rFonts w:ascii="GHEA Grapalat" w:hAnsi="GHEA Grapalat"/>
          <w:szCs w:val="20"/>
          <w:lang w:val="hy-AM"/>
        </w:rPr>
        <w:t>,</w:t>
      </w:r>
      <w:r w:rsidRPr="00BD54A4">
        <w:rPr>
          <w:rFonts w:ascii="GHEA Grapalat" w:hAnsi="GHEA Grapalat"/>
          <w:szCs w:val="20"/>
        </w:rPr>
        <w:t xml:space="preserve"> 8, 13</w:t>
      </w:r>
    </w:p>
  </w:footnote>
  <w:footnote w:id="9">
    <w:p w:rsidR="002159DA" w:rsidRPr="00582BA9" w:rsidRDefault="002159DA" w:rsidP="002159DA">
      <w:pPr>
        <w:jc w:val="both"/>
        <w:rPr>
          <w:rFonts w:ascii="GHEA Grapalat" w:hAnsi="GHEA Grapalat"/>
          <w:sz w:val="20"/>
          <w:szCs w:val="20"/>
        </w:rPr>
      </w:pPr>
      <w:r w:rsidRPr="00BD54A4">
        <w:rPr>
          <w:rStyle w:val="FootnoteReference"/>
          <w:rFonts w:ascii="GHEA Grapalat" w:hAnsi="GHEA Grapalat"/>
          <w:sz w:val="20"/>
          <w:szCs w:val="20"/>
        </w:rPr>
        <w:footnoteRef/>
      </w:r>
      <w:r w:rsidRPr="00BD54A4">
        <w:rPr>
          <w:rFonts w:ascii="GHEA Grapalat" w:hAnsi="GHEA Grapalat"/>
          <w:sz w:val="20"/>
          <w:szCs w:val="20"/>
        </w:rPr>
        <w:t xml:space="preserve"> Տես՝ ՄԷԳԱ կիրառման մեկնաբանություններ, էջեր 9-11</w:t>
      </w:r>
      <w:r w:rsidRPr="00582BA9">
        <w:rPr>
          <w:rFonts w:ascii="GHEA Grapalat" w:hAnsi="GHEA Grapalat"/>
          <w:sz w:val="20"/>
          <w:szCs w:val="20"/>
        </w:rPr>
        <w:t xml:space="preserve">, </w:t>
      </w:r>
      <w:hyperlink r:id="rId6" w:history="1">
        <w:r w:rsidRPr="00BD54A4">
          <w:rPr>
            <w:rStyle w:val="Hyperlink"/>
            <w:rFonts w:ascii="GHEA Grapalat" w:hAnsi="GHEA Grapalat"/>
            <w:sz w:val="20"/>
            <w:szCs w:val="20"/>
          </w:rPr>
          <w:t>http://euro.ecom.cmu.edu/program/law/08-732/Transactions/ueta.pdf</w:t>
        </w:r>
      </w:hyperlink>
    </w:p>
  </w:footnote>
  <w:footnote w:id="10">
    <w:p w:rsidR="002159DA" w:rsidRPr="00582BA9" w:rsidRDefault="002159DA" w:rsidP="002159DA">
      <w:pPr>
        <w:jc w:val="both"/>
        <w:rPr>
          <w:rFonts w:ascii="GHEA Grapalat" w:hAnsi="GHEA Grapalat"/>
          <w:sz w:val="20"/>
          <w:szCs w:val="20"/>
        </w:rPr>
      </w:pPr>
      <w:r w:rsidRPr="00BD54A4">
        <w:rPr>
          <w:rStyle w:val="FootnoteReference"/>
          <w:rFonts w:ascii="GHEA Grapalat" w:hAnsi="GHEA Grapalat"/>
          <w:sz w:val="20"/>
          <w:szCs w:val="20"/>
        </w:rPr>
        <w:footnoteRef/>
      </w:r>
      <w:r w:rsidRPr="00BD54A4">
        <w:rPr>
          <w:rFonts w:ascii="GHEA Grapalat" w:hAnsi="GHEA Grapalat"/>
          <w:sz w:val="20"/>
          <w:szCs w:val="20"/>
        </w:rPr>
        <w:t xml:space="preserve"> Տես՝ Bruce S. Nathan &amp; Terence D. Watson,Electronic Signatures, Agreements &amp; Documents; The Recipe for Enforceability and Admissibility,2013թ. էջեր 2-4։ Էլեկտրոնային հղումը՝ </w:t>
      </w:r>
      <w:hyperlink r:id="rId7" w:history="1">
        <w:r w:rsidRPr="00BD54A4">
          <w:rPr>
            <w:rStyle w:val="Hyperlink"/>
            <w:rFonts w:ascii="GHEA Grapalat" w:hAnsi="GHEA Grapalat"/>
            <w:sz w:val="20"/>
            <w:szCs w:val="20"/>
          </w:rPr>
          <w:t>https://www.lowenstein.com/media/3117/1-electronic-signatures-agreements-and-documents_-the-recipe-for-enforceability-an.pdf</w:t>
        </w:r>
      </w:hyperlink>
    </w:p>
  </w:footnote>
  <w:footnote w:id="11">
    <w:p w:rsidR="002159DA" w:rsidRPr="00ED3F74" w:rsidRDefault="002159DA" w:rsidP="002159DA">
      <w:pPr>
        <w:jc w:val="both"/>
        <w:rPr>
          <w:rFonts w:ascii="GHEA Grapalat" w:hAnsi="GHEA Grapalat"/>
          <w:sz w:val="20"/>
          <w:szCs w:val="20"/>
          <w:lang w:val="en-US"/>
        </w:rPr>
      </w:pPr>
      <w:r w:rsidRPr="00BD54A4">
        <w:rPr>
          <w:rStyle w:val="FootnoteReference"/>
          <w:rFonts w:ascii="GHEA Grapalat" w:hAnsi="GHEA Grapalat"/>
          <w:sz w:val="20"/>
          <w:szCs w:val="20"/>
        </w:rPr>
        <w:footnoteRef/>
      </w:r>
      <w:r w:rsidRPr="00BD54A4">
        <w:rPr>
          <w:rFonts w:ascii="GHEA Grapalat" w:hAnsi="GHEA Grapalat"/>
          <w:sz w:val="20"/>
          <w:szCs w:val="20"/>
        </w:rPr>
        <w:t xml:space="preserve"> Տես՝ Digital business in the United Kingdom: overview by</w:t>
      </w:r>
      <w:r w:rsidRPr="00BD54A4">
        <w:rPr>
          <w:rFonts w:ascii="Cambria" w:hAnsi="Cambria" w:cs="Cambria"/>
          <w:sz w:val="20"/>
          <w:szCs w:val="20"/>
        </w:rPr>
        <w:t> </w:t>
      </w:r>
      <w:r w:rsidRPr="00BD54A4">
        <w:rPr>
          <w:rFonts w:ascii="GHEA Grapalat" w:hAnsi="GHEA Grapalat"/>
          <w:sz w:val="20"/>
          <w:szCs w:val="20"/>
        </w:rPr>
        <w:t>Craig Giles</w:t>
      </w:r>
      <w:r w:rsidRPr="00BD54A4">
        <w:rPr>
          <w:rFonts w:ascii="Cambria" w:hAnsi="Cambria" w:cs="Cambria"/>
          <w:sz w:val="20"/>
          <w:szCs w:val="20"/>
        </w:rPr>
        <w:t> </w:t>
      </w:r>
      <w:r w:rsidRPr="00BD54A4">
        <w:rPr>
          <w:rFonts w:ascii="GHEA Grapalat" w:hAnsi="GHEA Grapalat"/>
          <w:sz w:val="20"/>
          <w:szCs w:val="20"/>
        </w:rPr>
        <w:t>and</w:t>
      </w:r>
      <w:r w:rsidRPr="00BD54A4">
        <w:rPr>
          <w:rFonts w:ascii="Cambria" w:hAnsi="Cambria" w:cs="Cambria"/>
          <w:sz w:val="20"/>
          <w:szCs w:val="20"/>
        </w:rPr>
        <w:t> </w:t>
      </w:r>
      <w:r w:rsidRPr="00BD54A4">
        <w:rPr>
          <w:rFonts w:ascii="GHEA Grapalat" w:hAnsi="GHEA Grapalat"/>
          <w:sz w:val="20"/>
          <w:szCs w:val="20"/>
        </w:rPr>
        <w:t>Will Deller,</w:t>
      </w:r>
      <w:r w:rsidRPr="00BD54A4">
        <w:rPr>
          <w:rFonts w:ascii="Cambria" w:hAnsi="Cambria" w:cs="Cambria"/>
          <w:sz w:val="20"/>
          <w:szCs w:val="20"/>
        </w:rPr>
        <w:t> </w:t>
      </w:r>
      <w:r>
        <w:rPr>
          <w:rFonts w:ascii="GHEA Grapalat" w:hAnsi="GHEA Grapalat"/>
          <w:sz w:val="20"/>
          <w:szCs w:val="20"/>
        </w:rPr>
        <w:t>Bird &amp; Bird LLP, 2018թ.</w:t>
      </w:r>
    </w:p>
  </w:footnote>
  <w:footnote w:id="12">
    <w:p w:rsidR="002159DA" w:rsidRPr="00ED3F74" w:rsidRDefault="002159DA" w:rsidP="002159DA">
      <w:pPr>
        <w:jc w:val="both"/>
        <w:rPr>
          <w:rFonts w:ascii="GHEA Grapalat" w:hAnsi="GHEA Grapalat"/>
          <w:sz w:val="20"/>
          <w:szCs w:val="20"/>
          <w:lang w:val="en-US"/>
        </w:rPr>
      </w:pPr>
      <w:r w:rsidRPr="00BD54A4">
        <w:rPr>
          <w:rStyle w:val="FootnoteReference"/>
          <w:rFonts w:ascii="GHEA Grapalat" w:hAnsi="GHEA Grapalat"/>
          <w:sz w:val="20"/>
          <w:szCs w:val="20"/>
        </w:rPr>
        <w:footnoteRef/>
      </w:r>
      <w:r w:rsidRPr="00BD54A4">
        <w:rPr>
          <w:rFonts w:ascii="GHEA Grapalat" w:hAnsi="GHEA Grapalat"/>
          <w:sz w:val="20"/>
          <w:szCs w:val="20"/>
        </w:rPr>
        <w:t>Տես՝ Digital</w:t>
      </w:r>
      <w:r w:rsidRPr="00BD54A4">
        <w:rPr>
          <w:rFonts w:ascii="Cambria" w:hAnsi="Cambria" w:cs="Cambria"/>
          <w:sz w:val="20"/>
          <w:szCs w:val="20"/>
        </w:rPr>
        <w:t> </w:t>
      </w:r>
      <w:r w:rsidRPr="00BD54A4">
        <w:rPr>
          <w:rFonts w:ascii="GHEA Grapalat" w:hAnsi="GHEA Grapalat"/>
          <w:sz w:val="20"/>
          <w:szCs w:val="20"/>
        </w:rPr>
        <w:t>business</w:t>
      </w:r>
      <w:r w:rsidRPr="00BD54A4">
        <w:rPr>
          <w:rFonts w:ascii="Cambria" w:hAnsi="Cambria" w:cs="Cambria"/>
          <w:sz w:val="20"/>
          <w:szCs w:val="20"/>
        </w:rPr>
        <w:t> </w:t>
      </w:r>
      <w:r w:rsidRPr="00BD54A4">
        <w:rPr>
          <w:rFonts w:ascii="GHEA Grapalat" w:hAnsi="GHEA Grapalat"/>
          <w:sz w:val="20"/>
          <w:szCs w:val="20"/>
        </w:rPr>
        <w:t>in Germany: overview by</w:t>
      </w:r>
      <w:r w:rsidRPr="00BD54A4">
        <w:rPr>
          <w:rFonts w:ascii="Cambria" w:hAnsi="Cambria" w:cs="Cambria"/>
          <w:sz w:val="20"/>
          <w:szCs w:val="20"/>
        </w:rPr>
        <w:t> </w:t>
      </w:r>
      <w:r w:rsidRPr="00BD54A4">
        <w:rPr>
          <w:rFonts w:ascii="GHEA Grapalat" w:hAnsi="GHEA Grapalat"/>
          <w:sz w:val="20"/>
          <w:szCs w:val="20"/>
        </w:rPr>
        <w:t>Dr. Nils Lölfing and Dr. Fabian Niemann,</w:t>
      </w:r>
      <w:r w:rsidRPr="00BD54A4">
        <w:rPr>
          <w:rFonts w:ascii="Cambria" w:hAnsi="Cambria" w:cs="Cambria"/>
          <w:sz w:val="20"/>
          <w:szCs w:val="20"/>
        </w:rPr>
        <w:t> </w:t>
      </w:r>
      <w:r>
        <w:rPr>
          <w:rFonts w:ascii="GHEA Grapalat" w:hAnsi="GHEA Grapalat"/>
          <w:sz w:val="20"/>
          <w:szCs w:val="20"/>
        </w:rPr>
        <w:t>Bird &amp; Bird, 2020թ.</w:t>
      </w:r>
    </w:p>
  </w:footnote>
  <w:footnote w:id="13">
    <w:p w:rsidR="002159DA" w:rsidRPr="00ED3F74" w:rsidRDefault="002159DA" w:rsidP="002159DA">
      <w:pPr>
        <w:jc w:val="both"/>
        <w:rPr>
          <w:rFonts w:ascii="GHEA Grapalat" w:hAnsi="GHEA Grapalat"/>
          <w:sz w:val="20"/>
          <w:szCs w:val="20"/>
          <w:lang w:val="en-US"/>
        </w:rPr>
      </w:pPr>
      <w:r w:rsidRPr="00BD54A4">
        <w:rPr>
          <w:rStyle w:val="FootnoteReference"/>
          <w:rFonts w:ascii="GHEA Grapalat" w:hAnsi="GHEA Grapalat"/>
          <w:sz w:val="20"/>
          <w:szCs w:val="20"/>
        </w:rPr>
        <w:footnoteRef/>
      </w:r>
      <w:r w:rsidRPr="00BD54A4">
        <w:rPr>
          <w:rFonts w:ascii="GHEA Grapalat" w:hAnsi="GHEA Grapalat"/>
          <w:sz w:val="20"/>
          <w:szCs w:val="20"/>
        </w:rPr>
        <w:t xml:space="preserve"> Տես՝ Digital</w:t>
      </w:r>
      <w:r w:rsidRPr="00BD54A4">
        <w:rPr>
          <w:rFonts w:ascii="Cambria" w:hAnsi="Cambria" w:cs="Cambria"/>
          <w:sz w:val="20"/>
          <w:szCs w:val="20"/>
        </w:rPr>
        <w:t> </w:t>
      </w:r>
      <w:r w:rsidRPr="00BD54A4">
        <w:rPr>
          <w:rFonts w:ascii="GHEA Grapalat" w:hAnsi="GHEA Grapalat"/>
          <w:sz w:val="20"/>
          <w:szCs w:val="20"/>
        </w:rPr>
        <w:t>business</w:t>
      </w:r>
      <w:r w:rsidRPr="00BD54A4">
        <w:rPr>
          <w:rFonts w:ascii="Cambria" w:hAnsi="Cambria" w:cs="Cambria"/>
          <w:sz w:val="20"/>
          <w:szCs w:val="20"/>
        </w:rPr>
        <w:t> </w:t>
      </w:r>
      <w:r w:rsidRPr="00BD54A4">
        <w:rPr>
          <w:rFonts w:ascii="GHEA Grapalat" w:hAnsi="GHEA Grapalat"/>
          <w:sz w:val="20"/>
          <w:szCs w:val="20"/>
        </w:rPr>
        <w:t>in France: overview by</w:t>
      </w:r>
      <w:r w:rsidRPr="00BD54A4">
        <w:rPr>
          <w:rFonts w:ascii="Cambria" w:hAnsi="Cambria" w:cs="Cambria"/>
          <w:sz w:val="20"/>
          <w:szCs w:val="20"/>
        </w:rPr>
        <w:t> </w:t>
      </w:r>
      <w:r w:rsidRPr="00BD54A4">
        <w:rPr>
          <w:rFonts w:ascii="GHEA Grapalat" w:hAnsi="GHEA Grapalat"/>
          <w:sz w:val="20"/>
          <w:szCs w:val="20"/>
        </w:rPr>
        <w:t>Rami Kawkabani,</w:t>
      </w:r>
      <w:r w:rsidRPr="00BD54A4">
        <w:rPr>
          <w:rFonts w:ascii="Cambria" w:hAnsi="Cambria" w:cs="Cambria"/>
          <w:sz w:val="20"/>
          <w:szCs w:val="20"/>
        </w:rPr>
        <w:t> </w:t>
      </w:r>
      <w:r>
        <w:rPr>
          <w:rFonts w:ascii="GHEA Grapalat" w:hAnsi="GHEA Grapalat"/>
          <w:sz w:val="20"/>
          <w:szCs w:val="20"/>
        </w:rPr>
        <w:t>Bird &amp; Bird, 2020թ.</w:t>
      </w:r>
    </w:p>
  </w:footnote>
  <w:footnote w:id="14">
    <w:p w:rsidR="002159DA" w:rsidRPr="00ED3F74" w:rsidRDefault="002159DA" w:rsidP="002159DA">
      <w:pPr>
        <w:jc w:val="both"/>
        <w:rPr>
          <w:rFonts w:ascii="GHEA Grapalat" w:hAnsi="GHEA Grapalat"/>
          <w:sz w:val="20"/>
          <w:szCs w:val="20"/>
          <w:lang w:val="en-US"/>
        </w:rPr>
      </w:pPr>
      <w:r w:rsidRPr="00BD54A4">
        <w:rPr>
          <w:rStyle w:val="FootnoteReference"/>
          <w:rFonts w:ascii="GHEA Grapalat" w:hAnsi="GHEA Grapalat"/>
          <w:sz w:val="20"/>
          <w:szCs w:val="20"/>
        </w:rPr>
        <w:footnoteRef/>
      </w:r>
      <w:r w:rsidRPr="00BD54A4">
        <w:rPr>
          <w:rFonts w:ascii="GHEA Grapalat" w:hAnsi="GHEA Grapalat"/>
          <w:sz w:val="20"/>
          <w:szCs w:val="20"/>
        </w:rPr>
        <w:t xml:space="preserve"> Տես՝ Digital business in The Netherlands: overview, by</w:t>
      </w:r>
      <w:r w:rsidRPr="00BD54A4">
        <w:rPr>
          <w:rFonts w:ascii="Cambria" w:hAnsi="Cambria" w:cs="Cambria"/>
          <w:sz w:val="20"/>
          <w:szCs w:val="20"/>
        </w:rPr>
        <w:t> </w:t>
      </w:r>
      <w:r w:rsidRPr="00BD54A4">
        <w:rPr>
          <w:rFonts w:ascii="GHEA Grapalat" w:hAnsi="GHEA Grapalat"/>
          <w:sz w:val="20"/>
          <w:szCs w:val="20"/>
        </w:rPr>
        <w:t>Roelien van Neck, Manon Rieger-Jansen, Brian Mulier and Stephanie Wel</w:t>
      </w:r>
      <w:r>
        <w:rPr>
          <w:rFonts w:ascii="GHEA Grapalat" w:hAnsi="GHEA Grapalat"/>
          <w:sz w:val="20"/>
          <w:szCs w:val="20"/>
        </w:rPr>
        <w:t>bergen, Bird &amp; Bird LLP, 2020թ.</w:t>
      </w:r>
    </w:p>
  </w:footnote>
  <w:footnote w:id="15">
    <w:p w:rsidR="002159DA" w:rsidRPr="00ED3F74" w:rsidRDefault="002159DA" w:rsidP="002159DA">
      <w:pPr>
        <w:jc w:val="both"/>
        <w:rPr>
          <w:rFonts w:ascii="GHEA Grapalat" w:hAnsi="GHEA Grapalat"/>
          <w:sz w:val="20"/>
          <w:szCs w:val="20"/>
          <w:lang w:val="en-US"/>
        </w:rPr>
      </w:pPr>
      <w:r w:rsidRPr="00BD54A4">
        <w:rPr>
          <w:rStyle w:val="FootnoteReference"/>
          <w:rFonts w:ascii="GHEA Grapalat" w:hAnsi="GHEA Grapalat"/>
          <w:sz w:val="20"/>
          <w:szCs w:val="20"/>
        </w:rPr>
        <w:footnoteRef/>
      </w:r>
      <w:r w:rsidRPr="00BD54A4">
        <w:rPr>
          <w:rFonts w:ascii="GHEA Grapalat" w:hAnsi="GHEA Grapalat"/>
          <w:sz w:val="20"/>
          <w:szCs w:val="20"/>
        </w:rPr>
        <w:t>Տես՝ Digital</w:t>
      </w:r>
      <w:r w:rsidRPr="00BD54A4">
        <w:rPr>
          <w:rFonts w:ascii="Cambria" w:hAnsi="Cambria" w:cs="Cambria"/>
          <w:sz w:val="20"/>
          <w:szCs w:val="20"/>
        </w:rPr>
        <w:t> </w:t>
      </w:r>
      <w:r w:rsidRPr="00BD54A4">
        <w:rPr>
          <w:rFonts w:ascii="GHEA Grapalat" w:hAnsi="GHEA Grapalat"/>
          <w:sz w:val="20"/>
          <w:szCs w:val="20"/>
        </w:rPr>
        <w:t>business</w:t>
      </w:r>
      <w:r w:rsidRPr="00BD54A4">
        <w:rPr>
          <w:rFonts w:ascii="Cambria" w:hAnsi="Cambria" w:cs="Cambria"/>
          <w:sz w:val="20"/>
          <w:szCs w:val="20"/>
        </w:rPr>
        <w:t> </w:t>
      </w:r>
      <w:r w:rsidRPr="00BD54A4">
        <w:rPr>
          <w:rFonts w:ascii="GHEA Grapalat" w:hAnsi="GHEA Grapalat"/>
          <w:sz w:val="20"/>
          <w:szCs w:val="20"/>
        </w:rPr>
        <w:t>in Spain: overview by</w:t>
      </w:r>
      <w:r w:rsidRPr="00BD54A4">
        <w:rPr>
          <w:rFonts w:ascii="Cambria" w:hAnsi="Cambria" w:cs="Cambria"/>
          <w:sz w:val="20"/>
          <w:szCs w:val="20"/>
        </w:rPr>
        <w:t> </w:t>
      </w:r>
      <w:r w:rsidRPr="00BD54A4">
        <w:rPr>
          <w:rFonts w:ascii="GHEA Grapalat" w:hAnsi="GHEA Grapalat"/>
          <w:sz w:val="20"/>
          <w:szCs w:val="20"/>
        </w:rPr>
        <w:t>Alexander Benalal, Pablo Berenguer, Maria Berlanga, Covadonga Maestro, Bernardo Reus, Juan Calderon, Carolina Muñoz and Ester Vidal,</w:t>
      </w:r>
      <w:r w:rsidRPr="00BD54A4">
        <w:rPr>
          <w:rFonts w:ascii="Cambria" w:hAnsi="Cambria" w:cs="Cambria"/>
          <w:sz w:val="20"/>
          <w:szCs w:val="20"/>
        </w:rPr>
        <w:t> </w:t>
      </w:r>
      <w:r w:rsidRPr="00BD54A4">
        <w:rPr>
          <w:rFonts w:ascii="GHEA Grapalat" w:hAnsi="GHEA Grapalat"/>
          <w:sz w:val="20"/>
          <w:szCs w:val="20"/>
        </w:rPr>
        <w:t xml:space="preserve">Bird &amp; Bird, </w:t>
      </w:r>
      <w:r>
        <w:rPr>
          <w:rFonts w:ascii="GHEA Grapalat" w:hAnsi="GHEA Grapalat"/>
          <w:sz w:val="20"/>
          <w:szCs w:val="20"/>
        </w:rPr>
        <w:t>2019թ.</w:t>
      </w:r>
    </w:p>
  </w:footnote>
  <w:footnote w:id="16">
    <w:p w:rsidR="002159DA" w:rsidRPr="00ED3F74" w:rsidRDefault="002159DA" w:rsidP="002159DA">
      <w:pPr>
        <w:shd w:val="clear" w:color="auto" w:fill="FFFFFF"/>
        <w:jc w:val="both"/>
        <w:rPr>
          <w:rFonts w:ascii="GHEA Grapalat" w:hAnsi="GHEA Grapalat"/>
          <w:color w:val="212121"/>
          <w:sz w:val="20"/>
          <w:szCs w:val="20"/>
          <w:lang w:val="en-US"/>
        </w:rPr>
      </w:pPr>
      <w:r w:rsidRPr="00BD54A4">
        <w:rPr>
          <w:rStyle w:val="FootnoteReference"/>
          <w:rFonts w:ascii="GHEA Grapalat" w:hAnsi="GHEA Grapalat"/>
          <w:sz w:val="20"/>
          <w:szCs w:val="20"/>
        </w:rPr>
        <w:footnoteRef/>
      </w:r>
      <w:r w:rsidRPr="00BD54A4">
        <w:rPr>
          <w:rFonts w:ascii="GHEA Grapalat" w:hAnsi="GHEA Grapalat"/>
          <w:sz w:val="20"/>
          <w:szCs w:val="20"/>
        </w:rPr>
        <w:t xml:space="preserve">Տես՝ </w:t>
      </w:r>
      <w:r w:rsidRPr="00BD54A4">
        <w:rPr>
          <w:rFonts w:ascii="GHEA Grapalat" w:hAnsi="GHEA Grapalat"/>
          <w:color w:val="212121"/>
          <w:sz w:val="20"/>
          <w:szCs w:val="20"/>
        </w:rPr>
        <w:t>Digital business in Belgium: overviewby</w:t>
      </w:r>
      <w:r w:rsidRPr="00BD54A4">
        <w:rPr>
          <w:rFonts w:ascii="Cambria" w:hAnsi="Cambria" w:cs="Cambria"/>
          <w:color w:val="212121"/>
          <w:sz w:val="20"/>
          <w:szCs w:val="20"/>
        </w:rPr>
        <w:t> </w:t>
      </w:r>
      <w:r w:rsidRPr="00BD54A4">
        <w:rPr>
          <w:rFonts w:ascii="GHEA Grapalat" w:hAnsi="GHEA Grapalat"/>
          <w:color w:val="212121"/>
          <w:sz w:val="20"/>
          <w:szCs w:val="20"/>
        </w:rPr>
        <w:t>Benoit Van Asbroeck, Anne Federle, Jasmien César and Charlott</w:t>
      </w:r>
      <w:r>
        <w:rPr>
          <w:rFonts w:ascii="GHEA Grapalat" w:hAnsi="GHEA Grapalat"/>
          <w:color w:val="212121"/>
          <w:sz w:val="20"/>
          <w:szCs w:val="20"/>
        </w:rPr>
        <w:t>e Haine,Bird &amp; Bird LLP, 2019թ.</w:t>
      </w:r>
    </w:p>
  </w:footnote>
  <w:footnote w:id="17">
    <w:p w:rsidR="002159DA" w:rsidRPr="00ED3F74" w:rsidRDefault="002159DA" w:rsidP="002159DA">
      <w:pPr>
        <w:spacing w:line="276" w:lineRule="auto"/>
        <w:jc w:val="both"/>
        <w:rPr>
          <w:rFonts w:ascii="GHEA Grapalat" w:hAnsi="GHEA Grapalat"/>
          <w:sz w:val="20"/>
          <w:szCs w:val="20"/>
          <w:lang w:val="en-US"/>
        </w:rPr>
      </w:pPr>
      <w:r w:rsidRPr="00BD54A4">
        <w:rPr>
          <w:rStyle w:val="FootnoteReference"/>
          <w:rFonts w:ascii="GHEA Grapalat" w:hAnsi="GHEA Grapalat"/>
          <w:sz w:val="20"/>
          <w:szCs w:val="20"/>
        </w:rPr>
        <w:footnoteRef/>
      </w:r>
      <w:r w:rsidRPr="00BD54A4">
        <w:rPr>
          <w:rFonts w:ascii="GHEA Grapalat" w:hAnsi="GHEA Grapalat"/>
          <w:sz w:val="20"/>
          <w:szCs w:val="20"/>
        </w:rPr>
        <w:t>Տես՝ Digital</w:t>
      </w:r>
      <w:r w:rsidRPr="00BD54A4">
        <w:rPr>
          <w:rFonts w:ascii="Cambria" w:hAnsi="Cambria" w:cs="Cambria"/>
          <w:sz w:val="20"/>
          <w:szCs w:val="20"/>
        </w:rPr>
        <w:t> </w:t>
      </w:r>
      <w:r w:rsidRPr="00BD54A4">
        <w:rPr>
          <w:rFonts w:ascii="GHEA Grapalat" w:hAnsi="GHEA Grapalat"/>
          <w:sz w:val="20"/>
          <w:szCs w:val="20"/>
        </w:rPr>
        <w:t>business</w:t>
      </w:r>
      <w:r w:rsidRPr="00BD54A4">
        <w:rPr>
          <w:rFonts w:ascii="Cambria" w:hAnsi="Cambria" w:cs="Cambria"/>
          <w:sz w:val="20"/>
          <w:szCs w:val="20"/>
        </w:rPr>
        <w:t> </w:t>
      </w:r>
      <w:r w:rsidRPr="00BD54A4">
        <w:rPr>
          <w:rFonts w:ascii="GHEA Grapalat" w:hAnsi="GHEA Grapalat"/>
          <w:sz w:val="20"/>
          <w:szCs w:val="20"/>
        </w:rPr>
        <w:t>in Switzerland: overviewby</w:t>
      </w:r>
      <w:r w:rsidRPr="00BD54A4">
        <w:rPr>
          <w:rFonts w:ascii="Cambria" w:hAnsi="Cambria" w:cs="Cambria"/>
          <w:sz w:val="20"/>
          <w:szCs w:val="20"/>
        </w:rPr>
        <w:t> </w:t>
      </w:r>
      <w:r w:rsidRPr="00BD54A4">
        <w:rPr>
          <w:rFonts w:ascii="GHEA Grapalat" w:hAnsi="GHEA Grapalat"/>
          <w:sz w:val="20"/>
          <w:szCs w:val="20"/>
        </w:rPr>
        <w:t>Lukas Morscher and Lukas Staub,</w:t>
      </w:r>
      <w:r w:rsidRPr="00BD54A4">
        <w:rPr>
          <w:rFonts w:ascii="Cambria" w:hAnsi="Cambria" w:cs="Cambria"/>
          <w:sz w:val="20"/>
          <w:szCs w:val="20"/>
        </w:rPr>
        <w:t> </w:t>
      </w:r>
      <w:r>
        <w:rPr>
          <w:rFonts w:ascii="GHEA Grapalat" w:hAnsi="GHEA Grapalat"/>
          <w:sz w:val="20"/>
          <w:szCs w:val="20"/>
        </w:rPr>
        <w:t>Lenz &amp; Staehelin, 2020թ.</w:t>
      </w:r>
    </w:p>
  </w:footnote>
  <w:footnote w:id="18">
    <w:p w:rsidR="002159DA" w:rsidRPr="00ED3F74" w:rsidRDefault="002159DA" w:rsidP="002159DA">
      <w:pPr>
        <w:jc w:val="both"/>
        <w:rPr>
          <w:rFonts w:ascii="GHEA Grapalat" w:hAnsi="GHEA Grapalat"/>
          <w:sz w:val="20"/>
          <w:szCs w:val="20"/>
          <w:lang w:val="en-US"/>
        </w:rPr>
      </w:pPr>
      <w:r w:rsidRPr="00BD54A4">
        <w:rPr>
          <w:rStyle w:val="FootnoteReference"/>
          <w:rFonts w:ascii="GHEA Grapalat" w:hAnsi="GHEA Grapalat"/>
          <w:sz w:val="20"/>
          <w:szCs w:val="20"/>
        </w:rPr>
        <w:footnoteRef/>
      </w:r>
      <w:r w:rsidRPr="00BD54A4">
        <w:rPr>
          <w:rFonts w:ascii="GHEA Grapalat" w:hAnsi="GHEA Grapalat"/>
          <w:sz w:val="20"/>
          <w:szCs w:val="20"/>
        </w:rPr>
        <w:t>Տես՝ Digital business in Denmark: overview by</w:t>
      </w:r>
      <w:r w:rsidRPr="00BD54A4">
        <w:rPr>
          <w:rFonts w:ascii="Cambria" w:hAnsi="Cambria" w:cs="Cambria"/>
          <w:sz w:val="20"/>
          <w:szCs w:val="20"/>
        </w:rPr>
        <w:t> </w:t>
      </w:r>
      <w:r w:rsidRPr="00BD54A4">
        <w:rPr>
          <w:rFonts w:ascii="GHEA Grapalat" w:hAnsi="GHEA Grapalat"/>
          <w:sz w:val="20"/>
          <w:szCs w:val="20"/>
        </w:rPr>
        <w:t>Katja Djurhuus, Elayna Michelsen and Laura Katarina Dollerup,</w:t>
      </w:r>
      <w:r w:rsidRPr="00BD54A4">
        <w:rPr>
          <w:rFonts w:ascii="Cambria" w:hAnsi="Cambria" w:cs="Cambria"/>
          <w:sz w:val="20"/>
          <w:szCs w:val="20"/>
        </w:rPr>
        <w:t> </w:t>
      </w:r>
      <w:r w:rsidRPr="00BD54A4">
        <w:rPr>
          <w:rFonts w:ascii="GHEA Grapalat" w:hAnsi="GHEA Grapalat"/>
          <w:sz w:val="20"/>
          <w:szCs w:val="20"/>
        </w:rPr>
        <w:t>Bird &amp; Bird</w:t>
      </w:r>
      <w:r w:rsidRPr="00BD54A4">
        <w:rPr>
          <w:rFonts w:ascii="Cambria" w:hAnsi="Cambria" w:cs="Cambria"/>
          <w:sz w:val="20"/>
          <w:szCs w:val="20"/>
        </w:rPr>
        <w:t> </w:t>
      </w:r>
      <w:r>
        <w:rPr>
          <w:rFonts w:ascii="GHEA Grapalat" w:hAnsi="GHEA Grapalat"/>
          <w:sz w:val="20"/>
          <w:szCs w:val="20"/>
        </w:rPr>
        <w:t>Advokatpartnerselskab, 2020թ.</w:t>
      </w:r>
    </w:p>
  </w:footnote>
  <w:footnote w:id="19">
    <w:p w:rsidR="002159DA" w:rsidRPr="00ED3F74" w:rsidRDefault="002159DA" w:rsidP="002159DA">
      <w:pPr>
        <w:shd w:val="clear" w:color="auto" w:fill="FFFFFF"/>
        <w:jc w:val="both"/>
        <w:rPr>
          <w:rFonts w:ascii="GHEA Grapalat" w:hAnsi="GHEA Grapalat"/>
          <w:color w:val="212121"/>
          <w:sz w:val="20"/>
          <w:szCs w:val="20"/>
          <w:lang w:val="en-US"/>
        </w:rPr>
      </w:pPr>
      <w:r w:rsidRPr="00BD54A4">
        <w:rPr>
          <w:rStyle w:val="FootnoteReference"/>
          <w:rFonts w:ascii="GHEA Grapalat" w:hAnsi="GHEA Grapalat"/>
          <w:sz w:val="20"/>
          <w:szCs w:val="20"/>
        </w:rPr>
        <w:footnoteRef/>
      </w:r>
      <w:r w:rsidRPr="00BD54A4">
        <w:rPr>
          <w:rFonts w:ascii="GHEA Grapalat" w:hAnsi="GHEA Grapalat"/>
          <w:sz w:val="20"/>
          <w:szCs w:val="20"/>
        </w:rPr>
        <w:t xml:space="preserve"> Տես՝ </w:t>
      </w:r>
      <w:r w:rsidRPr="00BD54A4">
        <w:rPr>
          <w:rFonts w:ascii="GHEA Grapalat" w:hAnsi="GHEA Grapalat"/>
          <w:color w:val="212121"/>
          <w:sz w:val="20"/>
          <w:szCs w:val="20"/>
        </w:rPr>
        <w:t>Digital</w:t>
      </w:r>
      <w:r w:rsidRPr="00BD54A4">
        <w:rPr>
          <w:rFonts w:ascii="Cambria" w:hAnsi="Cambria" w:cs="Cambria"/>
          <w:color w:val="212121"/>
          <w:sz w:val="20"/>
          <w:szCs w:val="20"/>
        </w:rPr>
        <w:t> </w:t>
      </w:r>
      <w:r w:rsidRPr="00BD54A4">
        <w:rPr>
          <w:rFonts w:ascii="GHEA Grapalat" w:hAnsi="GHEA Grapalat"/>
          <w:color w:val="212121"/>
          <w:sz w:val="20"/>
          <w:szCs w:val="20"/>
        </w:rPr>
        <w:t>business</w:t>
      </w:r>
      <w:r w:rsidRPr="00BD54A4">
        <w:rPr>
          <w:rFonts w:ascii="Cambria" w:hAnsi="Cambria" w:cs="Cambria"/>
          <w:color w:val="212121"/>
          <w:sz w:val="20"/>
          <w:szCs w:val="20"/>
        </w:rPr>
        <w:t> </w:t>
      </w:r>
      <w:r w:rsidRPr="00BD54A4">
        <w:rPr>
          <w:rFonts w:ascii="GHEA Grapalat" w:hAnsi="GHEA Grapalat"/>
          <w:color w:val="212121"/>
          <w:sz w:val="20"/>
          <w:szCs w:val="20"/>
        </w:rPr>
        <w:t>in Japan: overviewby</w:t>
      </w:r>
      <w:r w:rsidRPr="00BD54A4">
        <w:rPr>
          <w:rFonts w:ascii="Cambria" w:hAnsi="Cambria" w:cs="Cambria"/>
          <w:color w:val="212121"/>
          <w:sz w:val="20"/>
          <w:szCs w:val="20"/>
        </w:rPr>
        <w:t> </w:t>
      </w:r>
      <w:r w:rsidRPr="00BD54A4">
        <w:rPr>
          <w:rFonts w:ascii="GHEA Grapalat" w:hAnsi="GHEA Grapalat"/>
          <w:color w:val="212121"/>
          <w:sz w:val="20"/>
          <w:szCs w:val="20"/>
        </w:rPr>
        <w:t>Hiroyasu Kageshima, Hiroyuki Yamauchi and Satoshi Yakushiji</w:t>
      </w:r>
      <w:r>
        <w:rPr>
          <w:rFonts w:ascii="GHEA Grapalat" w:hAnsi="GHEA Grapalat"/>
          <w:color w:val="212121"/>
          <w:sz w:val="20"/>
          <w:szCs w:val="20"/>
        </w:rPr>
        <w:t>, Ushijima &amp; Partners, 2020թ.</w:t>
      </w:r>
    </w:p>
  </w:footnote>
  <w:footnote w:id="20">
    <w:p w:rsidR="002159DA" w:rsidRPr="00ED3F74" w:rsidRDefault="002159DA" w:rsidP="002159DA">
      <w:pPr>
        <w:spacing w:line="276" w:lineRule="auto"/>
        <w:jc w:val="both"/>
        <w:rPr>
          <w:rFonts w:ascii="GHEA Grapalat" w:hAnsi="GHEA Grapalat"/>
          <w:sz w:val="20"/>
          <w:szCs w:val="20"/>
          <w:lang w:val="en-US"/>
        </w:rPr>
      </w:pPr>
      <w:r w:rsidRPr="00BD54A4">
        <w:rPr>
          <w:rStyle w:val="FootnoteReference"/>
          <w:rFonts w:ascii="GHEA Grapalat" w:hAnsi="GHEA Grapalat"/>
          <w:sz w:val="20"/>
          <w:szCs w:val="20"/>
        </w:rPr>
        <w:footnoteRef/>
      </w:r>
      <w:r w:rsidRPr="00BD54A4">
        <w:rPr>
          <w:rFonts w:ascii="GHEA Grapalat" w:hAnsi="GHEA Grapalat"/>
          <w:sz w:val="20"/>
          <w:szCs w:val="20"/>
        </w:rPr>
        <w:t xml:space="preserve"> Տես՝ Digital</w:t>
      </w:r>
      <w:r w:rsidRPr="00BD54A4">
        <w:rPr>
          <w:rFonts w:ascii="Cambria" w:hAnsi="Cambria" w:cs="Cambria"/>
          <w:sz w:val="20"/>
          <w:szCs w:val="20"/>
        </w:rPr>
        <w:t> </w:t>
      </w:r>
      <w:r w:rsidRPr="00BD54A4">
        <w:rPr>
          <w:rFonts w:ascii="GHEA Grapalat" w:hAnsi="GHEA Grapalat"/>
          <w:sz w:val="20"/>
          <w:szCs w:val="20"/>
        </w:rPr>
        <w:t>business</w:t>
      </w:r>
      <w:r w:rsidRPr="00BD54A4">
        <w:rPr>
          <w:rFonts w:ascii="Cambria" w:hAnsi="Cambria" w:cs="Cambria"/>
          <w:sz w:val="20"/>
          <w:szCs w:val="20"/>
        </w:rPr>
        <w:t> </w:t>
      </w:r>
      <w:r w:rsidRPr="00BD54A4">
        <w:rPr>
          <w:rFonts w:ascii="GHEA Grapalat" w:hAnsi="GHEA Grapalat"/>
          <w:sz w:val="20"/>
          <w:szCs w:val="20"/>
        </w:rPr>
        <w:t>in Poland: overview by</w:t>
      </w:r>
      <w:r w:rsidRPr="00BD54A4">
        <w:rPr>
          <w:rFonts w:ascii="Cambria" w:hAnsi="Cambria" w:cs="Cambria"/>
          <w:sz w:val="20"/>
          <w:szCs w:val="20"/>
        </w:rPr>
        <w:t> </w:t>
      </w:r>
      <w:r w:rsidRPr="00BD54A4">
        <w:rPr>
          <w:rFonts w:ascii="GHEA Grapalat" w:hAnsi="GHEA Grapalat"/>
          <w:sz w:val="20"/>
          <w:szCs w:val="20"/>
        </w:rPr>
        <w:t>Marcin Alberski, Paulina Bełzak and Zuzanna Morawska-Zakroczymska,</w:t>
      </w:r>
      <w:r w:rsidRPr="00BD54A4">
        <w:rPr>
          <w:rFonts w:ascii="Cambria" w:hAnsi="Cambria" w:cs="Cambria"/>
          <w:sz w:val="20"/>
          <w:szCs w:val="20"/>
        </w:rPr>
        <w:t> </w:t>
      </w:r>
      <w:r w:rsidRPr="00BD54A4">
        <w:rPr>
          <w:rFonts w:ascii="GHEA Grapalat" w:hAnsi="GHEA Grapalat"/>
          <w:sz w:val="20"/>
          <w:szCs w:val="20"/>
        </w:rPr>
        <w:t>Bird &amp; Bird, Szepie</w:t>
      </w:r>
      <w:r>
        <w:rPr>
          <w:rFonts w:ascii="GHEA Grapalat" w:hAnsi="GHEA Grapalat"/>
          <w:sz w:val="20"/>
          <w:szCs w:val="20"/>
        </w:rPr>
        <w:t>towski i wspólnicy sp.k, 2020թ.</w:t>
      </w:r>
    </w:p>
  </w:footnote>
  <w:footnote w:id="21">
    <w:p w:rsidR="002159DA" w:rsidRPr="00582BA9" w:rsidRDefault="002159DA" w:rsidP="002159DA">
      <w:pPr>
        <w:jc w:val="both"/>
        <w:rPr>
          <w:rFonts w:ascii="GHEA Grapalat" w:hAnsi="GHEA Grapalat"/>
          <w:sz w:val="20"/>
          <w:szCs w:val="20"/>
        </w:rPr>
      </w:pPr>
      <w:r w:rsidRPr="00BD54A4">
        <w:rPr>
          <w:rStyle w:val="FootnoteReference"/>
          <w:rFonts w:ascii="GHEA Grapalat" w:hAnsi="GHEA Grapalat"/>
          <w:sz w:val="20"/>
          <w:szCs w:val="20"/>
        </w:rPr>
        <w:footnoteRef/>
      </w:r>
      <w:r w:rsidRPr="00BD54A4">
        <w:rPr>
          <w:rFonts w:ascii="GHEA Grapalat" w:hAnsi="GHEA Grapalat"/>
          <w:sz w:val="20"/>
          <w:szCs w:val="20"/>
        </w:rPr>
        <w:t xml:space="preserve"> Տես՝ «Էլեկտրոնային առևտրի մասին» Ուկրաինայի Հանրապետության օրենքի 12-րդ հոդված։ Էլեկտրոնային հղումը՝ </w:t>
      </w:r>
      <w:hyperlink r:id="rId8" w:history="1">
        <w:r w:rsidRPr="00BD54A4">
          <w:rPr>
            <w:rStyle w:val="Hyperlink"/>
            <w:rFonts w:ascii="GHEA Grapalat" w:hAnsi="GHEA Grapalat"/>
            <w:sz w:val="20"/>
            <w:szCs w:val="20"/>
          </w:rPr>
          <w:t>https://www.profiwins.com.ua/ru/legislation/laws/14690.html</w:t>
        </w:r>
      </w:hyperlink>
      <w:r w:rsidRPr="00BD54A4">
        <w:rPr>
          <w:rFonts w:ascii="GHEA Grapalat" w:hAnsi="GHEA Grapalat"/>
          <w:sz w:val="20"/>
          <w:szCs w:val="20"/>
        </w:rPr>
        <w:t xml:space="preserve">, ինչպես նաև Ուկրաինայի Հանրապետության դատական պրակտիկայից որոշակի օրինակներ, էլեկտրոնային հղումը՝ </w:t>
      </w:r>
      <w:hyperlink r:id="rId9" w:history="1">
        <w:r w:rsidRPr="00BD54A4">
          <w:rPr>
            <w:rStyle w:val="Hyperlink"/>
            <w:rFonts w:ascii="GHEA Grapalat" w:hAnsi="GHEA Grapalat"/>
            <w:sz w:val="20"/>
            <w:szCs w:val="20"/>
          </w:rPr>
          <w:t>https://bires.com.ua/sydebnue-resheniya-v-electronnoi-comercii/</w:t>
        </w:r>
      </w:hyperlink>
    </w:p>
  </w:footnote>
  <w:footnote w:id="22">
    <w:p w:rsidR="002159DA" w:rsidRPr="00582BA9" w:rsidRDefault="002159DA" w:rsidP="002159DA">
      <w:pPr>
        <w:rPr>
          <w:rFonts w:ascii="GHEA Grapalat" w:hAnsi="GHEA Grapalat"/>
          <w:sz w:val="20"/>
          <w:szCs w:val="20"/>
        </w:rPr>
      </w:pPr>
      <w:r w:rsidRPr="00BD54A4">
        <w:rPr>
          <w:rStyle w:val="FootnoteReference"/>
          <w:rFonts w:ascii="GHEA Grapalat" w:hAnsi="GHEA Grapalat"/>
          <w:sz w:val="20"/>
          <w:szCs w:val="20"/>
        </w:rPr>
        <w:footnoteRef/>
      </w:r>
      <w:r w:rsidRPr="00BD54A4">
        <w:rPr>
          <w:rFonts w:ascii="GHEA Grapalat" w:hAnsi="GHEA Grapalat"/>
          <w:sz w:val="20"/>
          <w:szCs w:val="20"/>
        </w:rPr>
        <w:t xml:space="preserve">Տես՝ </w:t>
      </w:r>
      <w:hyperlink r:id="rId10" w:history="1">
        <w:r w:rsidRPr="00BD54A4">
          <w:rPr>
            <w:rFonts w:ascii="GHEA Grapalat" w:hAnsi="GHEA Grapalat"/>
            <w:color w:val="0000FF"/>
            <w:sz w:val="20"/>
            <w:szCs w:val="20"/>
            <w:u w:val="single"/>
          </w:rPr>
          <w:t>https://eur-lex.europa.eu/legal-content/EN/TXT/?uri=celex%3A31993L0013</w:t>
        </w:r>
      </w:hyperlink>
    </w:p>
  </w:footnote>
  <w:footnote w:id="23">
    <w:p w:rsidR="002159DA" w:rsidRPr="00BD54A4" w:rsidRDefault="002159DA" w:rsidP="002159DA">
      <w:pPr>
        <w:pStyle w:val="FootnoteText"/>
        <w:rPr>
          <w:rFonts w:ascii="GHEA Grapalat" w:hAnsi="GHEA Grapalat"/>
          <w:szCs w:val="20"/>
          <w:lang w:val="hy-AM"/>
        </w:rPr>
      </w:pPr>
      <w:r w:rsidRPr="00BD54A4">
        <w:rPr>
          <w:rStyle w:val="FootnoteReference"/>
          <w:rFonts w:ascii="GHEA Grapalat" w:hAnsi="GHEA Grapalat"/>
          <w:szCs w:val="20"/>
        </w:rPr>
        <w:footnoteRef/>
      </w:r>
      <w:r w:rsidRPr="00BD54A4">
        <w:rPr>
          <w:rFonts w:ascii="GHEA Grapalat" w:hAnsi="GHEA Grapalat"/>
          <w:szCs w:val="20"/>
          <w:lang w:val="hy-AM"/>
        </w:rPr>
        <w:t>«</w:t>
      </w:r>
      <w:r w:rsidRPr="00582BA9">
        <w:rPr>
          <w:rFonts w:ascii="GHEA Grapalat" w:hAnsi="GHEA Grapalat"/>
          <w:szCs w:val="20"/>
          <w:lang w:val="hy-AM"/>
        </w:rPr>
        <w:t>վաճառող</w:t>
      </w:r>
      <w:r w:rsidRPr="00BD54A4">
        <w:rPr>
          <w:rFonts w:ascii="GHEA Grapalat" w:hAnsi="GHEA Grapalat"/>
          <w:szCs w:val="20"/>
          <w:lang w:val="hy-AM"/>
        </w:rPr>
        <w:t xml:space="preserve">» եզրույթի ներքո նկատի </w:t>
      </w:r>
      <w:r w:rsidRPr="00582BA9">
        <w:rPr>
          <w:rFonts w:ascii="GHEA Grapalat" w:hAnsi="GHEA Grapalat"/>
          <w:szCs w:val="20"/>
          <w:lang w:val="hy-AM"/>
        </w:rPr>
        <w:t>են</w:t>
      </w:r>
      <w:r w:rsidRPr="00BD54A4">
        <w:rPr>
          <w:rFonts w:ascii="GHEA Grapalat" w:hAnsi="GHEA Grapalat"/>
          <w:szCs w:val="20"/>
          <w:lang w:val="hy-AM"/>
        </w:rPr>
        <w:t xml:space="preserve"> ունեցվում</w:t>
      </w:r>
      <w:r w:rsidRPr="00582BA9">
        <w:rPr>
          <w:rFonts w:ascii="GHEA Grapalat" w:hAnsi="GHEA Grapalat"/>
          <w:szCs w:val="20"/>
          <w:lang w:val="hy-AM"/>
        </w:rPr>
        <w:t xml:space="preserve"> նաև</w:t>
      </w:r>
      <w:r w:rsidRPr="00BD54A4">
        <w:rPr>
          <w:rFonts w:ascii="GHEA Grapalat" w:hAnsi="GHEA Grapalat"/>
          <w:szCs w:val="20"/>
          <w:lang w:val="hy-AM"/>
        </w:rPr>
        <w:t xml:space="preserve"> ծառայություն մատուցողներն</w:t>
      </w:r>
      <w:r w:rsidRPr="00582BA9">
        <w:rPr>
          <w:rFonts w:ascii="GHEA Grapalat" w:hAnsi="GHEA Grapalat"/>
          <w:szCs w:val="20"/>
          <w:lang w:val="hy-AM"/>
        </w:rPr>
        <w:t xml:space="preserve"> ու աշխատանքներ կատարողները</w:t>
      </w:r>
    </w:p>
  </w:footnote>
  <w:footnote w:id="24">
    <w:p w:rsidR="002159DA" w:rsidRPr="00582BA9" w:rsidRDefault="002159DA" w:rsidP="002159DA">
      <w:pPr>
        <w:rPr>
          <w:rFonts w:ascii="GHEA Grapalat" w:hAnsi="GHEA Grapalat"/>
          <w:sz w:val="20"/>
          <w:szCs w:val="20"/>
        </w:rPr>
      </w:pPr>
      <w:r w:rsidRPr="00BD54A4">
        <w:rPr>
          <w:rStyle w:val="FootnoteReference"/>
          <w:rFonts w:ascii="GHEA Grapalat" w:hAnsi="GHEA Grapalat"/>
          <w:sz w:val="20"/>
          <w:szCs w:val="20"/>
        </w:rPr>
        <w:footnoteRef/>
      </w:r>
      <w:r w:rsidRPr="00BD54A4">
        <w:rPr>
          <w:rFonts w:ascii="GHEA Grapalat" w:hAnsi="GHEA Grapalat"/>
          <w:sz w:val="20"/>
          <w:szCs w:val="20"/>
        </w:rPr>
        <w:t xml:space="preserve"> Տես՝</w:t>
      </w:r>
      <w:hyperlink r:id="rId11" w:history="1">
        <w:r w:rsidRPr="00BD54A4">
          <w:rPr>
            <w:rStyle w:val="Hyperlink"/>
            <w:rFonts w:ascii="GHEA Grapalat" w:hAnsi="GHEA Grapalat"/>
            <w:sz w:val="20"/>
            <w:szCs w:val="20"/>
          </w:rPr>
          <w:t>https://www.wipo.int/edocs/lexdocs/laws/en/ge/ge012en.pdf</w:t>
        </w:r>
      </w:hyperlink>
    </w:p>
  </w:footnote>
  <w:footnote w:id="25">
    <w:p w:rsidR="002159DA" w:rsidRPr="00582BA9" w:rsidRDefault="002159DA" w:rsidP="002159DA">
      <w:pPr>
        <w:rPr>
          <w:rFonts w:ascii="GHEA Grapalat" w:hAnsi="GHEA Grapalat"/>
          <w:sz w:val="20"/>
          <w:szCs w:val="20"/>
        </w:rPr>
      </w:pPr>
      <w:r w:rsidRPr="00BD54A4">
        <w:rPr>
          <w:rStyle w:val="FootnoteReference"/>
          <w:rFonts w:ascii="GHEA Grapalat" w:hAnsi="GHEA Grapalat"/>
          <w:sz w:val="20"/>
          <w:szCs w:val="20"/>
        </w:rPr>
        <w:footnoteRef/>
      </w:r>
      <w:r w:rsidRPr="00BD54A4">
        <w:rPr>
          <w:rFonts w:ascii="GHEA Grapalat" w:hAnsi="GHEA Grapalat"/>
          <w:sz w:val="20"/>
          <w:szCs w:val="20"/>
        </w:rPr>
        <w:t xml:space="preserve">Առավել մանրամասն տես՝ </w:t>
      </w:r>
      <w:hyperlink r:id="rId12" w:history="1">
        <w:r w:rsidRPr="00BD54A4">
          <w:rPr>
            <w:rStyle w:val="Hyperlink"/>
            <w:rFonts w:ascii="GHEA Grapalat" w:hAnsi="GHEA Grapalat"/>
            <w:sz w:val="20"/>
            <w:szCs w:val="20"/>
          </w:rPr>
          <w:t>https://uk.practicallaw.thomsonreuters.com/Browse/Home/PracticalLaw?transitionType=Default&amp;contextData=(sc.Default)</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5B1F" w:rsidRDefault="00B02EEB">
    <w:pPr>
      <w:pBdr>
        <w:top w:val="none" w:sz="0" w:space="0" w:color="000000"/>
        <w:left w:val="single" w:sz="18" w:space="4" w:color="FF0000"/>
        <w:bottom w:val="none" w:sz="0" w:space="0" w:color="000000"/>
        <w:right w:val="none" w:sz="0" w:space="0" w:color="000000"/>
        <w:between w:val="nil"/>
      </w:pBdr>
      <w:ind w:hanging="2"/>
      <w:rPr>
        <w:rFonts w:ascii="GHEA Grapalat" w:eastAsia="GHEA Grapalat" w:hAnsi="GHEA Grapalat" w:cs="GHEA Grapalat"/>
        <w:color w:val="000000"/>
        <w:sz w:val="22"/>
        <w:szCs w:val="22"/>
      </w:rPr>
    </w:pPr>
    <w:r>
      <w:rPr>
        <w:rFonts w:ascii="GHEA Grapalat" w:eastAsia="GHEA Grapalat" w:hAnsi="GHEA Grapalat" w:cs="GHEA Grapalat"/>
        <w:b/>
        <w:color w:val="000000"/>
        <w:sz w:val="22"/>
        <w:szCs w:val="22"/>
      </w:rPr>
      <w:t>Ա</w:t>
    </w:r>
    <w:r>
      <w:rPr>
        <w:rFonts w:ascii="GHEA Grapalat" w:eastAsia="GHEA Grapalat" w:hAnsi="GHEA Grapalat" w:cs="GHEA Grapalat"/>
        <w:color w:val="000000"/>
        <w:sz w:val="22"/>
        <w:szCs w:val="22"/>
      </w:rPr>
      <w:t xml:space="preserve">րդարադատության                                                                                                                                                                                                                                                                                                                                   </w:t>
    </w:r>
    <w:r>
      <w:rPr>
        <w:noProof/>
        <w:lang w:val="en-US" w:eastAsia="en-US"/>
      </w:rPr>
      <w:drawing>
        <wp:anchor distT="0" distB="0" distL="114935" distR="114935" simplePos="0" relativeHeight="251659264" behindDoc="0" locked="0" layoutInCell="1" allowOverlap="1">
          <wp:simplePos x="0" y="0"/>
          <wp:positionH relativeFrom="column">
            <wp:posOffset>-685797</wp:posOffset>
          </wp:positionH>
          <wp:positionV relativeFrom="paragraph">
            <wp:posOffset>-8887</wp:posOffset>
          </wp:positionV>
          <wp:extent cx="454660" cy="441960"/>
          <wp:effectExtent l="0" t="0" r="0" b="0"/>
          <wp:wrapNone/>
          <wp:docPr id="1" name="image1.pn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lose up of a logo&#10;&#10;Description automatically generated"/>
                  <pic:cNvPicPr preferRelativeResize="0"/>
                </pic:nvPicPr>
                <pic:blipFill>
                  <a:blip r:embed="rId1"/>
                  <a:srcRect/>
                  <a:stretch>
                    <a:fillRect/>
                  </a:stretch>
                </pic:blipFill>
                <pic:spPr>
                  <a:xfrm>
                    <a:off x="0" y="0"/>
                    <a:ext cx="454660" cy="441960"/>
                  </a:xfrm>
                  <a:prstGeom prst="rect">
                    <a:avLst/>
                  </a:prstGeom>
                  <a:ln/>
                </pic:spPr>
              </pic:pic>
            </a:graphicData>
          </a:graphic>
        </wp:anchor>
      </w:drawing>
    </w:r>
  </w:p>
  <w:p w:rsidR="00465B1F" w:rsidRDefault="00B02EEB">
    <w:pPr>
      <w:pBdr>
        <w:top w:val="none" w:sz="0" w:space="0" w:color="000000"/>
        <w:left w:val="single" w:sz="18" w:space="4" w:color="0000FF"/>
        <w:bottom w:val="none" w:sz="0" w:space="0" w:color="000000"/>
        <w:right w:val="none" w:sz="0" w:space="0" w:color="000000"/>
        <w:between w:val="nil"/>
      </w:pBdr>
      <w:ind w:hanging="2"/>
      <w:rPr>
        <w:rFonts w:ascii="GHEA Grapalat" w:eastAsia="GHEA Grapalat" w:hAnsi="GHEA Grapalat" w:cs="GHEA Grapalat"/>
        <w:color w:val="000000"/>
        <w:sz w:val="22"/>
        <w:szCs w:val="22"/>
      </w:rPr>
    </w:pPr>
    <w:r>
      <w:rPr>
        <w:rFonts w:ascii="GHEA Grapalat" w:eastAsia="GHEA Grapalat" w:hAnsi="GHEA Grapalat" w:cs="GHEA Grapalat"/>
        <w:b/>
        <w:color w:val="000000"/>
        <w:sz w:val="22"/>
        <w:szCs w:val="22"/>
      </w:rPr>
      <w:t>Ն</w:t>
    </w:r>
    <w:r>
      <w:rPr>
        <w:rFonts w:ascii="GHEA Grapalat" w:eastAsia="GHEA Grapalat" w:hAnsi="GHEA Grapalat" w:cs="GHEA Grapalat"/>
        <w:color w:val="000000"/>
        <w:sz w:val="22"/>
        <w:szCs w:val="22"/>
      </w:rPr>
      <w:t xml:space="preserve">ախարարություն                      </w:t>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t>ՆԱԽԱԳԻԾ</w:t>
    </w:r>
  </w:p>
  <w:p w:rsidR="00465B1F" w:rsidRDefault="00D5162C">
    <w:pPr>
      <w:pBdr>
        <w:top w:val="none" w:sz="0" w:space="0" w:color="000000"/>
        <w:left w:val="single" w:sz="18" w:space="4" w:color="FF6600"/>
        <w:bottom w:val="none" w:sz="0" w:space="0" w:color="000000"/>
        <w:right w:val="none" w:sz="0" w:space="0" w:color="000000"/>
        <w:between w:val="nil"/>
      </w:pBdr>
      <w:ind w:hanging="2"/>
      <w:rPr>
        <w:rFonts w:ascii="Arial LatArm" w:eastAsia="Arial LatArm" w:hAnsi="Arial LatArm" w:cs="Arial LatArm"/>
        <w:color w:val="000000"/>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91E74"/>
    <w:multiLevelType w:val="multilevel"/>
    <w:tmpl w:val="4DD09296"/>
    <w:lvl w:ilvl="0">
      <w:start w:val="1"/>
      <w:numFmt w:val="decimal"/>
      <w:lvlText w:val="%1."/>
      <w:lvlJc w:val="left"/>
      <w:pPr>
        <w:ind w:left="644" w:hanging="360"/>
      </w:pPr>
      <w:rPr>
        <w:rFonts w:hint="default"/>
      </w:rPr>
    </w:lvl>
    <w:lvl w:ilvl="1">
      <w:start w:val="1"/>
      <w:numFmt w:val="decimal"/>
      <w:isLgl/>
      <w:lvlText w:val="%1.%2."/>
      <w:lvlJc w:val="left"/>
      <w:pPr>
        <w:ind w:left="1004" w:hanging="720"/>
      </w:pPr>
      <w:rPr>
        <w:rFonts w:hint="default"/>
        <w:b/>
        <w:bCs/>
        <w:color w:val="000000" w:themeColor="text1"/>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1">
    <w:nsid w:val="07C0728D"/>
    <w:multiLevelType w:val="hybridMultilevel"/>
    <w:tmpl w:val="A43867A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AF6244E"/>
    <w:multiLevelType w:val="hybridMultilevel"/>
    <w:tmpl w:val="209EB6B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0E4472E0"/>
    <w:multiLevelType w:val="multilevel"/>
    <w:tmpl w:val="9848ADE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nsid w:val="11644BB2"/>
    <w:multiLevelType w:val="hybridMultilevel"/>
    <w:tmpl w:val="7F0A0A0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14C45010"/>
    <w:multiLevelType w:val="hybridMultilevel"/>
    <w:tmpl w:val="963E3C50"/>
    <w:lvl w:ilvl="0" w:tplc="04090001">
      <w:start w:val="1"/>
      <w:numFmt w:val="bullet"/>
      <w:lvlText w:val=""/>
      <w:lvlJc w:val="left"/>
      <w:pPr>
        <w:ind w:left="1072" w:hanging="360"/>
      </w:pPr>
      <w:rPr>
        <w:rFonts w:ascii="Symbol" w:hAnsi="Symbol" w:hint="default"/>
      </w:rPr>
    </w:lvl>
    <w:lvl w:ilvl="1" w:tplc="04090003" w:tentative="1">
      <w:start w:val="1"/>
      <w:numFmt w:val="bullet"/>
      <w:lvlText w:val="o"/>
      <w:lvlJc w:val="left"/>
      <w:pPr>
        <w:ind w:left="1792" w:hanging="360"/>
      </w:pPr>
      <w:rPr>
        <w:rFonts w:ascii="Courier New" w:hAnsi="Courier New" w:cs="Courier New" w:hint="default"/>
      </w:rPr>
    </w:lvl>
    <w:lvl w:ilvl="2" w:tplc="04090005" w:tentative="1">
      <w:start w:val="1"/>
      <w:numFmt w:val="bullet"/>
      <w:lvlText w:val=""/>
      <w:lvlJc w:val="left"/>
      <w:pPr>
        <w:ind w:left="2512" w:hanging="360"/>
      </w:pPr>
      <w:rPr>
        <w:rFonts w:ascii="Wingdings" w:hAnsi="Wingdings" w:hint="default"/>
      </w:rPr>
    </w:lvl>
    <w:lvl w:ilvl="3" w:tplc="04090001" w:tentative="1">
      <w:start w:val="1"/>
      <w:numFmt w:val="bullet"/>
      <w:lvlText w:val=""/>
      <w:lvlJc w:val="left"/>
      <w:pPr>
        <w:ind w:left="3232" w:hanging="360"/>
      </w:pPr>
      <w:rPr>
        <w:rFonts w:ascii="Symbol" w:hAnsi="Symbol" w:hint="default"/>
      </w:rPr>
    </w:lvl>
    <w:lvl w:ilvl="4" w:tplc="04090003" w:tentative="1">
      <w:start w:val="1"/>
      <w:numFmt w:val="bullet"/>
      <w:lvlText w:val="o"/>
      <w:lvlJc w:val="left"/>
      <w:pPr>
        <w:ind w:left="3952" w:hanging="360"/>
      </w:pPr>
      <w:rPr>
        <w:rFonts w:ascii="Courier New" w:hAnsi="Courier New" w:cs="Courier New" w:hint="default"/>
      </w:rPr>
    </w:lvl>
    <w:lvl w:ilvl="5" w:tplc="04090005" w:tentative="1">
      <w:start w:val="1"/>
      <w:numFmt w:val="bullet"/>
      <w:lvlText w:val=""/>
      <w:lvlJc w:val="left"/>
      <w:pPr>
        <w:ind w:left="4672" w:hanging="360"/>
      </w:pPr>
      <w:rPr>
        <w:rFonts w:ascii="Wingdings" w:hAnsi="Wingdings" w:hint="default"/>
      </w:rPr>
    </w:lvl>
    <w:lvl w:ilvl="6" w:tplc="04090001" w:tentative="1">
      <w:start w:val="1"/>
      <w:numFmt w:val="bullet"/>
      <w:lvlText w:val=""/>
      <w:lvlJc w:val="left"/>
      <w:pPr>
        <w:ind w:left="5392" w:hanging="360"/>
      </w:pPr>
      <w:rPr>
        <w:rFonts w:ascii="Symbol" w:hAnsi="Symbol" w:hint="default"/>
      </w:rPr>
    </w:lvl>
    <w:lvl w:ilvl="7" w:tplc="04090003" w:tentative="1">
      <w:start w:val="1"/>
      <w:numFmt w:val="bullet"/>
      <w:lvlText w:val="o"/>
      <w:lvlJc w:val="left"/>
      <w:pPr>
        <w:ind w:left="6112" w:hanging="360"/>
      </w:pPr>
      <w:rPr>
        <w:rFonts w:ascii="Courier New" w:hAnsi="Courier New" w:cs="Courier New" w:hint="default"/>
      </w:rPr>
    </w:lvl>
    <w:lvl w:ilvl="8" w:tplc="04090005" w:tentative="1">
      <w:start w:val="1"/>
      <w:numFmt w:val="bullet"/>
      <w:lvlText w:val=""/>
      <w:lvlJc w:val="left"/>
      <w:pPr>
        <w:ind w:left="6832" w:hanging="360"/>
      </w:pPr>
      <w:rPr>
        <w:rFonts w:ascii="Wingdings" w:hAnsi="Wingdings" w:hint="default"/>
      </w:rPr>
    </w:lvl>
  </w:abstractNum>
  <w:abstractNum w:abstractNumId="6">
    <w:nsid w:val="1BBF205A"/>
    <w:multiLevelType w:val="multilevel"/>
    <w:tmpl w:val="86BA1C0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nsid w:val="1FEE2FAF"/>
    <w:multiLevelType w:val="multilevel"/>
    <w:tmpl w:val="FD2647C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20742C22"/>
    <w:multiLevelType w:val="hybridMultilevel"/>
    <w:tmpl w:val="AEAEF31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207C776C"/>
    <w:multiLevelType w:val="multilevel"/>
    <w:tmpl w:val="6F20984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nsid w:val="21BE245C"/>
    <w:multiLevelType w:val="hybridMultilevel"/>
    <w:tmpl w:val="51B4BEC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nsid w:val="21DE7B37"/>
    <w:multiLevelType w:val="hybridMultilevel"/>
    <w:tmpl w:val="9FA4C8B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9DD3DE8"/>
    <w:multiLevelType w:val="multilevel"/>
    <w:tmpl w:val="369A2C58"/>
    <w:lvl w:ilvl="0">
      <w:start w:val="1"/>
      <w:numFmt w:val="decimal"/>
      <w:lvlText w:val="%1."/>
      <w:lvlJc w:val="left"/>
      <w:pPr>
        <w:ind w:left="1200" w:hanging="660"/>
      </w:pPr>
      <w:rPr>
        <w:b/>
        <w:vertAlign w:val="baseline"/>
      </w:rPr>
    </w:lvl>
    <w:lvl w:ilvl="1">
      <w:start w:val="1"/>
      <w:numFmt w:val="lowerLetter"/>
      <w:lvlText w:val="%2."/>
      <w:lvlJc w:val="left"/>
      <w:pPr>
        <w:ind w:left="1866" w:hanging="360"/>
      </w:pPr>
      <w:rPr>
        <w:vertAlign w:val="baseline"/>
      </w:rPr>
    </w:lvl>
    <w:lvl w:ilvl="2">
      <w:start w:val="1"/>
      <w:numFmt w:val="lowerRoman"/>
      <w:lvlText w:val="%3."/>
      <w:lvlJc w:val="right"/>
      <w:pPr>
        <w:ind w:left="2586" w:hanging="180"/>
      </w:pPr>
      <w:rPr>
        <w:vertAlign w:val="baseline"/>
      </w:rPr>
    </w:lvl>
    <w:lvl w:ilvl="3">
      <w:start w:val="1"/>
      <w:numFmt w:val="decimal"/>
      <w:lvlText w:val="%4."/>
      <w:lvlJc w:val="left"/>
      <w:pPr>
        <w:ind w:left="3306" w:hanging="360"/>
      </w:pPr>
      <w:rPr>
        <w:vertAlign w:val="baseline"/>
      </w:rPr>
    </w:lvl>
    <w:lvl w:ilvl="4">
      <w:start w:val="1"/>
      <w:numFmt w:val="lowerLetter"/>
      <w:lvlText w:val="%5."/>
      <w:lvlJc w:val="left"/>
      <w:pPr>
        <w:ind w:left="4026" w:hanging="360"/>
      </w:pPr>
      <w:rPr>
        <w:vertAlign w:val="baseline"/>
      </w:rPr>
    </w:lvl>
    <w:lvl w:ilvl="5">
      <w:start w:val="1"/>
      <w:numFmt w:val="lowerRoman"/>
      <w:lvlText w:val="%6."/>
      <w:lvlJc w:val="right"/>
      <w:pPr>
        <w:ind w:left="4746" w:hanging="180"/>
      </w:pPr>
      <w:rPr>
        <w:vertAlign w:val="baseline"/>
      </w:rPr>
    </w:lvl>
    <w:lvl w:ilvl="6">
      <w:start w:val="1"/>
      <w:numFmt w:val="decimal"/>
      <w:lvlText w:val="%7."/>
      <w:lvlJc w:val="left"/>
      <w:pPr>
        <w:ind w:left="5466" w:hanging="360"/>
      </w:pPr>
      <w:rPr>
        <w:vertAlign w:val="baseline"/>
      </w:rPr>
    </w:lvl>
    <w:lvl w:ilvl="7">
      <w:start w:val="1"/>
      <w:numFmt w:val="lowerLetter"/>
      <w:lvlText w:val="%8."/>
      <w:lvlJc w:val="left"/>
      <w:pPr>
        <w:ind w:left="6186" w:hanging="360"/>
      </w:pPr>
      <w:rPr>
        <w:vertAlign w:val="baseline"/>
      </w:rPr>
    </w:lvl>
    <w:lvl w:ilvl="8">
      <w:start w:val="1"/>
      <w:numFmt w:val="lowerRoman"/>
      <w:lvlText w:val="%9."/>
      <w:lvlJc w:val="right"/>
      <w:pPr>
        <w:ind w:left="6906" w:hanging="180"/>
      </w:pPr>
      <w:rPr>
        <w:vertAlign w:val="baseline"/>
      </w:rPr>
    </w:lvl>
  </w:abstractNum>
  <w:abstractNum w:abstractNumId="13">
    <w:nsid w:val="2A0D79D5"/>
    <w:multiLevelType w:val="hybridMultilevel"/>
    <w:tmpl w:val="7616B34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37C535A8"/>
    <w:multiLevelType w:val="multilevel"/>
    <w:tmpl w:val="72BE3C1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5">
    <w:nsid w:val="40AE10ED"/>
    <w:multiLevelType w:val="hybridMultilevel"/>
    <w:tmpl w:val="24B8239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41B929AA"/>
    <w:multiLevelType w:val="hybridMultilevel"/>
    <w:tmpl w:val="378AF92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nsid w:val="46BF5FA5"/>
    <w:multiLevelType w:val="hybridMultilevel"/>
    <w:tmpl w:val="32B470E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46F7308A"/>
    <w:multiLevelType w:val="multilevel"/>
    <w:tmpl w:val="809C44C0"/>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9">
    <w:nsid w:val="4A003363"/>
    <w:multiLevelType w:val="hybridMultilevel"/>
    <w:tmpl w:val="3B58011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4BDA333D"/>
    <w:multiLevelType w:val="hybridMultilevel"/>
    <w:tmpl w:val="C5A6FF2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nsid w:val="4FC201AD"/>
    <w:multiLevelType w:val="multilevel"/>
    <w:tmpl w:val="ECEE2E6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nsid w:val="651067D0"/>
    <w:multiLevelType w:val="hybridMultilevel"/>
    <w:tmpl w:val="EDC2DA0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nsid w:val="670A490B"/>
    <w:multiLevelType w:val="hybridMultilevel"/>
    <w:tmpl w:val="F3D825A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nsid w:val="6753275F"/>
    <w:multiLevelType w:val="hybridMultilevel"/>
    <w:tmpl w:val="3B9E948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nsid w:val="6C294103"/>
    <w:multiLevelType w:val="hybridMultilevel"/>
    <w:tmpl w:val="8946B37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6CE00BC3"/>
    <w:multiLevelType w:val="hybridMultilevel"/>
    <w:tmpl w:val="F64EACF6"/>
    <w:lvl w:ilvl="0" w:tplc="E0907D80">
      <w:start w:val="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nsid w:val="70890927"/>
    <w:multiLevelType w:val="hybridMultilevel"/>
    <w:tmpl w:val="2E469E2A"/>
    <w:lvl w:ilvl="0" w:tplc="1B70E3B6">
      <w:start w:val="1"/>
      <w:numFmt w:val="decimal"/>
      <w:lvlText w:val="%1)"/>
      <w:lvlJc w:val="left"/>
      <w:pPr>
        <w:ind w:left="1004" w:hanging="360"/>
      </w:pPr>
      <w:rPr>
        <w:b/>
        <w:bCs/>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8">
    <w:nsid w:val="7BAA090F"/>
    <w:multiLevelType w:val="multilevel"/>
    <w:tmpl w:val="80F224E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21"/>
  </w:num>
  <w:num w:numId="2">
    <w:abstractNumId w:val="28"/>
  </w:num>
  <w:num w:numId="3">
    <w:abstractNumId w:val="3"/>
  </w:num>
  <w:num w:numId="4">
    <w:abstractNumId w:val="6"/>
  </w:num>
  <w:num w:numId="5">
    <w:abstractNumId w:val="7"/>
  </w:num>
  <w:num w:numId="6">
    <w:abstractNumId w:val="9"/>
  </w:num>
  <w:num w:numId="7">
    <w:abstractNumId w:val="14"/>
  </w:num>
  <w:num w:numId="8">
    <w:abstractNumId w:val="26"/>
  </w:num>
  <w:num w:numId="9">
    <w:abstractNumId w:val="0"/>
  </w:num>
  <w:num w:numId="10">
    <w:abstractNumId w:val="17"/>
  </w:num>
  <w:num w:numId="11">
    <w:abstractNumId w:val="20"/>
  </w:num>
  <w:num w:numId="12">
    <w:abstractNumId w:val="13"/>
  </w:num>
  <w:num w:numId="13">
    <w:abstractNumId w:val="22"/>
  </w:num>
  <w:num w:numId="14">
    <w:abstractNumId w:val="8"/>
  </w:num>
  <w:num w:numId="15">
    <w:abstractNumId w:val="10"/>
  </w:num>
  <w:num w:numId="16">
    <w:abstractNumId w:val="27"/>
  </w:num>
  <w:num w:numId="17">
    <w:abstractNumId w:val="4"/>
  </w:num>
  <w:num w:numId="18">
    <w:abstractNumId w:val="1"/>
  </w:num>
  <w:num w:numId="19">
    <w:abstractNumId w:val="24"/>
  </w:num>
  <w:num w:numId="20">
    <w:abstractNumId w:val="16"/>
  </w:num>
  <w:num w:numId="21">
    <w:abstractNumId w:val="19"/>
  </w:num>
  <w:num w:numId="22">
    <w:abstractNumId w:val="23"/>
  </w:num>
  <w:num w:numId="23">
    <w:abstractNumId w:val="2"/>
  </w:num>
  <w:num w:numId="24">
    <w:abstractNumId w:val="11"/>
  </w:num>
  <w:num w:numId="25">
    <w:abstractNumId w:val="5"/>
  </w:num>
  <w:num w:numId="26">
    <w:abstractNumId w:val="15"/>
  </w:num>
  <w:num w:numId="27">
    <w:abstractNumId w:val="12"/>
  </w:num>
  <w:num w:numId="28">
    <w:abstractNumId w:val="25"/>
  </w:num>
  <w:num w:numId="2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rsids>
    <w:rsidRoot w:val="0078639C"/>
    <w:rsid w:val="000010B7"/>
    <w:rsid w:val="00002089"/>
    <w:rsid w:val="000053B5"/>
    <w:rsid w:val="000055B0"/>
    <w:rsid w:val="00005FC9"/>
    <w:rsid w:val="00010959"/>
    <w:rsid w:val="00010DE2"/>
    <w:rsid w:val="00011B8E"/>
    <w:rsid w:val="00012082"/>
    <w:rsid w:val="00012125"/>
    <w:rsid w:val="00016EB6"/>
    <w:rsid w:val="00016F71"/>
    <w:rsid w:val="00017C2C"/>
    <w:rsid w:val="00021B41"/>
    <w:rsid w:val="00021B7B"/>
    <w:rsid w:val="00022AC7"/>
    <w:rsid w:val="000234CE"/>
    <w:rsid w:val="0002477A"/>
    <w:rsid w:val="00024FFF"/>
    <w:rsid w:val="00026CD3"/>
    <w:rsid w:val="00026FE3"/>
    <w:rsid w:val="00030934"/>
    <w:rsid w:val="0003126A"/>
    <w:rsid w:val="0003307B"/>
    <w:rsid w:val="00034FE0"/>
    <w:rsid w:val="000353F3"/>
    <w:rsid w:val="00035AB6"/>
    <w:rsid w:val="00036A99"/>
    <w:rsid w:val="000370D8"/>
    <w:rsid w:val="000402F1"/>
    <w:rsid w:val="00040952"/>
    <w:rsid w:val="00040F5F"/>
    <w:rsid w:val="0004300E"/>
    <w:rsid w:val="00043E88"/>
    <w:rsid w:val="00043F03"/>
    <w:rsid w:val="000455E4"/>
    <w:rsid w:val="00045ECB"/>
    <w:rsid w:val="0004714E"/>
    <w:rsid w:val="00047AFF"/>
    <w:rsid w:val="000501C7"/>
    <w:rsid w:val="000512C8"/>
    <w:rsid w:val="00051386"/>
    <w:rsid w:val="000522DD"/>
    <w:rsid w:val="0005403C"/>
    <w:rsid w:val="00054A21"/>
    <w:rsid w:val="00055D86"/>
    <w:rsid w:val="00056C88"/>
    <w:rsid w:val="000618F8"/>
    <w:rsid w:val="00065237"/>
    <w:rsid w:val="00066FCA"/>
    <w:rsid w:val="00072759"/>
    <w:rsid w:val="000738E1"/>
    <w:rsid w:val="00073B3E"/>
    <w:rsid w:val="0007486D"/>
    <w:rsid w:val="00075465"/>
    <w:rsid w:val="00076514"/>
    <w:rsid w:val="00076D83"/>
    <w:rsid w:val="0008055C"/>
    <w:rsid w:val="000806E9"/>
    <w:rsid w:val="00082763"/>
    <w:rsid w:val="0008347C"/>
    <w:rsid w:val="00084B41"/>
    <w:rsid w:val="000859F0"/>
    <w:rsid w:val="00090EA8"/>
    <w:rsid w:val="00091BB9"/>
    <w:rsid w:val="00092925"/>
    <w:rsid w:val="00092E51"/>
    <w:rsid w:val="0009327C"/>
    <w:rsid w:val="00093A21"/>
    <w:rsid w:val="00094F9E"/>
    <w:rsid w:val="000953C7"/>
    <w:rsid w:val="00096EA0"/>
    <w:rsid w:val="000974EC"/>
    <w:rsid w:val="0009765C"/>
    <w:rsid w:val="000A057C"/>
    <w:rsid w:val="000A2D7D"/>
    <w:rsid w:val="000A42D6"/>
    <w:rsid w:val="000A578B"/>
    <w:rsid w:val="000A60EC"/>
    <w:rsid w:val="000B1C99"/>
    <w:rsid w:val="000B1CC3"/>
    <w:rsid w:val="000B2ACD"/>
    <w:rsid w:val="000B2F39"/>
    <w:rsid w:val="000B46BD"/>
    <w:rsid w:val="000B5824"/>
    <w:rsid w:val="000B6B77"/>
    <w:rsid w:val="000B750B"/>
    <w:rsid w:val="000C0D0D"/>
    <w:rsid w:val="000C2239"/>
    <w:rsid w:val="000C2517"/>
    <w:rsid w:val="000C36DE"/>
    <w:rsid w:val="000C3A13"/>
    <w:rsid w:val="000C3F59"/>
    <w:rsid w:val="000C429A"/>
    <w:rsid w:val="000C6612"/>
    <w:rsid w:val="000C7282"/>
    <w:rsid w:val="000D6211"/>
    <w:rsid w:val="000D6A79"/>
    <w:rsid w:val="000E0082"/>
    <w:rsid w:val="000E0415"/>
    <w:rsid w:val="000E33F0"/>
    <w:rsid w:val="000E3BFF"/>
    <w:rsid w:val="000E479E"/>
    <w:rsid w:val="000F089E"/>
    <w:rsid w:val="000F0C0E"/>
    <w:rsid w:val="000F1DCB"/>
    <w:rsid w:val="000F238F"/>
    <w:rsid w:val="000F2DA0"/>
    <w:rsid w:val="000F331A"/>
    <w:rsid w:val="000F40EA"/>
    <w:rsid w:val="000F432B"/>
    <w:rsid w:val="000F4456"/>
    <w:rsid w:val="000F4998"/>
    <w:rsid w:val="00101759"/>
    <w:rsid w:val="00103E16"/>
    <w:rsid w:val="00105AE5"/>
    <w:rsid w:val="00105DCA"/>
    <w:rsid w:val="00107EE0"/>
    <w:rsid w:val="001102D6"/>
    <w:rsid w:val="00110881"/>
    <w:rsid w:val="0011193A"/>
    <w:rsid w:val="00112664"/>
    <w:rsid w:val="00115BAA"/>
    <w:rsid w:val="00116591"/>
    <w:rsid w:val="00116911"/>
    <w:rsid w:val="00120861"/>
    <w:rsid w:val="0012470F"/>
    <w:rsid w:val="00124B4F"/>
    <w:rsid w:val="00126138"/>
    <w:rsid w:val="001306C7"/>
    <w:rsid w:val="00131E44"/>
    <w:rsid w:val="0013620A"/>
    <w:rsid w:val="00137689"/>
    <w:rsid w:val="001422E4"/>
    <w:rsid w:val="00145B30"/>
    <w:rsid w:val="00147340"/>
    <w:rsid w:val="00152F9C"/>
    <w:rsid w:val="001531A2"/>
    <w:rsid w:val="0015375B"/>
    <w:rsid w:val="00154F66"/>
    <w:rsid w:val="00156EB6"/>
    <w:rsid w:val="001575EE"/>
    <w:rsid w:val="00161708"/>
    <w:rsid w:val="00164F67"/>
    <w:rsid w:val="001663CB"/>
    <w:rsid w:val="001665BA"/>
    <w:rsid w:val="00172ABD"/>
    <w:rsid w:val="00172D3D"/>
    <w:rsid w:val="00173F9F"/>
    <w:rsid w:val="00175798"/>
    <w:rsid w:val="001768E8"/>
    <w:rsid w:val="00176C92"/>
    <w:rsid w:val="001774A2"/>
    <w:rsid w:val="00180733"/>
    <w:rsid w:val="00180BAB"/>
    <w:rsid w:val="00182AD8"/>
    <w:rsid w:val="00182E3B"/>
    <w:rsid w:val="00184704"/>
    <w:rsid w:val="001857C2"/>
    <w:rsid w:val="00185D25"/>
    <w:rsid w:val="00186546"/>
    <w:rsid w:val="001865D1"/>
    <w:rsid w:val="001902F5"/>
    <w:rsid w:val="0019191F"/>
    <w:rsid w:val="00191DEA"/>
    <w:rsid w:val="00192045"/>
    <w:rsid w:val="00192143"/>
    <w:rsid w:val="00192A0A"/>
    <w:rsid w:val="001933E2"/>
    <w:rsid w:val="0019471A"/>
    <w:rsid w:val="00194C4F"/>
    <w:rsid w:val="001952E7"/>
    <w:rsid w:val="00195450"/>
    <w:rsid w:val="001955D9"/>
    <w:rsid w:val="0019597D"/>
    <w:rsid w:val="0019661C"/>
    <w:rsid w:val="001A1B65"/>
    <w:rsid w:val="001A1E91"/>
    <w:rsid w:val="001A20E7"/>
    <w:rsid w:val="001A3C83"/>
    <w:rsid w:val="001B2191"/>
    <w:rsid w:val="001B3AD9"/>
    <w:rsid w:val="001B5443"/>
    <w:rsid w:val="001B65B3"/>
    <w:rsid w:val="001C0067"/>
    <w:rsid w:val="001C22AB"/>
    <w:rsid w:val="001C279E"/>
    <w:rsid w:val="001C4E93"/>
    <w:rsid w:val="001C4F44"/>
    <w:rsid w:val="001C760C"/>
    <w:rsid w:val="001D003A"/>
    <w:rsid w:val="001D0FE6"/>
    <w:rsid w:val="001D2807"/>
    <w:rsid w:val="001D447D"/>
    <w:rsid w:val="001E152C"/>
    <w:rsid w:val="001E1DAA"/>
    <w:rsid w:val="001E53B9"/>
    <w:rsid w:val="001E6486"/>
    <w:rsid w:val="001E7A1E"/>
    <w:rsid w:val="001F2620"/>
    <w:rsid w:val="001F3433"/>
    <w:rsid w:val="001F3D2C"/>
    <w:rsid w:val="001F4AA4"/>
    <w:rsid w:val="001F752A"/>
    <w:rsid w:val="002005F9"/>
    <w:rsid w:val="0020114E"/>
    <w:rsid w:val="0020161A"/>
    <w:rsid w:val="00201BB2"/>
    <w:rsid w:val="00201F77"/>
    <w:rsid w:val="002035EE"/>
    <w:rsid w:val="00203D12"/>
    <w:rsid w:val="00206F7C"/>
    <w:rsid w:val="002078BB"/>
    <w:rsid w:val="00211121"/>
    <w:rsid w:val="00212645"/>
    <w:rsid w:val="00213DC6"/>
    <w:rsid w:val="0021453D"/>
    <w:rsid w:val="002159DA"/>
    <w:rsid w:val="00216066"/>
    <w:rsid w:val="00216E3E"/>
    <w:rsid w:val="002209B4"/>
    <w:rsid w:val="00224A35"/>
    <w:rsid w:val="002265FC"/>
    <w:rsid w:val="00232053"/>
    <w:rsid w:val="002330EE"/>
    <w:rsid w:val="00234FBD"/>
    <w:rsid w:val="00236CA1"/>
    <w:rsid w:val="00236EE8"/>
    <w:rsid w:val="002373FC"/>
    <w:rsid w:val="00237963"/>
    <w:rsid w:val="00237D47"/>
    <w:rsid w:val="00242F46"/>
    <w:rsid w:val="00244F1F"/>
    <w:rsid w:val="00245127"/>
    <w:rsid w:val="0024539C"/>
    <w:rsid w:val="00246EA1"/>
    <w:rsid w:val="002473E0"/>
    <w:rsid w:val="002474A9"/>
    <w:rsid w:val="002504EF"/>
    <w:rsid w:val="00250A22"/>
    <w:rsid w:val="00250D49"/>
    <w:rsid w:val="0025423D"/>
    <w:rsid w:val="002544EC"/>
    <w:rsid w:val="002547A2"/>
    <w:rsid w:val="0025494A"/>
    <w:rsid w:val="00255B86"/>
    <w:rsid w:val="002632C7"/>
    <w:rsid w:val="002636D5"/>
    <w:rsid w:val="00267199"/>
    <w:rsid w:val="00267CBC"/>
    <w:rsid w:val="00270030"/>
    <w:rsid w:val="00270DB5"/>
    <w:rsid w:val="00271879"/>
    <w:rsid w:val="0027262E"/>
    <w:rsid w:val="002732D7"/>
    <w:rsid w:val="00274ED1"/>
    <w:rsid w:val="00281892"/>
    <w:rsid w:val="00282D40"/>
    <w:rsid w:val="00285FB8"/>
    <w:rsid w:val="002877AF"/>
    <w:rsid w:val="00287C7D"/>
    <w:rsid w:val="00291738"/>
    <w:rsid w:val="00293DD8"/>
    <w:rsid w:val="00293E7B"/>
    <w:rsid w:val="00295B9C"/>
    <w:rsid w:val="00297222"/>
    <w:rsid w:val="00297A34"/>
    <w:rsid w:val="002A0660"/>
    <w:rsid w:val="002A1723"/>
    <w:rsid w:val="002A1F07"/>
    <w:rsid w:val="002A6495"/>
    <w:rsid w:val="002A6ECB"/>
    <w:rsid w:val="002B015C"/>
    <w:rsid w:val="002B19C0"/>
    <w:rsid w:val="002B1DE2"/>
    <w:rsid w:val="002B2846"/>
    <w:rsid w:val="002B43FF"/>
    <w:rsid w:val="002B57E1"/>
    <w:rsid w:val="002B583F"/>
    <w:rsid w:val="002B72E2"/>
    <w:rsid w:val="002C0855"/>
    <w:rsid w:val="002C1CE9"/>
    <w:rsid w:val="002C3988"/>
    <w:rsid w:val="002C47DF"/>
    <w:rsid w:val="002C4C52"/>
    <w:rsid w:val="002C4F0F"/>
    <w:rsid w:val="002C5482"/>
    <w:rsid w:val="002C5C47"/>
    <w:rsid w:val="002C6B52"/>
    <w:rsid w:val="002C6D63"/>
    <w:rsid w:val="002D06D6"/>
    <w:rsid w:val="002D257A"/>
    <w:rsid w:val="002D286C"/>
    <w:rsid w:val="002D66EC"/>
    <w:rsid w:val="002E14DC"/>
    <w:rsid w:val="002E16BB"/>
    <w:rsid w:val="002E26C7"/>
    <w:rsid w:val="002E493A"/>
    <w:rsid w:val="002E51EC"/>
    <w:rsid w:val="002F061B"/>
    <w:rsid w:val="002F22E6"/>
    <w:rsid w:val="002F2FE2"/>
    <w:rsid w:val="002F375E"/>
    <w:rsid w:val="002F4414"/>
    <w:rsid w:val="002F68DC"/>
    <w:rsid w:val="002F6A46"/>
    <w:rsid w:val="002F766C"/>
    <w:rsid w:val="00300970"/>
    <w:rsid w:val="00302E96"/>
    <w:rsid w:val="0030391A"/>
    <w:rsid w:val="003039AF"/>
    <w:rsid w:val="00303B98"/>
    <w:rsid w:val="00304CB2"/>
    <w:rsid w:val="00305223"/>
    <w:rsid w:val="003107C8"/>
    <w:rsid w:val="00312DDC"/>
    <w:rsid w:val="00315874"/>
    <w:rsid w:val="003159FE"/>
    <w:rsid w:val="00320E9A"/>
    <w:rsid w:val="00325A85"/>
    <w:rsid w:val="003302A2"/>
    <w:rsid w:val="003307B2"/>
    <w:rsid w:val="00331582"/>
    <w:rsid w:val="003319E9"/>
    <w:rsid w:val="003320C8"/>
    <w:rsid w:val="003326F8"/>
    <w:rsid w:val="003366C7"/>
    <w:rsid w:val="00337AE1"/>
    <w:rsid w:val="003406EC"/>
    <w:rsid w:val="0034095D"/>
    <w:rsid w:val="0034145C"/>
    <w:rsid w:val="003425B0"/>
    <w:rsid w:val="00342DDF"/>
    <w:rsid w:val="00345251"/>
    <w:rsid w:val="00347332"/>
    <w:rsid w:val="00347B00"/>
    <w:rsid w:val="00350000"/>
    <w:rsid w:val="00350137"/>
    <w:rsid w:val="003518D4"/>
    <w:rsid w:val="00351DEE"/>
    <w:rsid w:val="003524BF"/>
    <w:rsid w:val="00356E2A"/>
    <w:rsid w:val="003625BA"/>
    <w:rsid w:val="0036285E"/>
    <w:rsid w:val="00362E65"/>
    <w:rsid w:val="0036436D"/>
    <w:rsid w:val="00364436"/>
    <w:rsid w:val="00366A1F"/>
    <w:rsid w:val="00367463"/>
    <w:rsid w:val="00367F22"/>
    <w:rsid w:val="00370D6D"/>
    <w:rsid w:val="003714DC"/>
    <w:rsid w:val="00371898"/>
    <w:rsid w:val="00374514"/>
    <w:rsid w:val="00384890"/>
    <w:rsid w:val="003868A5"/>
    <w:rsid w:val="00387E08"/>
    <w:rsid w:val="003912A3"/>
    <w:rsid w:val="0039266B"/>
    <w:rsid w:val="00392B28"/>
    <w:rsid w:val="003953DB"/>
    <w:rsid w:val="00395732"/>
    <w:rsid w:val="00395924"/>
    <w:rsid w:val="00395DD6"/>
    <w:rsid w:val="003971E4"/>
    <w:rsid w:val="003979E9"/>
    <w:rsid w:val="003A1C70"/>
    <w:rsid w:val="003A1E44"/>
    <w:rsid w:val="003A33DB"/>
    <w:rsid w:val="003A3FF4"/>
    <w:rsid w:val="003A5169"/>
    <w:rsid w:val="003A7206"/>
    <w:rsid w:val="003B1560"/>
    <w:rsid w:val="003B2332"/>
    <w:rsid w:val="003B28D8"/>
    <w:rsid w:val="003B3A29"/>
    <w:rsid w:val="003B5E1D"/>
    <w:rsid w:val="003B71A5"/>
    <w:rsid w:val="003B7F24"/>
    <w:rsid w:val="003C0F99"/>
    <w:rsid w:val="003C1EB7"/>
    <w:rsid w:val="003C2694"/>
    <w:rsid w:val="003C58F9"/>
    <w:rsid w:val="003C6354"/>
    <w:rsid w:val="003C7ADD"/>
    <w:rsid w:val="003C7C82"/>
    <w:rsid w:val="003D01C0"/>
    <w:rsid w:val="003D2458"/>
    <w:rsid w:val="003D513D"/>
    <w:rsid w:val="003D578E"/>
    <w:rsid w:val="003D6A99"/>
    <w:rsid w:val="003D7A7C"/>
    <w:rsid w:val="003E18BD"/>
    <w:rsid w:val="003E274F"/>
    <w:rsid w:val="003E5680"/>
    <w:rsid w:val="003E65BC"/>
    <w:rsid w:val="003E738F"/>
    <w:rsid w:val="003F105B"/>
    <w:rsid w:val="003F140F"/>
    <w:rsid w:val="003F478C"/>
    <w:rsid w:val="003F4DF8"/>
    <w:rsid w:val="003F4FB4"/>
    <w:rsid w:val="003F5B80"/>
    <w:rsid w:val="003F7A0D"/>
    <w:rsid w:val="00400C84"/>
    <w:rsid w:val="00403C33"/>
    <w:rsid w:val="00405A9E"/>
    <w:rsid w:val="00406DC1"/>
    <w:rsid w:val="00406DD8"/>
    <w:rsid w:val="0040766F"/>
    <w:rsid w:val="00407EE7"/>
    <w:rsid w:val="00410220"/>
    <w:rsid w:val="004104ED"/>
    <w:rsid w:val="00410E70"/>
    <w:rsid w:val="004146AD"/>
    <w:rsid w:val="004159BD"/>
    <w:rsid w:val="00420A26"/>
    <w:rsid w:val="00422101"/>
    <w:rsid w:val="00422C50"/>
    <w:rsid w:val="00423AE6"/>
    <w:rsid w:val="00424B0D"/>
    <w:rsid w:val="004314D9"/>
    <w:rsid w:val="00432F1B"/>
    <w:rsid w:val="004338C9"/>
    <w:rsid w:val="0043572A"/>
    <w:rsid w:val="00436EA8"/>
    <w:rsid w:val="00440077"/>
    <w:rsid w:val="004446DD"/>
    <w:rsid w:val="004509DB"/>
    <w:rsid w:val="00456B53"/>
    <w:rsid w:val="00456CD1"/>
    <w:rsid w:val="00457732"/>
    <w:rsid w:val="00461594"/>
    <w:rsid w:val="00462A08"/>
    <w:rsid w:val="00466E5D"/>
    <w:rsid w:val="00467890"/>
    <w:rsid w:val="00470EC7"/>
    <w:rsid w:val="00471648"/>
    <w:rsid w:val="00473BC7"/>
    <w:rsid w:val="00474330"/>
    <w:rsid w:val="004745AC"/>
    <w:rsid w:val="00475248"/>
    <w:rsid w:val="00476522"/>
    <w:rsid w:val="0047681E"/>
    <w:rsid w:val="004775C2"/>
    <w:rsid w:val="00477BDE"/>
    <w:rsid w:val="004820C8"/>
    <w:rsid w:val="00483057"/>
    <w:rsid w:val="004840D0"/>
    <w:rsid w:val="004863CC"/>
    <w:rsid w:val="00487A26"/>
    <w:rsid w:val="004901C8"/>
    <w:rsid w:val="004928B5"/>
    <w:rsid w:val="00494CC6"/>
    <w:rsid w:val="0049619B"/>
    <w:rsid w:val="004A0C11"/>
    <w:rsid w:val="004A15F7"/>
    <w:rsid w:val="004A2356"/>
    <w:rsid w:val="004A255F"/>
    <w:rsid w:val="004A2D25"/>
    <w:rsid w:val="004A4137"/>
    <w:rsid w:val="004A418B"/>
    <w:rsid w:val="004B06F8"/>
    <w:rsid w:val="004B1229"/>
    <w:rsid w:val="004B372D"/>
    <w:rsid w:val="004B49FE"/>
    <w:rsid w:val="004B648B"/>
    <w:rsid w:val="004B7E9B"/>
    <w:rsid w:val="004C0E62"/>
    <w:rsid w:val="004C2953"/>
    <w:rsid w:val="004D2C2C"/>
    <w:rsid w:val="004D5204"/>
    <w:rsid w:val="004D56B3"/>
    <w:rsid w:val="004D73AB"/>
    <w:rsid w:val="004D750A"/>
    <w:rsid w:val="004E0169"/>
    <w:rsid w:val="004E08C1"/>
    <w:rsid w:val="004E24F6"/>
    <w:rsid w:val="004E378E"/>
    <w:rsid w:val="004E5408"/>
    <w:rsid w:val="004F1EBB"/>
    <w:rsid w:val="004F2ED3"/>
    <w:rsid w:val="004F3524"/>
    <w:rsid w:val="004F38C6"/>
    <w:rsid w:val="004F547B"/>
    <w:rsid w:val="004F6E6B"/>
    <w:rsid w:val="004F7AD8"/>
    <w:rsid w:val="004F7E5B"/>
    <w:rsid w:val="00501399"/>
    <w:rsid w:val="00501D99"/>
    <w:rsid w:val="005024FD"/>
    <w:rsid w:val="00502B00"/>
    <w:rsid w:val="00506C36"/>
    <w:rsid w:val="0051199B"/>
    <w:rsid w:val="005126E2"/>
    <w:rsid w:val="00512A68"/>
    <w:rsid w:val="005224E4"/>
    <w:rsid w:val="00524474"/>
    <w:rsid w:val="0052522F"/>
    <w:rsid w:val="00530EB8"/>
    <w:rsid w:val="00530FF0"/>
    <w:rsid w:val="00531EE9"/>
    <w:rsid w:val="005322A9"/>
    <w:rsid w:val="0053274E"/>
    <w:rsid w:val="00533460"/>
    <w:rsid w:val="0053692D"/>
    <w:rsid w:val="005375B4"/>
    <w:rsid w:val="00537DB6"/>
    <w:rsid w:val="00541587"/>
    <w:rsid w:val="00544277"/>
    <w:rsid w:val="005447BB"/>
    <w:rsid w:val="00546902"/>
    <w:rsid w:val="00546E9C"/>
    <w:rsid w:val="00550BDD"/>
    <w:rsid w:val="0055171B"/>
    <w:rsid w:val="005521A0"/>
    <w:rsid w:val="00553043"/>
    <w:rsid w:val="00553CC7"/>
    <w:rsid w:val="005552BE"/>
    <w:rsid w:val="00555690"/>
    <w:rsid w:val="0055574A"/>
    <w:rsid w:val="00557227"/>
    <w:rsid w:val="00562895"/>
    <w:rsid w:val="0056331E"/>
    <w:rsid w:val="005633A7"/>
    <w:rsid w:val="00563B94"/>
    <w:rsid w:val="00564C9B"/>
    <w:rsid w:val="005665DA"/>
    <w:rsid w:val="005666BA"/>
    <w:rsid w:val="00574B24"/>
    <w:rsid w:val="0057664A"/>
    <w:rsid w:val="00577578"/>
    <w:rsid w:val="00577DD5"/>
    <w:rsid w:val="00580066"/>
    <w:rsid w:val="00582B07"/>
    <w:rsid w:val="00587990"/>
    <w:rsid w:val="0059166D"/>
    <w:rsid w:val="00592C85"/>
    <w:rsid w:val="00594661"/>
    <w:rsid w:val="005946DC"/>
    <w:rsid w:val="00595D2D"/>
    <w:rsid w:val="00596433"/>
    <w:rsid w:val="00597505"/>
    <w:rsid w:val="005A0FFB"/>
    <w:rsid w:val="005A17B3"/>
    <w:rsid w:val="005A249C"/>
    <w:rsid w:val="005A365E"/>
    <w:rsid w:val="005A3A0A"/>
    <w:rsid w:val="005A3BEB"/>
    <w:rsid w:val="005A3E83"/>
    <w:rsid w:val="005A5DE9"/>
    <w:rsid w:val="005A61BE"/>
    <w:rsid w:val="005A704E"/>
    <w:rsid w:val="005A776A"/>
    <w:rsid w:val="005B049D"/>
    <w:rsid w:val="005B0D21"/>
    <w:rsid w:val="005B3088"/>
    <w:rsid w:val="005B3561"/>
    <w:rsid w:val="005B4B1A"/>
    <w:rsid w:val="005B7C46"/>
    <w:rsid w:val="005C011F"/>
    <w:rsid w:val="005C055C"/>
    <w:rsid w:val="005C0706"/>
    <w:rsid w:val="005C23CC"/>
    <w:rsid w:val="005C24BC"/>
    <w:rsid w:val="005C3530"/>
    <w:rsid w:val="005C5480"/>
    <w:rsid w:val="005C7C30"/>
    <w:rsid w:val="005C7C7C"/>
    <w:rsid w:val="005D10BE"/>
    <w:rsid w:val="005D38C7"/>
    <w:rsid w:val="005D43F6"/>
    <w:rsid w:val="005D5ED8"/>
    <w:rsid w:val="005D5F52"/>
    <w:rsid w:val="005D6DB7"/>
    <w:rsid w:val="005D7078"/>
    <w:rsid w:val="005D77B5"/>
    <w:rsid w:val="005E07C0"/>
    <w:rsid w:val="005E0905"/>
    <w:rsid w:val="005E15E8"/>
    <w:rsid w:val="005E1CFD"/>
    <w:rsid w:val="005E4FC8"/>
    <w:rsid w:val="005E66CF"/>
    <w:rsid w:val="005E702F"/>
    <w:rsid w:val="005F046C"/>
    <w:rsid w:val="005F0E73"/>
    <w:rsid w:val="005F46F7"/>
    <w:rsid w:val="005F4829"/>
    <w:rsid w:val="005F4EE7"/>
    <w:rsid w:val="005F6821"/>
    <w:rsid w:val="00601476"/>
    <w:rsid w:val="006042F7"/>
    <w:rsid w:val="0060478D"/>
    <w:rsid w:val="00604EF2"/>
    <w:rsid w:val="00605D95"/>
    <w:rsid w:val="0061180C"/>
    <w:rsid w:val="00614329"/>
    <w:rsid w:val="0061463E"/>
    <w:rsid w:val="00615C71"/>
    <w:rsid w:val="00616F56"/>
    <w:rsid w:val="00616FCB"/>
    <w:rsid w:val="006175F1"/>
    <w:rsid w:val="00620D08"/>
    <w:rsid w:val="00620F68"/>
    <w:rsid w:val="00621E72"/>
    <w:rsid w:val="00622440"/>
    <w:rsid w:val="0062564A"/>
    <w:rsid w:val="0062603A"/>
    <w:rsid w:val="00626381"/>
    <w:rsid w:val="00627382"/>
    <w:rsid w:val="00632D86"/>
    <w:rsid w:val="0063401C"/>
    <w:rsid w:val="0063724D"/>
    <w:rsid w:val="006372D0"/>
    <w:rsid w:val="0063743B"/>
    <w:rsid w:val="0063789B"/>
    <w:rsid w:val="00637A85"/>
    <w:rsid w:val="00642B97"/>
    <w:rsid w:val="006436F0"/>
    <w:rsid w:val="006517CD"/>
    <w:rsid w:val="0065355F"/>
    <w:rsid w:val="006551E2"/>
    <w:rsid w:val="00655338"/>
    <w:rsid w:val="0065550E"/>
    <w:rsid w:val="006566F3"/>
    <w:rsid w:val="00657D26"/>
    <w:rsid w:val="006606F8"/>
    <w:rsid w:val="00660A31"/>
    <w:rsid w:val="00663535"/>
    <w:rsid w:val="0066408F"/>
    <w:rsid w:val="0066512B"/>
    <w:rsid w:val="00666008"/>
    <w:rsid w:val="00666323"/>
    <w:rsid w:val="00667474"/>
    <w:rsid w:val="00670052"/>
    <w:rsid w:val="00671A53"/>
    <w:rsid w:val="00674E6E"/>
    <w:rsid w:val="00675EA3"/>
    <w:rsid w:val="00676278"/>
    <w:rsid w:val="006765E1"/>
    <w:rsid w:val="00677153"/>
    <w:rsid w:val="00681BD1"/>
    <w:rsid w:val="00682487"/>
    <w:rsid w:val="00682DF8"/>
    <w:rsid w:val="006838F9"/>
    <w:rsid w:val="006839C9"/>
    <w:rsid w:val="00683C82"/>
    <w:rsid w:val="0068571C"/>
    <w:rsid w:val="0068708F"/>
    <w:rsid w:val="00690703"/>
    <w:rsid w:val="00690DFD"/>
    <w:rsid w:val="006915A8"/>
    <w:rsid w:val="00691B1A"/>
    <w:rsid w:val="0069306C"/>
    <w:rsid w:val="00693B23"/>
    <w:rsid w:val="00696368"/>
    <w:rsid w:val="006966AC"/>
    <w:rsid w:val="00696C33"/>
    <w:rsid w:val="00697FA4"/>
    <w:rsid w:val="006A4535"/>
    <w:rsid w:val="006A7A4C"/>
    <w:rsid w:val="006B0903"/>
    <w:rsid w:val="006B44BC"/>
    <w:rsid w:val="006B7556"/>
    <w:rsid w:val="006C1212"/>
    <w:rsid w:val="006C1D13"/>
    <w:rsid w:val="006C1EC4"/>
    <w:rsid w:val="006C476D"/>
    <w:rsid w:val="006C4925"/>
    <w:rsid w:val="006D0310"/>
    <w:rsid w:val="006D0FAA"/>
    <w:rsid w:val="006D5948"/>
    <w:rsid w:val="006D5DAC"/>
    <w:rsid w:val="006D6508"/>
    <w:rsid w:val="006D7206"/>
    <w:rsid w:val="006E0C5C"/>
    <w:rsid w:val="006E1AFB"/>
    <w:rsid w:val="006E2FC3"/>
    <w:rsid w:val="006E5B0E"/>
    <w:rsid w:val="006E6091"/>
    <w:rsid w:val="006E61D4"/>
    <w:rsid w:val="006E6433"/>
    <w:rsid w:val="006E6507"/>
    <w:rsid w:val="006E7D9B"/>
    <w:rsid w:val="006F2C79"/>
    <w:rsid w:val="006F4FBD"/>
    <w:rsid w:val="006F5878"/>
    <w:rsid w:val="006F6CEB"/>
    <w:rsid w:val="00700DAA"/>
    <w:rsid w:val="007012C0"/>
    <w:rsid w:val="00703C9D"/>
    <w:rsid w:val="00704488"/>
    <w:rsid w:val="00705C7B"/>
    <w:rsid w:val="00705D95"/>
    <w:rsid w:val="007074F8"/>
    <w:rsid w:val="00711928"/>
    <w:rsid w:val="007123D9"/>
    <w:rsid w:val="00713950"/>
    <w:rsid w:val="00715413"/>
    <w:rsid w:val="0071598D"/>
    <w:rsid w:val="00716B3D"/>
    <w:rsid w:val="007174BA"/>
    <w:rsid w:val="00717A2A"/>
    <w:rsid w:val="00717B23"/>
    <w:rsid w:val="00717E41"/>
    <w:rsid w:val="00720D4F"/>
    <w:rsid w:val="0072125C"/>
    <w:rsid w:val="007241F3"/>
    <w:rsid w:val="00727568"/>
    <w:rsid w:val="00727988"/>
    <w:rsid w:val="00730BB4"/>
    <w:rsid w:val="007311A6"/>
    <w:rsid w:val="007316DA"/>
    <w:rsid w:val="00731EAF"/>
    <w:rsid w:val="0073205E"/>
    <w:rsid w:val="00732800"/>
    <w:rsid w:val="0073351B"/>
    <w:rsid w:val="007335E5"/>
    <w:rsid w:val="00735034"/>
    <w:rsid w:val="00736597"/>
    <w:rsid w:val="00736DBC"/>
    <w:rsid w:val="007379BC"/>
    <w:rsid w:val="00741410"/>
    <w:rsid w:val="00742721"/>
    <w:rsid w:val="007454A9"/>
    <w:rsid w:val="0074591B"/>
    <w:rsid w:val="00746809"/>
    <w:rsid w:val="00746E63"/>
    <w:rsid w:val="00747066"/>
    <w:rsid w:val="00752CAE"/>
    <w:rsid w:val="00753D33"/>
    <w:rsid w:val="007540DB"/>
    <w:rsid w:val="00754B5B"/>
    <w:rsid w:val="00754E76"/>
    <w:rsid w:val="007571BD"/>
    <w:rsid w:val="00760758"/>
    <w:rsid w:val="00760D20"/>
    <w:rsid w:val="007620FA"/>
    <w:rsid w:val="007623D9"/>
    <w:rsid w:val="00762728"/>
    <w:rsid w:val="00763CFC"/>
    <w:rsid w:val="007649E8"/>
    <w:rsid w:val="007664A1"/>
    <w:rsid w:val="00767156"/>
    <w:rsid w:val="00770048"/>
    <w:rsid w:val="00773872"/>
    <w:rsid w:val="0077397B"/>
    <w:rsid w:val="007815A5"/>
    <w:rsid w:val="00782BCA"/>
    <w:rsid w:val="0078532F"/>
    <w:rsid w:val="007859AE"/>
    <w:rsid w:val="0078639C"/>
    <w:rsid w:val="00787375"/>
    <w:rsid w:val="00787A81"/>
    <w:rsid w:val="00790828"/>
    <w:rsid w:val="007908F5"/>
    <w:rsid w:val="0079394B"/>
    <w:rsid w:val="00795732"/>
    <w:rsid w:val="007975D2"/>
    <w:rsid w:val="007A1066"/>
    <w:rsid w:val="007A1367"/>
    <w:rsid w:val="007A2183"/>
    <w:rsid w:val="007A2DD0"/>
    <w:rsid w:val="007A4FAD"/>
    <w:rsid w:val="007A52BB"/>
    <w:rsid w:val="007B0497"/>
    <w:rsid w:val="007B067E"/>
    <w:rsid w:val="007B1947"/>
    <w:rsid w:val="007B1C65"/>
    <w:rsid w:val="007B4508"/>
    <w:rsid w:val="007B4A87"/>
    <w:rsid w:val="007B71E7"/>
    <w:rsid w:val="007C1466"/>
    <w:rsid w:val="007C2A96"/>
    <w:rsid w:val="007C5A1A"/>
    <w:rsid w:val="007C5C6B"/>
    <w:rsid w:val="007C657C"/>
    <w:rsid w:val="007D0D74"/>
    <w:rsid w:val="007D1468"/>
    <w:rsid w:val="007D3B37"/>
    <w:rsid w:val="007D4D45"/>
    <w:rsid w:val="007D537C"/>
    <w:rsid w:val="007D5BFC"/>
    <w:rsid w:val="007D6668"/>
    <w:rsid w:val="007D7B64"/>
    <w:rsid w:val="007E01D6"/>
    <w:rsid w:val="007E083D"/>
    <w:rsid w:val="007E24D8"/>
    <w:rsid w:val="007E2721"/>
    <w:rsid w:val="007E37E9"/>
    <w:rsid w:val="007E630D"/>
    <w:rsid w:val="007E74D8"/>
    <w:rsid w:val="007E79D7"/>
    <w:rsid w:val="007F204E"/>
    <w:rsid w:val="007F20AA"/>
    <w:rsid w:val="007F4BE0"/>
    <w:rsid w:val="007F4D3B"/>
    <w:rsid w:val="007F6F13"/>
    <w:rsid w:val="007F757C"/>
    <w:rsid w:val="00801588"/>
    <w:rsid w:val="00802FB6"/>
    <w:rsid w:val="00804912"/>
    <w:rsid w:val="00804A0A"/>
    <w:rsid w:val="0080680C"/>
    <w:rsid w:val="0080683A"/>
    <w:rsid w:val="00813046"/>
    <w:rsid w:val="00813627"/>
    <w:rsid w:val="00813A41"/>
    <w:rsid w:val="00813E60"/>
    <w:rsid w:val="0081550E"/>
    <w:rsid w:val="00815F4D"/>
    <w:rsid w:val="00816670"/>
    <w:rsid w:val="00817D34"/>
    <w:rsid w:val="00820018"/>
    <w:rsid w:val="00820FC3"/>
    <w:rsid w:val="0082137E"/>
    <w:rsid w:val="008213CB"/>
    <w:rsid w:val="00823424"/>
    <w:rsid w:val="00824B7F"/>
    <w:rsid w:val="00825405"/>
    <w:rsid w:val="00827348"/>
    <w:rsid w:val="00831B01"/>
    <w:rsid w:val="008327F3"/>
    <w:rsid w:val="00833477"/>
    <w:rsid w:val="0083411C"/>
    <w:rsid w:val="0083417B"/>
    <w:rsid w:val="00834D73"/>
    <w:rsid w:val="00837981"/>
    <w:rsid w:val="00837BF1"/>
    <w:rsid w:val="00840133"/>
    <w:rsid w:val="00840B2D"/>
    <w:rsid w:val="00842175"/>
    <w:rsid w:val="0084260C"/>
    <w:rsid w:val="00846FCD"/>
    <w:rsid w:val="0085039A"/>
    <w:rsid w:val="00851FD2"/>
    <w:rsid w:val="00856245"/>
    <w:rsid w:val="00860184"/>
    <w:rsid w:val="00860727"/>
    <w:rsid w:val="00861285"/>
    <w:rsid w:val="00861DCD"/>
    <w:rsid w:val="0086228E"/>
    <w:rsid w:val="00865EAF"/>
    <w:rsid w:val="00867290"/>
    <w:rsid w:val="00870471"/>
    <w:rsid w:val="00870FA0"/>
    <w:rsid w:val="008721DE"/>
    <w:rsid w:val="00872F68"/>
    <w:rsid w:val="00873363"/>
    <w:rsid w:val="0087467D"/>
    <w:rsid w:val="00874A9B"/>
    <w:rsid w:val="00882926"/>
    <w:rsid w:val="0088379F"/>
    <w:rsid w:val="00885836"/>
    <w:rsid w:val="00886D0F"/>
    <w:rsid w:val="008878AF"/>
    <w:rsid w:val="008912C7"/>
    <w:rsid w:val="00892639"/>
    <w:rsid w:val="00892F0D"/>
    <w:rsid w:val="00893DA1"/>
    <w:rsid w:val="00895DA2"/>
    <w:rsid w:val="00896AAE"/>
    <w:rsid w:val="008A0864"/>
    <w:rsid w:val="008A08BD"/>
    <w:rsid w:val="008A17E2"/>
    <w:rsid w:val="008A190A"/>
    <w:rsid w:val="008A37F7"/>
    <w:rsid w:val="008A693E"/>
    <w:rsid w:val="008A7B95"/>
    <w:rsid w:val="008B135E"/>
    <w:rsid w:val="008B29AE"/>
    <w:rsid w:val="008B3142"/>
    <w:rsid w:val="008B3324"/>
    <w:rsid w:val="008B33A4"/>
    <w:rsid w:val="008B3513"/>
    <w:rsid w:val="008B3D32"/>
    <w:rsid w:val="008B3E6B"/>
    <w:rsid w:val="008C1206"/>
    <w:rsid w:val="008C1271"/>
    <w:rsid w:val="008C2D3C"/>
    <w:rsid w:val="008C38A9"/>
    <w:rsid w:val="008C410B"/>
    <w:rsid w:val="008C7285"/>
    <w:rsid w:val="008C78A2"/>
    <w:rsid w:val="008C7EC3"/>
    <w:rsid w:val="008D2D7E"/>
    <w:rsid w:val="008D36EE"/>
    <w:rsid w:val="008D3849"/>
    <w:rsid w:val="008D4C27"/>
    <w:rsid w:val="008D61EA"/>
    <w:rsid w:val="008D6BF9"/>
    <w:rsid w:val="008D75E0"/>
    <w:rsid w:val="008D7B69"/>
    <w:rsid w:val="008E09FC"/>
    <w:rsid w:val="008E449C"/>
    <w:rsid w:val="008E4B9B"/>
    <w:rsid w:val="008E4C2A"/>
    <w:rsid w:val="008E54A1"/>
    <w:rsid w:val="008E5B10"/>
    <w:rsid w:val="008E6499"/>
    <w:rsid w:val="008E772B"/>
    <w:rsid w:val="008E7B10"/>
    <w:rsid w:val="008F1EB4"/>
    <w:rsid w:val="008F2776"/>
    <w:rsid w:val="008F3531"/>
    <w:rsid w:val="008F3B93"/>
    <w:rsid w:val="008F53E0"/>
    <w:rsid w:val="008F5679"/>
    <w:rsid w:val="008F57B5"/>
    <w:rsid w:val="008F694B"/>
    <w:rsid w:val="008F6F0D"/>
    <w:rsid w:val="00900721"/>
    <w:rsid w:val="00903F4F"/>
    <w:rsid w:val="00907620"/>
    <w:rsid w:val="009100A2"/>
    <w:rsid w:val="009109B4"/>
    <w:rsid w:val="00910D51"/>
    <w:rsid w:val="009130A6"/>
    <w:rsid w:val="00914C06"/>
    <w:rsid w:val="00914DC8"/>
    <w:rsid w:val="00915735"/>
    <w:rsid w:val="00916779"/>
    <w:rsid w:val="0091775D"/>
    <w:rsid w:val="00920887"/>
    <w:rsid w:val="00920F46"/>
    <w:rsid w:val="009215B0"/>
    <w:rsid w:val="00922342"/>
    <w:rsid w:val="00923324"/>
    <w:rsid w:val="00924448"/>
    <w:rsid w:val="00925B3B"/>
    <w:rsid w:val="00925CEE"/>
    <w:rsid w:val="00927F3C"/>
    <w:rsid w:val="0093028E"/>
    <w:rsid w:val="009308AC"/>
    <w:rsid w:val="009318E5"/>
    <w:rsid w:val="00933215"/>
    <w:rsid w:val="00934720"/>
    <w:rsid w:val="0093581F"/>
    <w:rsid w:val="00936939"/>
    <w:rsid w:val="009413B6"/>
    <w:rsid w:val="00941957"/>
    <w:rsid w:val="00941B2F"/>
    <w:rsid w:val="009423FA"/>
    <w:rsid w:val="00946B85"/>
    <w:rsid w:val="009512AE"/>
    <w:rsid w:val="009518CF"/>
    <w:rsid w:val="00952BDA"/>
    <w:rsid w:val="009532B8"/>
    <w:rsid w:val="009535D8"/>
    <w:rsid w:val="00953F26"/>
    <w:rsid w:val="009559FC"/>
    <w:rsid w:val="00956F57"/>
    <w:rsid w:val="00960208"/>
    <w:rsid w:val="00962B7A"/>
    <w:rsid w:val="00962F68"/>
    <w:rsid w:val="0096377F"/>
    <w:rsid w:val="0096556A"/>
    <w:rsid w:val="00966493"/>
    <w:rsid w:val="00967E7B"/>
    <w:rsid w:val="00970C24"/>
    <w:rsid w:val="009732C6"/>
    <w:rsid w:val="009739B5"/>
    <w:rsid w:val="0097447D"/>
    <w:rsid w:val="00977253"/>
    <w:rsid w:val="0098108E"/>
    <w:rsid w:val="009817DB"/>
    <w:rsid w:val="00985B2F"/>
    <w:rsid w:val="00986DB7"/>
    <w:rsid w:val="0099015B"/>
    <w:rsid w:val="009902D6"/>
    <w:rsid w:val="00993504"/>
    <w:rsid w:val="00994085"/>
    <w:rsid w:val="00994FDE"/>
    <w:rsid w:val="00995FE0"/>
    <w:rsid w:val="00996AD3"/>
    <w:rsid w:val="00996C80"/>
    <w:rsid w:val="009A161E"/>
    <w:rsid w:val="009A27C4"/>
    <w:rsid w:val="009A500A"/>
    <w:rsid w:val="009A57A7"/>
    <w:rsid w:val="009B0477"/>
    <w:rsid w:val="009B2277"/>
    <w:rsid w:val="009B24F9"/>
    <w:rsid w:val="009B2BD2"/>
    <w:rsid w:val="009B31FD"/>
    <w:rsid w:val="009B3382"/>
    <w:rsid w:val="009B46E0"/>
    <w:rsid w:val="009B5528"/>
    <w:rsid w:val="009B5BE9"/>
    <w:rsid w:val="009B5F2C"/>
    <w:rsid w:val="009B5FDC"/>
    <w:rsid w:val="009C025E"/>
    <w:rsid w:val="009C40F2"/>
    <w:rsid w:val="009C41C2"/>
    <w:rsid w:val="009C4B8D"/>
    <w:rsid w:val="009C6763"/>
    <w:rsid w:val="009C6BBD"/>
    <w:rsid w:val="009C7776"/>
    <w:rsid w:val="009C7D74"/>
    <w:rsid w:val="009D14E2"/>
    <w:rsid w:val="009D51CF"/>
    <w:rsid w:val="009D6D2C"/>
    <w:rsid w:val="009D7B5A"/>
    <w:rsid w:val="009E0337"/>
    <w:rsid w:val="009E1257"/>
    <w:rsid w:val="009E2FBF"/>
    <w:rsid w:val="009E3209"/>
    <w:rsid w:val="009E3983"/>
    <w:rsid w:val="009E65A2"/>
    <w:rsid w:val="009E70D7"/>
    <w:rsid w:val="009E759A"/>
    <w:rsid w:val="009E7FF7"/>
    <w:rsid w:val="009F0E01"/>
    <w:rsid w:val="009F1660"/>
    <w:rsid w:val="009F3589"/>
    <w:rsid w:val="00A00B81"/>
    <w:rsid w:val="00A050A5"/>
    <w:rsid w:val="00A0533D"/>
    <w:rsid w:val="00A06225"/>
    <w:rsid w:val="00A06C1B"/>
    <w:rsid w:val="00A07374"/>
    <w:rsid w:val="00A11C59"/>
    <w:rsid w:val="00A11C6D"/>
    <w:rsid w:val="00A14A9F"/>
    <w:rsid w:val="00A16093"/>
    <w:rsid w:val="00A165B0"/>
    <w:rsid w:val="00A175C6"/>
    <w:rsid w:val="00A20769"/>
    <w:rsid w:val="00A229DE"/>
    <w:rsid w:val="00A22F77"/>
    <w:rsid w:val="00A232BF"/>
    <w:rsid w:val="00A26334"/>
    <w:rsid w:val="00A26AEE"/>
    <w:rsid w:val="00A30E86"/>
    <w:rsid w:val="00A32D82"/>
    <w:rsid w:val="00A33450"/>
    <w:rsid w:val="00A34262"/>
    <w:rsid w:val="00A34ABD"/>
    <w:rsid w:val="00A34AE7"/>
    <w:rsid w:val="00A400C3"/>
    <w:rsid w:val="00A40C8D"/>
    <w:rsid w:val="00A41305"/>
    <w:rsid w:val="00A42C10"/>
    <w:rsid w:val="00A4378D"/>
    <w:rsid w:val="00A465D7"/>
    <w:rsid w:val="00A46CD8"/>
    <w:rsid w:val="00A503FF"/>
    <w:rsid w:val="00A527EF"/>
    <w:rsid w:val="00A536FB"/>
    <w:rsid w:val="00A53988"/>
    <w:rsid w:val="00A5494F"/>
    <w:rsid w:val="00A55264"/>
    <w:rsid w:val="00A55820"/>
    <w:rsid w:val="00A565C7"/>
    <w:rsid w:val="00A566E3"/>
    <w:rsid w:val="00A56B51"/>
    <w:rsid w:val="00A61BE5"/>
    <w:rsid w:val="00A62199"/>
    <w:rsid w:val="00A643F7"/>
    <w:rsid w:val="00A701EE"/>
    <w:rsid w:val="00A76179"/>
    <w:rsid w:val="00A817B5"/>
    <w:rsid w:val="00A823EA"/>
    <w:rsid w:val="00A844C8"/>
    <w:rsid w:val="00A847BC"/>
    <w:rsid w:val="00A84B89"/>
    <w:rsid w:val="00A8614C"/>
    <w:rsid w:val="00A90A29"/>
    <w:rsid w:val="00A90FCA"/>
    <w:rsid w:val="00A921FA"/>
    <w:rsid w:val="00A93194"/>
    <w:rsid w:val="00A96020"/>
    <w:rsid w:val="00A96BF7"/>
    <w:rsid w:val="00A96F3A"/>
    <w:rsid w:val="00A97A0E"/>
    <w:rsid w:val="00A97FAE"/>
    <w:rsid w:val="00AA16A7"/>
    <w:rsid w:val="00AA20E3"/>
    <w:rsid w:val="00AA39AB"/>
    <w:rsid w:val="00AA39E0"/>
    <w:rsid w:val="00AA43CE"/>
    <w:rsid w:val="00AA43D6"/>
    <w:rsid w:val="00AA4973"/>
    <w:rsid w:val="00AA4BCE"/>
    <w:rsid w:val="00AA5934"/>
    <w:rsid w:val="00AA6851"/>
    <w:rsid w:val="00AA6ABF"/>
    <w:rsid w:val="00AB1728"/>
    <w:rsid w:val="00AB1C39"/>
    <w:rsid w:val="00AB27AF"/>
    <w:rsid w:val="00AB2E39"/>
    <w:rsid w:val="00AB58F5"/>
    <w:rsid w:val="00AB5CC9"/>
    <w:rsid w:val="00AC0183"/>
    <w:rsid w:val="00AC0277"/>
    <w:rsid w:val="00AC1469"/>
    <w:rsid w:val="00AC2C4B"/>
    <w:rsid w:val="00AC2E8C"/>
    <w:rsid w:val="00AC3DB7"/>
    <w:rsid w:val="00AC5B39"/>
    <w:rsid w:val="00AD052C"/>
    <w:rsid w:val="00AD0F6C"/>
    <w:rsid w:val="00AD26A7"/>
    <w:rsid w:val="00AD2E98"/>
    <w:rsid w:val="00AD418B"/>
    <w:rsid w:val="00AD53B6"/>
    <w:rsid w:val="00AD5490"/>
    <w:rsid w:val="00AD7BCE"/>
    <w:rsid w:val="00AE0CA7"/>
    <w:rsid w:val="00AE114E"/>
    <w:rsid w:val="00AE57FB"/>
    <w:rsid w:val="00AE5ACB"/>
    <w:rsid w:val="00AE7AC7"/>
    <w:rsid w:val="00AF0592"/>
    <w:rsid w:val="00AF0AA5"/>
    <w:rsid w:val="00AF1FD8"/>
    <w:rsid w:val="00AF6D37"/>
    <w:rsid w:val="00B029A6"/>
    <w:rsid w:val="00B02EB1"/>
    <w:rsid w:val="00B02EEB"/>
    <w:rsid w:val="00B04A9C"/>
    <w:rsid w:val="00B0663E"/>
    <w:rsid w:val="00B06E04"/>
    <w:rsid w:val="00B07302"/>
    <w:rsid w:val="00B10B7B"/>
    <w:rsid w:val="00B1147F"/>
    <w:rsid w:val="00B11920"/>
    <w:rsid w:val="00B14C45"/>
    <w:rsid w:val="00B16339"/>
    <w:rsid w:val="00B175A0"/>
    <w:rsid w:val="00B17D45"/>
    <w:rsid w:val="00B17EC4"/>
    <w:rsid w:val="00B20837"/>
    <w:rsid w:val="00B20B59"/>
    <w:rsid w:val="00B22A17"/>
    <w:rsid w:val="00B22AEA"/>
    <w:rsid w:val="00B22CD0"/>
    <w:rsid w:val="00B25FEC"/>
    <w:rsid w:val="00B27FF3"/>
    <w:rsid w:val="00B30822"/>
    <w:rsid w:val="00B32112"/>
    <w:rsid w:val="00B33331"/>
    <w:rsid w:val="00B3404C"/>
    <w:rsid w:val="00B3428F"/>
    <w:rsid w:val="00B3599D"/>
    <w:rsid w:val="00B37FBC"/>
    <w:rsid w:val="00B41004"/>
    <w:rsid w:val="00B41142"/>
    <w:rsid w:val="00B41758"/>
    <w:rsid w:val="00B41F90"/>
    <w:rsid w:val="00B42133"/>
    <w:rsid w:val="00B425C5"/>
    <w:rsid w:val="00B43342"/>
    <w:rsid w:val="00B44A4C"/>
    <w:rsid w:val="00B44A58"/>
    <w:rsid w:val="00B4644C"/>
    <w:rsid w:val="00B508AF"/>
    <w:rsid w:val="00B509E3"/>
    <w:rsid w:val="00B54AF8"/>
    <w:rsid w:val="00B60055"/>
    <w:rsid w:val="00B60AAC"/>
    <w:rsid w:val="00B60D5E"/>
    <w:rsid w:val="00B62A93"/>
    <w:rsid w:val="00B632A3"/>
    <w:rsid w:val="00B63523"/>
    <w:rsid w:val="00B63CD1"/>
    <w:rsid w:val="00B64BB2"/>
    <w:rsid w:val="00B6528D"/>
    <w:rsid w:val="00B65A2E"/>
    <w:rsid w:val="00B66734"/>
    <w:rsid w:val="00B66A4A"/>
    <w:rsid w:val="00B67B65"/>
    <w:rsid w:val="00B7098C"/>
    <w:rsid w:val="00B71584"/>
    <w:rsid w:val="00B7307A"/>
    <w:rsid w:val="00B74A79"/>
    <w:rsid w:val="00B75CB7"/>
    <w:rsid w:val="00B773B4"/>
    <w:rsid w:val="00B80071"/>
    <w:rsid w:val="00B80BA5"/>
    <w:rsid w:val="00B822A8"/>
    <w:rsid w:val="00B82382"/>
    <w:rsid w:val="00B82555"/>
    <w:rsid w:val="00B82CA2"/>
    <w:rsid w:val="00B87138"/>
    <w:rsid w:val="00B91782"/>
    <w:rsid w:val="00B91A93"/>
    <w:rsid w:val="00B9505B"/>
    <w:rsid w:val="00B95687"/>
    <w:rsid w:val="00B9679A"/>
    <w:rsid w:val="00BA0CE4"/>
    <w:rsid w:val="00BA11F1"/>
    <w:rsid w:val="00BA1E95"/>
    <w:rsid w:val="00BA2084"/>
    <w:rsid w:val="00BA2ED4"/>
    <w:rsid w:val="00BA450B"/>
    <w:rsid w:val="00BA4BDF"/>
    <w:rsid w:val="00BA642C"/>
    <w:rsid w:val="00BA654A"/>
    <w:rsid w:val="00BA66CB"/>
    <w:rsid w:val="00BA6DED"/>
    <w:rsid w:val="00BB2A92"/>
    <w:rsid w:val="00BB6949"/>
    <w:rsid w:val="00BC04A4"/>
    <w:rsid w:val="00BC2B87"/>
    <w:rsid w:val="00BC55DC"/>
    <w:rsid w:val="00BC59C9"/>
    <w:rsid w:val="00BC603C"/>
    <w:rsid w:val="00BC735E"/>
    <w:rsid w:val="00BC79F2"/>
    <w:rsid w:val="00BD1627"/>
    <w:rsid w:val="00BD3BFF"/>
    <w:rsid w:val="00BD5F04"/>
    <w:rsid w:val="00BD6143"/>
    <w:rsid w:val="00BD6A35"/>
    <w:rsid w:val="00BD710F"/>
    <w:rsid w:val="00BE03E1"/>
    <w:rsid w:val="00BE1151"/>
    <w:rsid w:val="00BE1AC0"/>
    <w:rsid w:val="00BE7476"/>
    <w:rsid w:val="00BE7B2F"/>
    <w:rsid w:val="00C00BA6"/>
    <w:rsid w:val="00C00CF8"/>
    <w:rsid w:val="00C010DF"/>
    <w:rsid w:val="00C012FB"/>
    <w:rsid w:val="00C01ABE"/>
    <w:rsid w:val="00C0206D"/>
    <w:rsid w:val="00C04BF4"/>
    <w:rsid w:val="00C06AA6"/>
    <w:rsid w:val="00C06FA8"/>
    <w:rsid w:val="00C0729C"/>
    <w:rsid w:val="00C120C0"/>
    <w:rsid w:val="00C1411E"/>
    <w:rsid w:val="00C16A6C"/>
    <w:rsid w:val="00C21D17"/>
    <w:rsid w:val="00C22E7C"/>
    <w:rsid w:val="00C255A8"/>
    <w:rsid w:val="00C25ECC"/>
    <w:rsid w:val="00C26DBF"/>
    <w:rsid w:val="00C272DE"/>
    <w:rsid w:val="00C3030F"/>
    <w:rsid w:val="00C31522"/>
    <w:rsid w:val="00C34D35"/>
    <w:rsid w:val="00C358C2"/>
    <w:rsid w:val="00C35C6D"/>
    <w:rsid w:val="00C35E22"/>
    <w:rsid w:val="00C35FC0"/>
    <w:rsid w:val="00C366A2"/>
    <w:rsid w:val="00C42C39"/>
    <w:rsid w:val="00C439FC"/>
    <w:rsid w:val="00C5142F"/>
    <w:rsid w:val="00C52C9A"/>
    <w:rsid w:val="00C53574"/>
    <w:rsid w:val="00C53FDE"/>
    <w:rsid w:val="00C54657"/>
    <w:rsid w:val="00C54EF1"/>
    <w:rsid w:val="00C54F6E"/>
    <w:rsid w:val="00C55A13"/>
    <w:rsid w:val="00C57778"/>
    <w:rsid w:val="00C60EDF"/>
    <w:rsid w:val="00C61166"/>
    <w:rsid w:val="00C612BE"/>
    <w:rsid w:val="00C61ECE"/>
    <w:rsid w:val="00C63E4E"/>
    <w:rsid w:val="00C657CC"/>
    <w:rsid w:val="00C671C2"/>
    <w:rsid w:val="00C70D97"/>
    <w:rsid w:val="00C70E49"/>
    <w:rsid w:val="00C7215E"/>
    <w:rsid w:val="00C72911"/>
    <w:rsid w:val="00C74F1E"/>
    <w:rsid w:val="00C74FEF"/>
    <w:rsid w:val="00C77814"/>
    <w:rsid w:val="00C77E44"/>
    <w:rsid w:val="00C809D5"/>
    <w:rsid w:val="00C83B56"/>
    <w:rsid w:val="00C8440F"/>
    <w:rsid w:val="00C84F9F"/>
    <w:rsid w:val="00C8542A"/>
    <w:rsid w:val="00C90847"/>
    <w:rsid w:val="00C9179B"/>
    <w:rsid w:val="00C930A0"/>
    <w:rsid w:val="00C941FD"/>
    <w:rsid w:val="00C94209"/>
    <w:rsid w:val="00C95770"/>
    <w:rsid w:val="00C96247"/>
    <w:rsid w:val="00C96898"/>
    <w:rsid w:val="00C97B2C"/>
    <w:rsid w:val="00CA0BCB"/>
    <w:rsid w:val="00CA2B88"/>
    <w:rsid w:val="00CA43C5"/>
    <w:rsid w:val="00CA4FCB"/>
    <w:rsid w:val="00CA5C47"/>
    <w:rsid w:val="00CA6297"/>
    <w:rsid w:val="00CA6CD0"/>
    <w:rsid w:val="00CB1AB1"/>
    <w:rsid w:val="00CB2036"/>
    <w:rsid w:val="00CB20EC"/>
    <w:rsid w:val="00CB23E5"/>
    <w:rsid w:val="00CB3247"/>
    <w:rsid w:val="00CB3D02"/>
    <w:rsid w:val="00CB5ED0"/>
    <w:rsid w:val="00CB63C0"/>
    <w:rsid w:val="00CC0077"/>
    <w:rsid w:val="00CC1753"/>
    <w:rsid w:val="00CC1D96"/>
    <w:rsid w:val="00CC6955"/>
    <w:rsid w:val="00CC780A"/>
    <w:rsid w:val="00CC7C2D"/>
    <w:rsid w:val="00CD0008"/>
    <w:rsid w:val="00CD0B0A"/>
    <w:rsid w:val="00CD1AB4"/>
    <w:rsid w:val="00CD28F6"/>
    <w:rsid w:val="00CD2E5D"/>
    <w:rsid w:val="00CD4362"/>
    <w:rsid w:val="00CD4529"/>
    <w:rsid w:val="00CD4709"/>
    <w:rsid w:val="00CD792C"/>
    <w:rsid w:val="00CD7A13"/>
    <w:rsid w:val="00CE11EB"/>
    <w:rsid w:val="00CE144F"/>
    <w:rsid w:val="00CE1E6D"/>
    <w:rsid w:val="00CE34A2"/>
    <w:rsid w:val="00CE50A7"/>
    <w:rsid w:val="00CE6ABD"/>
    <w:rsid w:val="00CE7CDA"/>
    <w:rsid w:val="00CF25E7"/>
    <w:rsid w:val="00CF39B7"/>
    <w:rsid w:val="00CF40BC"/>
    <w:rsid w:val="00CF5449"/>
    <w:rsid w:val="00CF57D7"/>
    <w:rsid w:val="00CF6594"/>
    <w:rsid w:val="00CF6B16"/>
    <w:rsid w:val="00CF7A9F"/>
    <w:rsid w:val="00CF7E5B"/>
    <w:rsid w:val="00D00438"/>
    <w:rsid w:val="00D0081D"/>
    <w:rsid w:val="00D0563C"/>
    <w:rsid w:val="00D05D3F"/>
    <w:rsid w:val="00D060DD"/>
    <w:rsid w:val="00D0622A"/>
    <w:rsid w:val="00D110D6"/>
    <w:rsid w:val="00D12BA4"/>
    <w:rsid w:val="00D131E3"/>
    <w:rsid w:val="00D159E9"/>
    <w:rsid w:val="00D160B2"/>
    <w:rsid w:val="00D2005E"/>
    <w:rsid w:val="00D204EA"/>
    <w:rsid w:val="00D20623"/>
    <w:rsid w:val="00D22BD5"/>
    <w:rsid w:val="00D24165"/>
    <w:rsid w:val="00D24EDB"/>
    <w:rsid w:val="00D257BE"/>
    <w:rsid w:val="00D25E9E"/>
    <w:rsid w:val="00D27710"/>
    <w:rsid w:val="00D306DF"/>
    <w:rsid w:val="00D314FF"/>
    <w:rsid w:val="00D3266F"/>
    <w:rsid w:val="00D32898"/>
    <w:rsid w:val="00D32B21"/>
    <w:rsid w:val="00D3357B"/>
    <w:rsid w:val="00D34CD9"/>
    <w:rsid w:val="00D35EAB"/>
    <w:rsid w:val="00D36BAB"/>
    <w:rsid w:val="00D45604"/>
    <w:rsid w:val="00D46F10"/>
    <w:rsid w:val="00D50350"/>
    <w:rsid w:val="00D5162C"/>
    <w:rsid w:val="00D52C65"/>
    <w:rsid w:val="00D53927"/>
    <w:rsid w:val="00D54237"/>
    <w:rsid w:val="00D5436E"/>
    <w:rsid w:val="00D55288"/>
    <w:rsid w:val="00D55330"/>
    <w:rsid w:val="00D55571"/>
    <w:rsid w:val="00D5607A"/>
    <w:rsid w:val="00D60274"/>
    <w:rsid w:val="00D63761"/>
    <w:rsid w:val="00D63E13"/>
    <w:rsid w:val="00D66099"/>
    <w:rsid w:val="00D67D7A"/>
    <w:rsid w:val="00D71ADD"/>
    <w:rsid w:val="00D71D9E"/>
    <w:rsid w:val="00D72F0E"/>
    <w:rsid w:val="00D73B7C"/>
    <w:rsid w:val="00D7420C"/>
    <w:rsid w:val="00D7475C"/>
    <w:rsid w:val="00D74C95"/>
    <w:rsid w:val="00D74FEC"/>
    <w:rsid w:val="00D7604E"/>
    <w:rsid w:val="00D8002E"/>
    <w:rsid w:val="00D807E1"/>
    <w:rsid w:val="00D812A3"/>
    <w:rsid w:val="00D83949"/>
    <w:rsid w:val="00D847E1"/>
    <w:rsid w:val="00D85DF9"/>
    <w:rsid w:val="00D86ADF"/>
    <w:rsid w:val="00D90CE3"/>
    <w:rsid w:val="00D9384F"/>
    <w:rsid w:val="00D94A6C"/>
    <w:rsid w:val="00DA07FE"/>
    <w:rsid w:val="00DA0BDE"/>
    <w:rsid w:val="00DA3043"/>
    <w:rsid w:val="00DA3848"/>
    <w:rsid w:val="00DA5BB8"/>
    <w:rsid w:val="00DA7103"/>
    <w:rsid w:val="00DA7298"/>
    <w:rsid w:val="00DA7441"/>
    <w:rsid w:val="00DB121E"/>
    <w:rsid w:val="00DB4534"/>
    <w:rsid w:val="00DB4B45"/>
    <w:rsid w:val="00DB7D4C"/>
    <w:rsid w:val="00DB7F76"/>
    <w:rsid w:val="00DC261A"/>
    <w:rsid w:val="00DC2E1C"/>
    <w:rsid w:val="00DC325A"/>
    <w:rsid w:val="00DC4A6F"/>
    <w:rsid w:val="00DC57A2"/>
    <w:rsid w:val="00DC6F9F"/>
    <w:rsid w:val="00DC782E"/>
    <w:rsid w:val="00DC7DA1"/>
    <w:rsid w:val="00DD05C3"/>
    <w:rsid w:val="00DD35D5"/>
    <w:rsid w:val="00DD388F"/>
    <w:rsid w:val="00DD3955"/>
    <w:rsid w:val="00DD6295"/>
    <w:rsid w:val="00DD7DB3"/>
    <w:rsid w:val="00DE0C1A"/>
    <w:rsid w:val="00DE6A00"/>
    <w:rsid w:val="00DE7681"/>
    <w:rsid w:val="00DF013E"/>
    <w:rsid w:val="00DF0DD6"/>
    <w:rsid w:val="00DF1022"/>
    <w:rsid w:val="00DF1354"/>
    <w:rsid w:val="00DF2FF7"/>
    <w:rsid w:val="00DF434E"/>
    <w:rsid w:val="00DF4F50"/>
    <w:rsid w:val="00DF6D4A"/>
    <w:rsid w:val="00DF6DB1"/>
    <w:rsid w:val="00E00C54"/>
    <w:rsid w:val="00E00F0E"/>
    <w:rsid w:val="00E02427"/>
    <w:rsid w:val="00E02510"/>
    <w:rsid w:val="00E0264A"/>
    <w:rsid w:val="00E03105"/>
    <w:rsid w:val="00E07C6E"/>
    <w:rsid w:val="00E112F1"/>
    <w:rsid w:val="00E11C3C"/>
    <w:rsid w:val="00E1298A"/>
    <w:rsid w:val="00E129AC"/>
    <w:rsid w:val="00E130CD"/>
    <w:rsid w:val="00E1749B"/>
    <w:rsid w:val="00E24D76"/>
    <w:rsid w:val="00E24FC6"/>
    <w:rsid w:val="00E26531"/>
    <w:rsid w:val="00E27E3E"/>
    <w:rsid w:val="00E335F3"/>
    <w:rsid w:val="00E33621"/>
    <w:rsid w:val="00E33668"/>
    <w:rsid w:val="00E3395F"/>
    <w:rsid w:val="00E351F1"/>
    <w:rsid w:val="00E352CC"/>
    <w:rsid w:val="00E405B8"/>
    <w:rsid w:val="00E412FD"/>
    <w:rsid w:val="00E415E5"/>
    <w:rsid w:val="00E4173F"/>
    <w:rsid w:val="00E4199D"/>
    <w:rsid w:val="00E44826"/>
    <w:rsid w:val="00E451C3"/>
    <w:rsid w:val="00E46BCE"/>
    <w:rsid w:val="00E50A85"/>
    <w:rsid w:val="00E51035"/>
    <w:rsid w:val="00E510C5"/>
    <w:rsid w:val="00E520A1"/>
    <w:rsid w:val="00E53F09"/>
    <w:rsid w:val="00E53F6A"/>
    <w:rsid w:val="00E55AF8"/>
    <w:rsid w:val="00E5673C"/>
    <w:rsid w:val="00E5758F"/>
    <w:rsid w:val="00E57A25"/>
    <w:rsid w:val="00E57A8B"/>
    <w:rsid w:val="00E60AD0"/>
    <w:rsid w:val="00E6177E"/>
    <w:rsid w:val="00E619FA"/>
    <w:rsid w:val="00E61DAB"/>
    <w:rsid w:val="00E62579"/>
    <w:rsid w:val="00E66BEB"/>
    <w:rsid w:val="00E70777"/>
    <w:rsid w:val="00E718E6"/>
    <w:rsid w:val="00E71A04"/>
    <w:rsid w:val="00E71F6C"/>
    <w:rsid w:val="00E722D0"/>
    <w:rsid w:val="00E723D8"/>
    <w:rsid w:val="00E72E67"/>
    <w:rsid w:val="00E730D5"/>
    <w:rsid w:val="00E7448B"/>
    <w:rsid w:val="00E74735"/>
    <w:rsid w:val="00E74E85"/>
    <w:rsid w:val="00E77F19"/>
    <w:rsid w:val="00E83D6D"/>
    <w:rsid w:val="00E84287"/>
    <w:rsid w:val="00E92FA5"/>
    <w:rsid w:val="00E93603"/>
    <w:rsid w:val="00E9415C"/>
    <w:rsid w:val="00E94240"/>
    <w:rsid w:val="00E943AB"/>
    <w:rsid w:val="00E956D7"/>
    <w:rsid w:val="00EA0F42"/>
    <w:rsid w:val="00EA299D"/>
    <w:rsid w:val="00EA6A12"/>
    <w:rsid w:val="00EA6FC1"/>
    <w:rsid w:val="00EB05EF"/>
    <w:rsid w:val="00EB12AB"/>
    <w:rsid w:val="00EB1588"/>
    <w:rsid w:val="00EB333B"/>
    <w:rsid w:val="00EB4339"/>
    <w:rsid w:val="00EB7448"/>
    <w:rsid w:val="00EC0EFC"/>
    <w:rsid w:val="00EC1427"/>
    <w:rsid w:val="00EC40CE"/>
    <w:rsid w:val="00EC4CDB"/>
    <w:rsid w:val="00EC5679"/>
    <w:rsid w:val="00ED23AF"/>
    <w:rsid w:val="00ED4597"/>
    <w:rsid w:val="00ED5249"/>
    <w:rsid w:val="00EE385C"/>
    <w:rsid w:val="00EE3A6E"/>
    <w:rsid w:val="00EE3AC2"/>
    <w:rsid w:val="00EF0697"/>
    <w:rsid w:val="00EF0C1A"/>
    <w:rsid w:val="00EF33E1"/>
    <w:rsid w:val="00EF5F94"/>
    <w:rsid w:val="00EF7848"/>
    <w:rsid w:val="00EF7C6E"/>
    <w:rsid w:val="00F01AF3"/>
    <w:rsid w:val="00F03051"/>
    <w:rsid w:val="00F04273"/>
    <w:rsid w:val="00F10F04"/>
    <w:rsid w:val="00F116AB"/>
    <w:rsid w:val="00F121E3"/>
    <w:rsid w:val="00F15010"/>
    <w:rsid w:val="00F16866"/>
    <w:rsid w:val="00F176CB"/>
    <w:rsid w:val="00F17EDA"/>
    <w:rsid w:val="00F17F0C"/>
    <w:rsid w:val="00F2038B"/>
    <w:rsid w:val="00F20A0F"/>
    <w:rsid w:val="00F23D92"/>
    <w:rsid w:val="00F24200"/>
    <w:rsid w:val="00F24A7D"/>
    <w:rsid w:val="00F24B0B"/>
    <w:rsid w:val="00F2541D"/>
    <w:rsid w:val="00F25647"/>
    <w:rsid w:val="00F30D16"/>
    <w:rsid w:val="00F3226A"/>
    <w:rsid w:val="00F32B7F"/>
    <w:rsid w:val="00F3423C"/>
    <w:rsid w:val="00F34E9C"/>
    <w:rsid w:val="00F35117"/>
    <w:rsid w:val="00F362A8"/>
    <w:rsid w:val="00F404D6"/>
    <w:rsid w:val="00F41450"/>
    <w:rsid w:val="00F420A7"/>
    <w:rsid w:val="00F42BAF"/>
    <w:rsid w:val="00F43046"/>
    <w:rsid w:val="00F43DE4"/>
    <w:rsid w:val="00F44828"/>
    <w:rsid w:val="00F46334"/>
    <w:rsid w:val="00F50A14"/>
    <w:rsid w:val="00F50F56"/>
    <w:rsid w:val="00F5389B"/>
    <w:rsid w:val="00F54E51"/>
    <w:rsid w:val="00F55839"/>
    <w:rsid w:val="00F60002"/>
    <w:rsid w:val="00F62D4F"/>
    <w:rsid w:val="00F63270"/>
    <w:rsid w:val="00F63DBD"/>
    <w:rsid w:val="00F6445B"/>
    <w:rsid w:val="00F647CD"/>
    <w:rsid w:val="00F671EF"/>
    <w:rsid w:val="00F71D24"/>
    <w:rsid w:val="00F74769"/>
    <w:rsid w:val="00F77359"/>
    <w:rsid w:val="00F81DD1"/>
    <w:rsid w:val="00F82716"/>
    <w:rsid w:val="00F8574A"/>
    <w:rsid w:val="00F873DE"/>
    <w:rsid w:val="00F91EB2"/>
    <w:rsid w:val="00F92280"/>
    <w:rsid w:val="00F970D4"/>
    <w:rsid w:val="00FA0A03"/>
    <w:rsid w:val="00FA11C9"/>
    <w:rsid w:val="00FA12AC"/>
    <w:rsid w:val="00FA4605"/>
    <w:rsid w:val="00FA7023"/>
    <w:rsid w:val="00FB048A"/>
    <w:rsid w:val="00FB0D9E"/>
    <w:rsid w:val="00FB20DB"/>
    <w:rsid w:val="00FB2E47"/>
    <w:rsid w:val="00FB7B64"/>
    <w:rsid w:val="00FC011E"/>
    <w:rsid w:val="00FC01D5"/>
    <w:rsid w:val="00FC02FE"/>
    <w:rsid w:val="00FC1739"/>
    <w:rsid w:val="00FC6150"/>
    <w:rsid w:val="00FC6CE4"/>
    <w:rsid w:val="00FC7F9E"/>
    <w:rsid w:val="00FD1A4F"/>
    <w:rsid w:val="00FD3F09"/>
    <w:rsid w:val="00FD53A8"/>
    <w:rsid w:val="00FD540E"/>
    <w:rsid w:val="00FD5D85"/>
    <w:rsid w:val="00FD710B"/>
    <w:rsid w:val="00FE25AA"/>
    <w:rsid w:val="00FE37C7"/>
    <w:rsid w:val="00FE5B3E"/>
    <w:rsid w:val="00FE5E5A"/>
    <w:rsid w:val="00FE7178"/>
    <w:rsid w:val="00FF1477"/>
    <w:rsid w:val="00FF2104"/>
    <w:rsid w:val="00FF4D42"/>
    <w:rsid w:val="00FF5468"/>
    <w:rsid w:val="00FF7186"/>
    <w:rsid w:val="00FF725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159DA"/>
    <w:pPr>
      <w:spacing w:after="0" w:line="240" w:lineRule="auto"/>
    </w:pPr>
    <w:rPr>
      <w:rFonts w:ascii="Times New Roman" w:eastAsia="Times New Roman" w:hAnsi="Times New Roman" w:cs="Times New Roman"/>
      <w:sz w:val="24"/>
      <w:szCs w:val="24"/>
      <w:lang w:val="hy-AM" w:eastAsia="en-GB"/>
    </w:rPr>
  </w:style>
  <w:style w:type="paragraph" w:styleId="Heading1">
    <w:name w:val="heading 1"/>
    <w:basedOn w:val="Normal"/>
    <w:next w:val="Normal"/>
    <w:link w:val="Heading1Char"/>
    <w:rsid w:val="002159DA"/>
    <w:pPr>
      <w:outlineLvl w:val="0"/>
    </w:pPr>
    <w:rPr>
      <w:b/>
      <w:sz w:val="48"/>
      <w:szCs w:val="48"/>
    </w:rPr>
  </w:style>
  <w:style w:type="paragraph" w:styleId="Heading2">
    <w:name w:val="heading 2"/>
    <w:basedOn w:val="Normal"/>
    <w:next w:val="Normal"/>
    <w:link w:val="Heading2Char"/>
    <w:rsid w:val="002159DA"/>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link w:val="Heading3Char"/>
    <w:rsid w:val="002159DA"/>
    <w:pPr>
      <w:keepNext/>
      <w:keepLines/>
      <w:spacing w:before="40"/>
      <w:outlineLvl w:val="2"/>
    </w:pPr>
    <w:rPr>
      <w:rFonts w:ascii="Calibri" w:eastAsia="Calibri" w:hAnsi="Calibri" w:cs="Calibri"/>
      <w:color w:val="1F3863"/>
    </w:rPr>
  </w:style>
  <w:style w:type="paragraph" w:styleId="Heading4">
    <w:name w:val="heading 4"/>
    <w:basedOn w:val="Normal"/>
    <w:next w:val="Normal"/>
    <w:link w:val="Heading4Char"/>
    <w:rsid w:val="002159DA"/>
    <w:pPr>
      <w:keepNext/>
      <w:keepLines/>
      <w:spacing w:before="240" w:after="40"/>
      <w:outlineLvl w:val="3"/>
    </w:pPr>
    <w:rPr>
      <w:b/>
    </w:rPr>
  </w:style>
  <w:style w:type="paragraph" w:styleId="Heading5">
    <w:name w:val="heading 5"/>
    <w:basedOn w:val="Normal"/>
    <w:next w:val="Normal"/>
    <w:link w:val="Heading5Char"/>
    <w:rsid w:val="002159DA"/>
    <w:pPr>
      <w:keepNext/>
      <w:keepLines/>
      <w:spacing w:before="220" w:after="40"/>
      <w:outlineLvl w:val="4"/>
    </w:pPr>
    <w:rPr>
      <w:b/>
      <w:sz w:val="22"/>
      <w:szCs w:val="22"/>
    </w:rPr>
  </w:style>
  <w:style w:type="paragraph" w:styleId="Heading6">
    <w:name w:val="heading 6"/>
    <w:basedOn w:val="Normal"/>
    <w:next w:val="Normal"/>
    <w:link w:val="Heading6Char"/>
    <w:rsid w:val="002159DA"/>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159DA"/>
    <w:rPr>
      <w:rFonts w:ascii="Times New Roman" w:eastAsia="Times New Roman" w:hAnsi="Times New Roman" w:cs="Times New Roman"/>
      <w:b/>
      <w:sz w:val="48"/>
      <w:szCs w:val="48"/>
      <w:lang w:val="hy-AM" w:eastAsia="en-GB"/>
    </w:rPr>
  </w:style>
  <w:style w:type="character" w:customStyle="1" w:styleId="Heading2Char">
    <w:name w:val="Heading 2 Char"/>
    <w:basedOn w:val="DefaultParagraphFont"/>
    <w:link w:val="Heading2"/>
    <w:rsid w:val="002159DA"/>
    <w:rPr>
      <w:rFonts w:ascii="Calibri" w:eastAsia="Calibri" w:hAnsi="Calibri" w:cs="Calibri"/>
      <w:color w:val="2F5496"/>
      <w:sz w:val="26"/>
      <w:szCs w:val="26"/>
      <w:lang w:val="hy-AM" w:eastAsia="en-GB"/>
    </w:rPr>
  </w:style>
  <w:style w:type="character" w:customStyle="1" w:styleId="Heading3Char">
    <w:name w:val="Heading 3 Char"/>
    <w:basedOn w:val="DefaultParagraphFont"/>
    <w:link w:val="Heading3"/>
    <w:rsid w:val="002159DA"/>
    <w:rPr>
      <w:rFonts w:ascii="Calibri" w:eastAsia="Calibri" w:hAnsi="Calibri" w:cs="Calibri"/>
      <w:color w:val="1F3863"/>
      <w:sz w:val="24"/>
      <w:szCs w:val="24"/>
      <w:lang w:val="hy-AM" w:eastAsia="en-GB"/>
    </w:rPr>
  </w:style>
  <w:style w:type="character" w:customStyle="1" w:styleId="Heading4Char">
    <w:name w:val="Heading 4 Char"/>
    <w:basedOn w:val="DefaultParagraphFont"/>
    <w:link w:val="Heading4"/>
    <w:rsid w:val="002159DA"/>
    <w:rPr>
      <w:rFonts w:ascii="Times New Roman" w:eastAsia="Times New Roman" w:hAnsi="Times New Roman" w:cs="Times New Roman"/>
      <w:b/>
      <w:sz w:val="24"/>
      <w:szCs w:val="24"/>
      <w:lang w:val="hy-AM" w:eastAsia="en-GB"/>
    </w:rPr>
  </w:style>
  <w:style w:type="character" w:customStyle="1" w:styleId="Heading5Char">
    <w:name w:val="Heading 5 Char"/>
    <w:basedOn w:val="DefaultParagraphFont"/>
    <w:link w:val="Heading5"/>
    <w:rsid w:val="002159DA"/>
    <w:rPr>
      <w:rFonts w:ascii="Times New Roman" w:eastAsia="Times New Roman" w:hAnsi="Times New Roman" w:cs="Times New Roman"/>
      <w:b/>
      <w:lang w:val="hy-AM" w:eastAsia="en-GB"/>
    </w:rPr>
  </w:style>
  <w:style w:type="character" w:customStyle="1" w:styleId="Heading6Char">
    <w:name w:val="Heading 6 Char"/>
    <w:basedOn w:val="DefaultParagraphFont"/>
    <w:link w:val="Heading6"/>
    <w:rsid w:val="002159DA"/>
    <w:rPr>
      <w:rFonts w:ascii="Times New Roman" w:eastAsia="Times New Roman" w:hAnsi="Times New Roman" w:cs="Times New Roman"/>
      <w:b/>
      <w:sz w:val="20"/>
      <w:szCs w:val="20"/>
      <w:lang w:val="hy-AM" w:eastAsia="en-GB"/>
    </w:rPr>
  </w:style>
  <w:style w:type="paragraph" w:styleId="Title">
    <w:name w:val="Title"/>
    <w:basedOn w:val="Normal"/>
    <w:next w:val="Normal"/>
    <w:link w:val="TitleChar"/>
    <w:rsid w:val="002159DA"/>
    <w:pPr>
      <w:keepNext/>
      <w:keepLines/>
      <w:spacing w:before="480" w:after="120"/>
    </w:pPr>
    <w:rPr>
      <w:b/>
      <w:sz w:val="72"/>
      <w:szCs w:val="72"/>
    </w:rPr>
  </w:style>
  <w:style w:type="character" w:customStyle="1" w:styleId="TitleChar">
    <w:name w:val="Title Char"/>
    <w:basedOn w:val="DefaultParagraphFont"/>
    <w:link w:val="Title"/>
    <w:rsid w:val="002159DA"/>
    <w:rPr>
      <w:rFonts w:ascii="Times New Roman" w:eastAsia="Times New Roman" w:hAnsi="Times New Roman" w:cs="Times New Roman"/>
      <w:b/>
      <w:sz w:val="72"/>
      <w:szCs w:val="72"/>
      <w:lang w:val="hy-AM" w:eastAsia="en-GB"/>
    </w:rPr>
  </w:style>
  <w:style w:type="paragraph" w:styleId="Subtitle">
    <w:name w:val="Subtitle"/>
    <w:basedOn w:val="Normal"/>
    <w:next w:val="Normal"/>
    <w:link w:val="SubtitleChar"/>
    <w:rsid w:val="002159DA"/>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2159DA"/>
    <w:rPr>
      <w:rFonts w:ascii="Georgia" w:eastAsia="Georgia" w:hAnsi="Georgia" w:cs="Georgia"/>
      <w:i/>
      <w:color w:val="666666"/>
      <w:sz w:val="48"/>
      <w:szCs w:val="48"/>
      <w:lang w:val="hy-AM" w:eastAsia="en-GB"/>
    </w:rPr>
  </w:style>
  <w:style w:type="paragraph" w:styleId="CommentText">
    <w:name w:val="annotation text"/>
    <w:basedOn w:val="Normal"/>
    <w:link w:val="CommentTextChar"/>
    <w:uiPriority w:val="99"/>
    <w:semiHidden/>
    <w:unhideWhenUsed/>
    <w:rsid w:val="002159DA"/>
    <w:rPr>
      <w:sz w:val="20"/>
      <w:szCs w:val="20"/>
    </w:rPr>
  </w:style>
  <w:style w:type="character" w:customStyle="1" w:styleId="CommentTextChar">
    <w:name w:val="Comment Text Char"/>
    <w:basedOn w:val="DefaultParagraphFont"/>
    <w:link w:val="CommentText"/>
    <w:uiPriority w:val="99"/>
    <w:semiHidden/>
    <w:rsid w:val="002159DA"/>
    <w:rPr>
      <w:rFonts w:ascii="Times New Roman" w:eastAsia="Times New Roman" w:hAnsi="Times New Roman" w:cs="Times New Roman"/>
      <w:sz w:val="20"/>
      <w:szCs w:val="20"/>
      <w:lang w:val="hy-AM" w:eastAsia="en-GB"/>
    </w:rPr>
  </w:style>
  <w:style w:type="character" w:styleId="CommentReference">
    <w:name w:val="annotation reference"/>
    <w:basedOn w:val="DefaultParagraphFont"/>
    <w:uiPriority w:val="99"/>
    <w:semiHidden/>
    <w:unhideWhenUsed/>
    <w:rsid w:val="002159DA"/>
    <w:rPr>
      <w:sz w:val="16"/>
      <w:szCs w:val="16"/>
    </w:rPr>
  </w:style>
  <w:style w:type="paragraph" w:styleId="BalloonText">
    <w:name w:val="Balloon Text"/>
    <w:basedOn w:val="Normal"/>
    <w:link w:val="BalloonTextChar"/>
    <w:uiPriority w:val="99"/>
    <w:semiHidden/>
    <w:unhideWhenUsed/>
    <w:rsid w:val="002159DA"/>
    <w:rPr>
      <w:rFonts w:ascii="Tahoma" w:hAnsi="Tahoma" w:cs="Tahoma"/>
      <w:sz w:val="16"/>
      <w:szCs w:val="16"/>
    </w:rPr>
  </w:style>
  <w:style w:type="character" w:customStyle="1" w:styleId="BalloonTextChar">
    <w:name w:val="Balloon Text Char"/>
    <w:basedOn w:val="DefaultParagraphFont"/>
    <w:link w:val="BalloonText"/>
    <w:uiPriority w:val="99"/>
    <w:semiHidden/>
    <w:rsid w:val="002159DA"/>
    <w:rPr>
      <w:rFonts w:ascii="Tahoma" w:eastAsia="Times New Roman" w:hAnsi="Tahoma" w:cs="Tahoma"/>
      <w:sz w:val="16"/>
      <w:szCs w:val="16"/>
      <w:lang w:val="hy-AM" w:eastAsia="en-GB"/>
    </w:rPr>
  </w:style>
  <w:style w:type="paragraph" w:styleId="CommentSubject">
    <w:name w:val="annotation subject"/>
    <w:basedOn w:val="CommentText"/>
    <w:next w:val="CommentText"/>
    <w:link w:val="CommentSubjectChar"/>
    <w:uiPriority w:val="99"/>
    <w:semiHidden/>
    <w:unhideWhenUsed/>
    <w:rsid w:val="002159DA"/>
    <w:rPr>
      <w:b/>
      <w:bCs/>
    </w:rPr>
  </w:style>
  <w:style w:type="character" w:customStyle="1" w:styleId="CommentSubjectChar">
    <w:name w:val="Comment Subject Char"/>
    <w:basedOn w:val="CommentTextChar"/>
    <w:link w:val="CommentSubject"/>
    <w:uiPriority w:val="99"/>
    <w:semiHidden/>
    <w:rsid w:val="002159DA"/>
    <w:rPr>
      <w:rFonts w:ascii="Times New Roman" w:eastAsia="Times New Roman" w:hAnsi="Times New Roman" w:cs="Times New Roman"/>
      <w:b/>
      <w:bCs/>
      <w:sz w:val="20"/>
      <w:szCs w:val="20"/>
      <w:lang w:val="hy-AM" w:eastAsia="en-GB"/>
    </w:rPr>
  </w:style>
  <w:style w:type="paragraph" w:styleId="Revision">
    <w:name w:val="Revision"/>
    <w:hidden/>
    <w:uiPriority w:val="99"/>
    <w:semiHidden/>
    <w:rsid w:val="002159DA"/>
    <w:pPr>
      <w:spacing w:after="0" w:line="240" w:lineRule="auto"/>
    </w:pPr>
    <w:rPr>
      <w:rFonts w:ascii="Times New Roman" w:eastAsia="Times New Roman" w:hAnsi="Times New Roman" w:cs="Times New Roman"/>
      <w:sz w:val="24"/>
      <w:szCs w:val="24"/>
      <w:lang w:val="hy-AM" w:eastAsia="en-GB"/>
    </w:rPr>
  </w:style>
  <w:style w:type="paragraph" w:styleId="ListParagraph">
    <w:name w:val="List Paragraph"/>
    <w:basedOn w:val="Normal"/>
    <w:uiPriority w:val="34"/>
    <w:qFormat/>
    <w:rsid w:val="002159DA"/>
    <w:pPr>
      <w:ind w:left="720"/>
      <w:contextualSpacing/>
    </w:pPr>
  </w:style>
  <w:style w:type="character" w:styleId="FootnoteReference">
    <w:name w:val="footnote reference"/>
    <w:basedOn w:val="DefaultParagraphFont"/>
    <w:uiPriority w:val="99"/>
    <w:semiHidden/>
    <w:unhideWhenUsed/>
    <w:rsid w:val="002159DA"/>
    <w:rPr>
      <w:vertAlign w:val="superscript"/>
    </w:rPr>
  </w:style>
  <w:style w:type="character" w:styleId="Hyperlink">
    <w:name w:val="Hyperlink"/>
    <w:basedOn w:val="DefaultParagraphFont"/>
    <w:uiPriority w:val="99"/>
    <w:unhideWhenUsed/>
    <w:rsid w:val="002159DA"/>
    <w:rPr>
      <w:color w:val="0000FF"/>
      <w:u w:val="single"/>
    </w:rPr>
  </w:style>
  <w:style w:type="paragraph" w:styleId="FootnoteText">
    <w:name w:val="footnote text"/>
    <w:basedOn w:val="Normal"/>
    <w:link w:val="FootnoteTextChar"/>
    <w:uiPriority w:val="99"/>
    <w:semiHidden/>
    <w:unhideWhenUsed/>
    <w:rsid w:val="002159DA"/>
    <w:rPr>
      <w:sz w:val="20"/>
      <w:szCs w:val="25"/>
      <w:lang w:val="en-US" w:eastAsia="en-US" w:bidi="bn-IN"/>
    </w:rPr>
  </w:style>
  <w:style w:type="character" w:customStyle="1" w:styleId="FootnoteTextChar">
    <w:name w:val="Footnote Text Char"/>
    <w:basedOn w:val="DefaultParagraphFont"/>
    <w:link w:val="FootnoteText"/>
    <w:uiPriority w:val="99"/>
    <w:semiHidden/>
    <w:rsid w:val="002159DA"/>
    <w:rPr>
      <w:rFonts w:ascii="Times New Roman" w:eastAsia="Times New Roman" w:hAnsi="Times New Roman" w:cs="Times New Roman"/>
      <w:sz w:val="20"/>
      <w:szCs w:val="25"/>
      <w:lang w:bidi="bn-IN"/>
    </w:rPr>
  </w:style>
  <w:style w:type="character" w:styleId="FollowedHyperlink">
    <w:name w:val="FollowedHyperlink"/>
    <w:basedOn w:val="DefaultParagraphFont"/>
    <w:uiPriority w:val="99"/>
    <w:semiHidden/>
    <w:unhideWhenUsed/>
    <w:rsid w:val="002159DA"/>
    <w:rPr>
      <w:color w:val="954F72" w:themeColor="followedHyperlink"/>
      <w:u w:val="single"/>
    </w:rPr>
  </w:style>
  <w:style w:type="paragraph" w:styleId="Header">
    <w:name w:val="header"/>
    <w:basedOn w:val="Normal"/>
    <w:link w:val="HeaderChar"/>
    <w:uiPriority w:val="99"/>
    <w:unhideWhenUsed/>
    <w:rsid w:val="002159DA"/>
    <w:pPr>
      <w:tabs>
        <w:tab w:val="center" w:pos="4680"/>
        <w:tab w:val="right" w:pos="9360"/>
      </w:tabs>
    </w:pPr>
  </w:style>
  <w:style w:type="character" w:customStyle="1" w:styleId="HeaderChar">
    <w:name w:val="Header Char"/>
    <w:basedOn w:val="DefaultParagraphFont"/>
    <w:link w:val="Header"/>
    <w:uiPriority w:val="99"/>
    <w:rsid w:val="002159DA"/>
    <w:rPr>
      <w:rFonts w:ascii="Times New Roman" w:eastAsia="Times New Roman" w:hAnsi="Times New Roman" w:cs="Times New Roman"/>
      <w:sz w:val="24"/>
      <w:szCs w:val="24"/>
      <w:lang w:val="hy-AM" w:eastAsia="en-GB"/>
    </w:rPr>
  </w:style>
  <w:style w:type="paragraph" w:styleId="Footer">
    <w:name w:val="footer"/>
    <w:basedOn w:val="Normal"/>
    <w:link w:val="FooterChar"/>
    <w:uiPriority w:val="99"/>
    <w:unhideWhenUsed/>
    <w:rsid w:val="002159DA"/>
    <w:pPr>
      <w:tabs>
        <w:tab w:val="center" w:pos="4680"/>
        <w:tab w:val="right" w:pos="9360"/>
      </w:tabs>
    </w:pPr>
  </w:style>
  <w:style w:type="character" w:customStyle="1" w:styleId="FooterChar">
    <w:name w:val="Footer Char"/>
    <w:basedOn w:val="DefaultParagraphFont"/>
    <w:link w:val="Footer"/>
    <w:uiPriority w:val="99"/>
    <w:rsid w:val="002159DA"/>
    <w:rPr>
      <w:rFonts w:ascii="Times New Roman" w:eastAsia="Times New Roman" w:hAnsi="Times New Roman" w:cs="Times New Roman"/>
      <w:sz w:val="24"/>
      <w:szCs w:val="24"/>
      <w:lang w:val="hy-AM" w:eastAsia="en-GB"/>
    </w:rPr>
  </w:style>
  <w:style w:type="paragraph" w:customStyle="1" w:styleId="Normal1">
    <w:name w:val="Normal1"/>
    <w:rsid w:val="002159DA"/>
    <w:pPr>
      <w:spacing w:after="0" w:line="240" w:lineRule="auto"/>
      <w:ind w:hanging="1"/>
    </w:pPr>
    <w:rPr>
      <w:rFonts w:ascii="Times New Roman" w:eastAsia="Times New Roman" w:hAnsi="Times New Roman" w:cs="Times New Roman"/>
      <w:sz w:val="24"/>
      <w:szCs w:val="24"/>
      <w:lang w:val="hy-AM"/>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profiwins.com.ua/ru/legislation/laws/14690.html" TargetMode="External"/><Relationship Id="rId3" Type="http://schemas.openxmlformats.org/officeDocument/2006/relationships/hyperlink" Target="https://uncitral.un.org/sites/uncitral.un.org/files/media-documents/uncitral/en/19-04970_ebook.pdf" TargetMode="External"/><Relationship Id="rId7" Type="http://schemas.openxmlformats.org/officeDocument/2006/relationships/hyperlink" Target="https://www.lowenstein.com/media/3117/1-electronic-signatures-agreements-and-documents_-the-recipe-for-enforceability-an.pdf" TargetMode="External"/><Relationship Id="rId12" Type="http://schemas.openxmlformats.org/officeDocument/2006/relationships/hyperlink" Target="https://uk.practicallaw.thomsonreuters.com/Browse/Home/PracticalLaw?transitionType=Default&amp;contextData=(sc.Default)" TargetMode="External"/><Relationship Id="rId2" Type="http://schemas.openxmlformats.org/officeDocument/2006/relationships/hyperlink" Target="https://www.uncitral.org/pdf/english/texts/electcom/06-57452_Ebook.pdf" TargetMode="External"/><Relationship Id="rId1" Type="http://schemas.openxmlformats.org/officeDocument/2006/relationships/hyperlink" Target="https://uncitral.un.org/en/texts/ecommerce/modellaw/electronic_commerce" TargetMode="External"/><Relationship Id="rId6" Type="http://schemas.openxmlformats.org/officeDocument/2006/relationships/hyperlink" Target="http://euro.ecom.cmu.edu/program/law/08-732/Transactions/ueta.pdf" TargetMode="External"/><Relationship Id="rId11" Type="http://schemas.openxmlformats.org/officeDocument/2006/relationships/hyperlink" Target="https://www.wipo.int/edocs/lexdocs/laws/en/ge/ge012en.pdf" TargetMode="External"/><Relationship Id="rId5" Type="http://schemas.openxmlformats.org/officeDocument/2006/relationships/hyperlink" Target="https://eur-lex.europa.eu/legal-content/EN/ALL/?uri=CELEX%3A32000L0031" TargetMode="External"/><Relationship Id="rId10" Type="http://schemas.openxmlformats.org/officeDocument/2006/relationships/hyperlink" Target="https://eur-lex.europa.eu/legal-content/EN/TXT/?uri=celex%3A31993L0013" TargetMode="External"/><Relationship Id="rId4" Type="http://schemas.openxmlformats.org/officeDocument/2006/relationships/hyperlink" Target="https://eur-lex.europa.eu/legal-content/EN/ALL/?uri=CELEX%3A31999L0093" TargetMode="External"/><Relationship Id="rId9" Type="http://schemas.openxmlformats.org/officeDocument/2006/relationships/hyperlink" Target="https://bires.com.ua/sydebnue-resheniya-v-electronnoi-comerci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28</Pages>
  <Words>6401</Words>
  <Characters>36492</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Arusyak Balayan</dc:creator>
  <cp:keywords>https://mul2.gov.am/tasks/728073/oneclick/02.himnavorum.docx?token=15995ad3bbd87342d24bac2f256fd15f</cp:keywords>
  <dc:description/>
  <cp:lastModifiedBy>Davit Gharibyan</cp:lastModifiedBy>
  <cp:revision>20</cp:revision>
  <dcterms:created xsi:type="dcterms:W3CDTF">2022-11-24T14:37:00Z</dcterms:created>
  <dcterms:modified xsi:type="dcterms:W3CDTF">2023-01-03T12:50:00Z</dcterms:modified>
</cp:coreProperties>
</file>