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F37E" w14:textId="7EAE633B" w:rsidR="002C22FD" w:rsidRPr="00EB6D58" w:rsidRDefault="00EB6D58" w:rsidP="002C22FD">
      <w:pPr>
        <w:spacing w:before="40"/>
        <w:ind w:right="-9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ԱՄՓՈՓԱԹԵՐԹ</w:t>
      </w:r>
    </w:p>
    <w:p w14:paraId="727B041C" w14:textId="6163ABEB" w:rsidR="002C22FD" w:rsidRPr="00ED40D9" w:rsidRDefault="007F4C23" w:rsidP="00ED40D9">
      <w:pPr>
        <w:pStyle w:val="mechtex"/>
        <w:spacing w:line="360" w:lineRule="auto"/>
        <w:rPr>
          <w:rFonts w:ascii="GHEA Grapalat" w:hAnsi="GHEA Grapalat" w:cs="Sylfaen"/>
          <w:caps/>
          <w:spacing w:val="-6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955E7C">
        <w:rPr>
          <w:rFonts w:ascii="GHEA Grapalat" w:hAnsi="GHEA Grapalat" w:cs="Sylfaen"/>
          <w:lang w:val="hy-AM"/>
        </w:rPr>
        <w:t xml:space="preserve">ՄԻ ՇԱՐՔ </w:t>
      </w:r>
      <w:r w:rsidRPr="007F4C23">
        <w:rPr>
          <w:rFonts w:ascii="GHEA Grapalat" w:hAnsi="GHEA Grapalat" w:cs="Sylfaen"/>
          <w:lang w:val="hy-AM"/>
        </w:rPr>
        <w:t>ԳՆՄԱՆ ՊԱՅՄԱՆԱԳՐԵՐՈՒՄ ՓՈՓՈԽՈՒԹՅՈՒՆՆԵՐ ԿԱՏԱՐԵԼՈՒ ԹՈՒՅԼՏՎՈՒԹՅՈՒՆ ՏԱԼՈՒ ՄԱՍԻՆ</w:t>
      </w:r>
      <w:r w:rsidR="002C22FD" w:rsidRPr="00D71C7C">
        <w:rPr>
          <w:rFonts w:ascii="GHEA Grapalat" w:hAnsi="GHEA Grapalat" w:cs="Sylfaen"/>
          <w:lang w:val="hy-AM"/>
        </w:rPr>
        <w:t xml:space="preserve"> ՀԱՅԱՍՏԱՆԻ ՀԱՆՐԱՊԵՏՈՒԹՅԱՆ ԿԱՌԱՎԱՐՈՒԹՅԱՆ ՈՐՈՇՄԱՆ ՆԱԽԱԳԾԻ </w:t>
      </w:r>
      <w:r w:rsidR="002C22FD" w:rsidRPr="007601E2">
        <w:rPr>
          <w:rFonts w:ascii="GHEA Grapalat" w:hAnsi="GHEA Grapalat" w:cs="Sylfaen"/>
          <w:caps/>
          <w:lang w:val="hy-AM"/>
        </w:rPr>
        <w:t>վերաբերյալ</w:t>
      </w:r>
      <w:r w:rsidR="002C22FD" w:rsidRPr="00D71C7C">
        <w:rPr>
          <w:rFonts w:ascii="GHEA Grapalat" w:hAnsi="GHEA Grapalat" w:cs="Sylfaen"/>
          <w:lang w:val="af-ZA"/>
        </w:rPr>
        <w:t xml:space="preserve"> </w:t>
      </w:r>
      <w:r w:rsidR="002C22FD" w:rsidRPr="007601E2">
        <w:rPr>
          <w:rFonts w:ascii="GHEA Grapalat" w:hAnsi="GHEA Grapalat" w:cs="Sylfaen"/>
          <w:caps/>
          <w:lang w:val="hy-AM"/>
        </w:rPr>
        <w:t>շահագրգիռ մարմինների առարկությունների ԵՎ  առաջարկությունների վերաբերյալ</w:t>
      </w:r>
    </w:p>
    <w:p w14:paraId="42687FB9" w14:textId="2E91CF4B" w:rsidR="002C22FD" w:rsidRPr="00E94E3A" w:rsidRDefault="002C22FD" w:rsidP="003D359B">
      <w:pPr>
        <w:spacing w:line="360" w:lineRule="auto"/>
        <w:ind w:left="-426" w:right="-455"/>
        <w:jc w:val="center"/>
        <w:rPr>
          <w:rFonts w:ascii="GHEA Grapalat" w:hAnsi="GHEA Grapalat" w:cs="Sylfaen"/>
          <w:lang w:val="hy-AM"/>
        </w:rPr>
      </w:pPr>
    </w:p>
    <w:tbl>
      <w:tblPr>
        <w:tblW w:w="154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  <w:gridCol w:w="1970"/>
        <w:gridCol w:w="2970"/>
      </w:tblGrid>
      <w:tr w:rsidR="00E9699E" w:rsidRPr="008060CA" w14:paraId="4E38A01F" w14:textId="77777777" w:rsidTr="005948DC">
        <w:trPr>
          <w:trHeight w:val="285"/>
        </w:trPr>
        <w:tc>
          <w:tcPr>
            <w:tcW w:w="12510" w:type="dxa"/>
            <w:gridSpan w:val="2"/>
            <w:vMerge w:val="restart"/>
            <w:shd w:val="clear" w:color="auto" w:fill="BFBFBF" w:themeFill="background1" w:themeFillShade="BF"/>
          </w:tcPr>
          <w:p w14:paraId="4BE0777D" w14:textId="53BA0B98" w:rsidR="00E9699E" w:rsidRDefault="009E60CF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E9699E" w:rsidRPr="008060CA">
              <w:rPr>
                <w:rFonts w:ascii="GHEA Grapalat" w:hAnsi="GHEA Grapalat"/>
                <w:lang w:val="hy-AM"/>
              </w:rPr>
              <w:t xml:space="preserve">. </w:t>
            </w:r>
            <w:r w:rsidR="00E9699E" w:rsidRPr="008060CA">
              <w:rPr>
                <w:rFonts w:ascii="GHEA Grapalat" w:hAnsi="GHEA Grapalat" w:cs="Sylfaen"/>
                <w:lang w:val="hy-AM"/>
              </w:rPr>
              <w:t xml:space="preserve"> </w:t>
            </w:r>
            <w:r w:rsidR="00A732CC" w:rsidRPr="00A732CC">
              <w:rPr>
                <w:rFonts w:ascii="GHEA Grapalat" w:hAnsi="GHEA Grapalat" w:cs="Sylfaen"/>
                <w:lang w:val="hy-AM"/>
              </w:rPr>
              <w:t xml:space="preserve">ՀՀ ֆինանսների նախարարություն </w:t>
            </w:r>
          </w:p>
          <w:p w14:paraId="10B8257D" w14:textId="3F4F1F06" w:rsidR="00A732CC" w:rsidRPr="008060CA" w:rsidRDefault="00A732CC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0382DBD8" w14:textId="3B3CAB81" w:rsidR="00E9699E" w:rsidRPr="008060CA" w:rsidRDefault="00ED40D9" w:rsidP="00FF26EC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ED40D9">
              <w:rPr>
                <w:rFonts w:ascii="GHEA Grapalat" w:hAnsi="GHEA Grapalat" w:cs="Sylfaen"/>
                <w:lang w:val="en-US"/>
              </w:rPr>
              <w:t>22</w:t>
            </w:r>
            <w:r w:rsidR="006E74EB" w:rsidRPr="00ED40D9">
              <w:rPr>
                <w:rFonts w:ascii="Cambria Math" w:hAnsi="Cambria Math" w:cs="Cambria Math"/>
                <w:lang w:val="en-US"/>
              </w:rPr>
              <w:t>․</w:t>
            </w:r>
            <w:r w:rsidR="006E74EB">
              <w:rPr>
                <w:rFonts w:ascii="GHEA Grapalat" w:hAnsi="GHEA Grapalat" w:cs="Sylfaen"/>
                <w:lang w:val="en-US"/>
              </w:rPr>
              <w:t>0</w:t>
            </w:r>
            <w:r w:rsidR="00FF26EC">
              <w:rPr>
                <w:rFonts w:ascii="GHEA Grapalat" w:hAnsi="GHEA Grapalat" w:cs="Sylfaen"/>
                <w:lang w:val="hy-AM"/>
              </w:rPr>
              <w:t>8</w:t>
            </w:r>
            <w:r w:rsidR="006E74EB" w:rsidRPr="00ED40D9">
              <w:rPr>
                <w:rFonts w:ascii="Cambria Math" w:hAnsi="Cambria Math" w:cs="Cambria Math"/>
                <w:lang w:val="en-US"/>
              </w:rPr>
              <w:t>․</w:t>
            </w:r>
            <w:r w:rsidR="00A732CC" w:rsidRPr="00A732CC">
              <w:rPr>
                <w:rFonts w:ascii="GHEA Grapalat" w:hAnsi="GHEA Grapalat" w:cs="Sylfaen"/>
                <w:lang w:val="en-US"/>
              </w:rPr>
              <w:t>202</w:t>
            </w:r>
            <w:r>
              <w:rPr>
                <w:rFonts w:ascii="GHEA Grapalat" w:hAnsi="GHEA Grapalat" w:cs="Sylfaen"/>
                <w:lang w:val="en-US"/>
              </w:rPr>
              <w:t>2</w:t>
            </w:r>
            <w:r w:rsidR="00A732CC" w:rsidRPr="00A732CC">
              <w:rPr>
                <w:rFonts w:ascii="GHEA Grapalat" w:hAnsi="GHEA Grapalat" w:cs="Sylfaen"/>
                <w:lang w:val="en-US"/>
              </w:rPr>
              <w:t>թ</w:t>
            </w:r>
            <w:r w:rsidR="00631FD1" w:rsidRPr="008060CA">
              <w:rPr>
                <w:rFonts w:ascii="GHEA Grapalat" w:hAnsi="GHEA Grapalat" w:cs="Sylfaen"/>
                <w:lang w:val="en-US"/>
              </w:rPr>
              <w:t>.</w:t>
            </w:r>
          </w:p>
        </w:tc>
      </w:tr>
      <w:tr w:rsidR="00E9699E" w:rsidRPr="008060CA" w14:paraId="7633FE3E" w14:textId="77777777" w:rsidTr="005948DC">
        <w:trPr>
          <w:trHeight w:val="285"/>
        </w:trPr>
        <w:tc>
          <w:tcPr>
            <w:tcW w:w="12510" w:type="dxa"/>
            <w:gridSpan w:val="2"/>
            <w:vMerge/>
            <w:shd w:val="clear" w:color="auto" w:fill="BFBFBF" w:themeFill="background1" w:themeFillShade="BF"/>
          </w:tcPr>
          <w:p w14:paraId="6D639702" w14:textId="77777777" w:rsidR="00E9699E" w:rsidRPr="008060CA" w:rsidRDefault="00E9699E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20A50816" w14:textId="4926F2DD" w:rsidR="00E9699E" w:rsidRPr="008060CA" w:rsidRDefault="001A4A40" w:rsidP="00860DA6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060CA">
              <w:rPr>
                <w:rFonts w:ascii="GHEA Grapalat" w:hAnsi="GHEA Grapalat" w:cs="Sylfaen"/>
                <w:lang w:val="en-US"/>
              </w:rPr>
              <w:t>N</w:t>
            </w:r>
            <w:r w:rsidR="00631FD1" w:rsidRPr="008060CA">
              <w:rPr>
                <w:rFonts w:ascii="GHEA Grapalat" w:hAnsi="GHEA Grapalat" w:cs="Sylfaen"/>
                <w:lang w:val="en-US"/>
              </w:rPr>
              <w:t xml:space="preserve"> </w:t>
            </w:r>
            <w:r w:rsidR="00FF26EC" w:rsidRPr="00FF26EC">
              <w:rPr>
                <w:rFonts w:ascii="GHEA Grapalat" w:hAnsi="GHEA Grapalat" w:cs="Sylfaen"/>
                <w:lang w:val="en-US"/>
              </w:rPr>
              <w:t>01/26/14794-2022</w:t>
            </w:r>
          </w:p>
        </w:tc>
      </w:tr>
      <w:tr w:rsidR="001118D2" w:rsidRPr="007279BE" w14:paraId="3EA2B118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2B98BFE6" w14:textId="60F312AF" w:rsidR="00FF26EC" w:rsidRPr="00FF26EC" w:rsidRDefault="005E21DE" w:rsidP="00B103B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1․</w:t>
            </w:r>
            <w:r w:rsidR="00FF26EC" w:rsidRPr="00FF26EC">
              <w:rPr>
                <w:rFonts w:ascii="GHEA Grapalat" w:hAnsi="GHEA Grapalat"/>
                <w:lang w:val="hy-AM"/>
              </w:rPr>
              <w:t xml:space="preserve">Հաշվի առնելով վերոգրյալը, ինչպես նաև կառուցման աշխատանքների նոր նախագծանախահաշվային փաստաթղթերի փորձագիտական դրական եզրակացության առկայությունը, այնուամենայնիվ նկատի ունենալով, որ ՀՀ կառավարության 19/03/2015թ. թիվ 596-Ն որոշման 1-ին կետի 4-րդ ենթակետով հաստատված  N 4 հավելվածի  N 3 ցանկի   համաձայն՝ հիվանդանոցները հանդիսանում են բարձր ռիսկայնության աստիճանի (IV) դասակարգում ունեցող կարևորագույն նշանակության (այդ թվում՝ սեյսմիկ պաշտպանության բնագավառի կարևոր նշանակության) օբյեկտ և վերջինիս նախագծային փաստաթղթերը ենթակա են պետական համալիր փորձաքննության, ուստի կարևորում ենք ՀՀ քաղաքաշինության կոմիտեի դիրքորոշումը՝ հիվանդանոցային մասնաշենքի կառուցման աշխատանքներն առանց պետական համալիր փորձաքննության իրականացման նպատակահարմարության վերաբերյալ: </w:t>
            </w:r>
          </w:p>
          <w:p w14:paraId="4B54F861" w14:textId="77777777" w:rsidR="005E21DE" w:rsidRDefault="00FF26EC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 xml:space="preserve">       </w:t>
            </w:r>
          </w:p>
          <w:p w14:paraId="1E069C6B" w14:textId="5032E3AB" w:rsidR="00FF26EC" w:rsidRPr="00FF26EC" w:rsidRDefault="00FF26EC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>Միաժամանակ՝</w:t>
            </w:r>
          </w:p>
          <w:p w14:paraId="12C0DBFC" w14:textId="24128732" w:rsidR="008D5479" w:rsidRDefault="005E21DE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2․</w:t>
            </w:r>
            <w:r w:rsidR="00FF26EC" w:rsidRPr="00FF26EC">
              <w:rPr>
                <w:rFonts w:ascii="GHEA Grapalat" w:hAnsi="GHEA Grapalat"/>
                <w:lang w:val="hy-AM"/>
              </w:rPr>
              <w:t xml:space="preserve">հայտնում ենք, որ ՀՀ կառավարության 04/05/2017թ. թիվ 526-Ն որոշմամբ հաստատված կարգի 33-րդ կետի 11-րդ և 14-րդ ենթակետերի համաձայն շինարարական աշխատանքների </w:t>
            </w:r>
            <w:r w:rsidR="00FF26EC" w:rsidRPr="00FF26EC">
              <w:rPr>
                <w:rFonts w:ascii="GHEA Grapalat" w:hAnsi="GHEA Grapalat"/>
                <w:lang w:val="hy-AM"/>
              </w:rPr>
              <w:lastRenderedPageBreak/>
              <w:t>կատարման ընթացքում նախագծային շեղումներ առաջանալու դեպքում նախագծողը և փորձաքննություն իրականացրած անձը պատվիրատուին վճարում են տուգանք` յուրաքանչյուր արձանագրված շեղման հետևանքով առաջացած կորստի չափով:</w:t>
            </w:r>
          </w:p>
          <w:p w14:paraId="518F903F" w14:textId="77777777" w:rsidR="00FF26EC" w:rsidRPr="00FF26EC" w:rsidRDefault="00FF26EC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>Ելնելով վերոնշյալից՝ գտնում ենք, որ նախագծային աշխատանքների և փորձաքննության ծառայությունների գնման պայմանագրերով նախատեսված հիմքերի առկայության դեպքում նախագծող և փորձաքննություն իրականացնող ընկերությունների նկատմամբ պետք է կիրառվեին դրանցով նախատեսված պատասխանատվության միջոցներ, ինչի վերաբերյալ նախագծի փաթեթով որևէ տեղեկատվություն ներկայացված չէ:</w:t>
            </w:r>
          </w:p>
          <w:p w14:paraId="78738837" w14:textId="61996B5A" w:rsidR="005E21DE" w:rsidRDefault="005E21DE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5B84EDC" w14:textId="0AC428A8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2586F41" w14:textId="583A130A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6F94830" w14:textId="68166169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DA3DDB3" w14:textId="116E2833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A08D789" w14:textId="25EAAC69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6E4F9A2" w14:textId="77777777" w:rsidR="00CE7677" w:rsidRDefault="00CE7677" w:rsidP="00FF26E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04937E55" w14:textId="206CF75F" w:rsidR="00FF26EC" w:rsidRPr="008060CA" w:rsidRDefault="005E21DE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3․</w:t>
            </w:r>
            <w:r w:rsidR="00FF26EC" w:rsidRPr="00FF26EC">
              <w:rPr>
                <w:rFonts w:ascii="GHEA Grapalat" w:hAnsi="GHEA Grapalat"/>
                <w:lang w:val="hy-AM"/>
              </w:rPr>
              <w:tab/>
              <w:t xml:space="preserve">նկատի ունենալով, որ նախագծի հաստատման պարագայում աշխատանքների, այդ թվում տեխնիկական հսկողության ծառայությունների, ձեռքբերումը կիրականացվի մեկ անձից գնման ձևով՝ կոնկրետ կազմակերպությունից, առաջարկում ենք քննարկել աշխատանքները և ծառայությունները՝ գործող կարգավորումների համաձայն, հրատապության հիմքով պայմանավորված մեկ անձից գնման ձևով «Գնումների մասին» ՀՀ </w:t>
            </w:r>
            <w:r w:rsidR="00FF26EC" w:rsidRPr="00FF26EC">
              <w:rPr>
                <w:rFonts w:ascii="GHEA Grapalat" w:hAnsi="GHEA Grapalat"/>
                <w:lang w:val="hy-AM"/>
              </w:rPr>
              <w:lastRenderedPageBreak/>
              <w:t>օրենքի 15-րդ հոդվածի 6-րդ մասի 2-րդ կետի կիրառմամբ կազմակերպելու հնարավորության հարցը, ինչի արդյունքում դրանց մասնակցելու հնարավորություն կունենա ցանկացած մասնակից, այդ թվում՝ նախագծում  նշված կազմակերպությունները:</w:t>
            </w: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5DC5681F" w14:textId="77777777" w:rsidR="001118D2" w:rsidRDefault="005E21DE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1․ՀՀ քաղաքաշինության կոմիտեի նախագահի 2022թ․օգոտսոսի 2-ի թիվ 49-Ա հրամանով ստեղծվել է պետական համալիր փորձաքննական հանձնաժողով՝ ՀՀ Սյունիքի մարզի Սիսիանի բժշկական կենտրոնի վերակառուցման նախագծանախահաշվային փաստաթղթերի համալիր փորձաքննության վերաբերյալ։ Վերջինիս կողմից ընդունված թիվ 242 եզրակացությամբ տրվել է դրական կարծիք</w:t>
            </w:r>
            <w:r w:rsidRPr="004000D0">
              <w:rPr>
                <w:rFonts w:ascii="GHEA Grapalat" w:hAnsi="GHEA Grapalat"/>
                <w:lang w:val="hy-AM"/>
              </w:rPr>
              <w:t xml:space="preserve"> (</w:t>
            </w:r>
            <w:r w:rsidR="004000D0" w:rsidRPr="008B074C">
              <w:rPr>
                <w:rFonts w:ascii="GHEA Grapalat" w:hAnsi="GHEA Grapalat"/>
                <w:b/>
                <w:lang w:val="hy-AM"/>
              </w:rPr>
              <w:t>Եզրակացությունը կցվում է</w:t>
            </w:r>
            <w:r w:rsidRPr="008B074C">
              <w:rPr>
                <w:rFonts w:ascii="GHEA Grapalat" w:hAnsi="GHEA Grapalat"/>
                <w:b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14:paraId="0B4A44DD" w14:textId="77777777" w:rsidR="00B103BD" w:rsidRDefault="00B103BD" w:rsidP="008B074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541BF51" w14:textId="4E1AD24D" w:rsidR="00B103BD" w:rsidRDefault="00B103BD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103BD">
              <w:rPr>
                <w:rFonts w:ascii="GHEA Grapalat" w:hAnsi="GHEA Grapalat"/>
                <w:lang w:val="hy-AM"/>
              </w:rPr>
              <w:t xml:space="preserve">2. Լրացուցիչ ուսումնասիրությունների արդյունքում պարզվել է, որ </w:t>
            </w:r>
            <w:r w:rsidR="008B074C">
              <w:rPr>
                <w:rFonts w:ascii="GHEA Grapalat" w:hAnsi="GHEA Grapalat"/>
                <w:lang w:val="hy-AM"/>
              </w:rPr>
              <w:t>փլուզումն</w:t>
            </w:r>
            <w:r w:rsidRPr="00B103BD">
              <w:rPr>
                <w:rFonts w:ascii="GHEA Grapalat" w:hAnsi="GHEA Grapalat"/>
                <w:lang w:val="hy-AM"/>
              </w:rPr>
              <w:t xml:space="preserve"> </w:t>
            </w:r>
            <w:r w:rsidRPr="00B103BD">
              <w:rPr>
                <w:rFonts w:ascii="GHEA Grapalat" w:hAnsi="GHEA Grapalat"/>
                <w:lang w:val="hy-AM"/>
              </w:rPr>
              <w:lastRenderedPageBreak/>
              <w:t xml:space="preserve">առաջացել է շինության կոնստրուկտիվ տարրերի վատ տեխնիկական վիճակի պատճառով, որոնք նախնական ուսումնասիրությունների արդյունքում հնարավոր չէր </w:t>
            </w:r>
            <w:r w:rsidR="008B074C">
              <w:rPr>
                <w:rFonts w:ascii="GHEA Grapalat" w:hAnsi="GHEA Grapalat"/>
                <w:lang w:val="hy-AM"/>
              </w:rPr>
              <w:t>ուսումնասիրել</w:t>
            </w:r>
            <w:r w:rsidRPr="00B103BD">
              <w:rPr>
                <w:rFonts w:ascii="GHEA Grapalat" w:hAnsi="GHEA Grapalat"/>
                <w:lang w:val="hy-AM"/>
              </w:rPr>
              <w:t xml:space="preserve"> </w:t>
            </w:r>
            <w:r w:rsidR="008B074C" w:rsidRPr="008B074C">
              <w:rPr>
                <w:rFonts w:ascii="GHEA Grapalat" w:hAnsi="GHEA Grapalat"/>
                <w:lang w:val="hy-AM"/>
              </w:rPr>
              <w:t>(</w:t>
            </w:r>
            <w:r w:rsidR="008B074C" w:rsidRPr="008B074C">
              <w:rPr>
                <w:rFonts w:ascii="GHEA Grapalat" w:hAnsi="GHEA Grapalat"/>
                <w:b/>
                <w:lang w:val="hy-AM"/>
              </w:rPr>
              <w:t>կրկնակի տեխնիկական վիճակի եզրակացությունը կցվում է</w:t>
            </w:r>
            <w:r w:rsidR="008B074C" w:rsidRPr="008B074C">
              <w:rPr>
                <w:rFonts w:ascii="GHEA Grapalat" w:hAnsi="GHEA Grapalat"/>
                <w:lang w:val="hy-AM"/>
              </w:rPr>
              <w:t>)</w:t>
            </w:r>
            <w:r w:rsidR="008B074C">
              <w:rPr>
                <w:rFonts w:ascii="GHEA Grapalat" w:hAnsi="GHEA Grapalat"/>
                <w:lang w:val="hy-AM"/>
              </w:rPr>
              <w:t xml:space="preserve">։ </w:t>
            </w:r>
            <w:r w:rsidR="00CE7677">
              <w:rPr>
                <w:rFonts w:ascii="GHEA Grapalat" w:hAnsi="GHEA Grapalat"/>
                <w:lang w:val="hy-AM"/>
              </w:rPr>
              <w:t>Հետևաբար փլուզումն</w:t>
            </w:r>
            <w:r w:rsidR="00CE7677" w:rsidRPr="00CE7677">
              <w:rPr>
                <w:rFonts w:ascii="GHEA Grapalat" w:hAnsi="GHEA Grapalat"/>
                <w:lang w:val="hy-AM"/>
              </w:rPr>
              <w:t xml:space="preserve"> առաջացել է կողմերից անկախ հանգամանքներում,</w:t>
            </w:r>
            <w:r w:rsidR="00511E54">
              <w:rPr>
                <w:rFonts w:ascii="GHEA Grapalat" w:hAnsi="GHEA Grapalat"/>
                <w:lang w:val="hy-AM"/>
              </w:rPr>
              <w:t xml:space="preserve"> այլ</w:t>
            </w:r>
            <w:r w:rsidR="00CE7677" w:rsidRPr="00CE7677">
              <w:rPr>
                <w:rFonts w:ascii="GHEA Grapalat" w:hAnsi="GHEA Grapalat"/>
                <w:lang w:val="hy-AM"/>
              </w:rPr>
              <w:t xml:space="preserve"> ոչ թե սխալ նախագծման, սխալ փորձաքննության կամ սխալ շինարարական  աշխատանքների կազմակերպման արդյունքում։</w:t>
            </w:r>
          </w:p>
          <w:p w14:paraId="6AAB5998" w14:textId="77777777" w:rsidR="008B074C" w:rsidRDefault="008B074C" w:rsidP="008B074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C3EFF95" w14:textId="77777777" w:rsidR="008B074C" w:rsidRDefault="008B074C" w:rsidP="008B074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6C0D470" w14:textId="7419BCBA" w:rsidR="008B074C" w:rsidRPr="00B103BD" w:rsidRDefault="008B074C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3․</w:t>
            </w:r>
            <w:r w:rsidRPr="008B074C">
              <w:rPr>
                <w:rFonts w:ascii="GHEA Grapalat" w:hAnsi="GHEA Grapalat"/>
                <w:lang w:val="hy-AM"/>
              </w:rPr>
              <w:t xml:space="preserve">Մասնագիտական տեսանկյունից խիստ նպատակահարմար է, որ միևնույն շինարարական օբյեկտում աշխատանքները իրականացվեն նույն կապալառու ընկերության կողմից, քանի </w:t>
            </w:r>
            <w:r w:rsidRPr="008B074C">
              <w:rPr>
                <w:rFonts w:ascii="GHEA Grapalat" w:hAnsi="GHEA Grapalat"/>
                <w:lang w:val="hy-AM"/>
              </w:rPr>
              <w:lastRenderedPageBreak/>
              <w:t>որ առկա են երկու մասնաշենքերի տարբեր ինժեներական ենթակառուցվածքների ամբողջական լուծումներ, շինարարական աշխատանքների կազմակերպման և դրանց անվտանգության կանոնների ապահովման ու այդ ամենի ամբողջական պատասխանատվության և երաշխիքների ապահովման անհրաժեշտություն, իսկ այլ կապալառուների ներգրավման հնարավորության դեպքում առաջանում է վերոնշյալ պայմանները չապահովելու կամ ձևական առումով ապահովելու ռիսկ։ Այս ամենը քննարկվել է նաև ոլորտի լիազոր մարմին հանդիսացող ՀՀ քաղաքաշինության կոմիտեի հետ և ձևավորվել է առաջարկվող մոտեցման միասնական դիրքորոշում</w:t>
            </w:r>
          </w:p>
        </w:tc>
      </w:tr>
      <w:tr w:rsidR="00F62CB8" w:rsidRPr="008060CA" w14:paraId="5670FDAB" w14:textId="77777777" w:rsidTr="007F1943">
        <w:trPr>
          <w:trHeight w:val="285"/>
        </w:trPr>
        <w:tc>
          <w:tcPr>
            <w:tcW w:w="12510" w:type="dxa"/>
            <w:gridSpan w:val="2"/>
            <w:vMerge w:val="restart"/>
            <w:shd w:val="clear" w:color="auto" w:fill="BFBFBF" w:themeFill="background1" w:themeFillShade="BF"/>
          </w:tcPr>
          <w:p w14:paraId="33367AF4" w14:textId="69374D21" w:rsidR="00F62CB8" w:rsidRDefault="00F62CB8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8060CA">
              <w:rPr>
                <w:rFonts w:ascii="GHEA Grapalat" w:hAnsi="GHEA Grapalat"/>
                <w:lang w:val="hy-AM"/>
              </w:rPr>
              <w:t xml:space="preserve">. </w:t>
            </w:r>
            <w:r w:rsidRPr="008060CA">
              <w:rPr>
                <w:rFonts w:ascii="GHEA Grapalat" w:hAnsi="GHEA Grapalat" w:cs="Sylfaen"/>
                <w:lang w:val="hy-AM"/>
              </w:rPr>
              <w:t xml:space="preserve"> </w:t>
            </w:r>
            <w:r w:rsidRPr="00A732CC">
              <w:rPr>
                <w:rFonts w:ascii="GHEA Grapalat" w:hAnsi="GHEA Grapalat" w:cs="Sylfaen"/>
                <w:lang w:val="hy-AM"/>
              </w:rPr>
              <w:t xml:space="preserve">ՀՀ ֆինանսների նախարարություն </w:t>
            </w:r>
          </w:p>
          <w:p w14:paraId="4C17C120" w14:textId="77777777" w:rsidR="00F62CB8" w:rsidRPr="008060CA" w:rsidRDefault="00F62CB8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658C456" w14:textId="5656EFFB" w:rsidR="00F62CB8" w:rsidRPr="008060CA" w:rsidRDefault="00F62CB8" w:rsidP="00F62CB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14</w:t>
            </w:r>
            <w:r w:rsidRPr="00ED40D9">
              <w:rPr>
                <w:rFonts w:ascii="Cambria Math" w:hAnsi="Cambria Math" w:cs="Cambria Math"/>
                <w:lang w:val="en-US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11</w:t>
            </w:r>
            <w:r w:rsidRPr="00ED40D9">
              <w:rPr>
                <w:rFonts w:ascii="Cambria Math" w:hAnsi="Cambria Math" w:cs="Cambria Math"/>
                <w:lang w:val="en-US"/>
              </w:rPr>
              <w:t>․</w:t>
            </w:r>
            <w:r w:rsidRPr="00A732CC">
              <w:rPr>
                <w:rFonts w:ascii="GHEA Grapalat" w:hAnsi="GHEA Grapalat" w:cs="Sylfaen"/>
                <w:lang w:val="en-US"/>
              </w:rPr>
              <w:t>202</w:t>
            </w:r>
            <w:r>
              <w:rPr>
                <w:rFonts w:ascii="GHEA Grapalat" w:hAnsi="GHEA Grapalat" w:cs="Sylfaen"/>
                <w:lang w:val="en-US"/>
              </w:rPr>
              <w:t>2</w:t>
            </w:r>
            <w:r w:rsidRPr="00A732CC">
              <w:rPr>
                <w:rFonts w:ascii="GHEA Grapalat" w:hAnsi="GHEA Grapalat" w:cs="Sylfaen"/>
                <w:lang w:val="en-US"/>
              </w:rPr>
              <w:t>թ</w:t>
            </w:r>
            <w:r w:rsidRPr="008060CA">
              <w:rPr>
                <w:rFonts w:ascii="GHEA Grapalat" w:hAnsi="GHEA Grapalat" w:cs="Sylfaen"/>
                <w:lang w:val="en-US"/>
              </w:rPr>
              <w:t>.</w:t>
            </w:r>
          </w:p>
        </w:tc>
      </w:tr>
      <w:tr w:rsidR="00F62CB8" w:rsidRPr="008060CA" w14:paraId="1D1DFB14" w14:textId="77777777" w:rsidTr="007F1943">
        <w:trPr>
          <w:trHeight w:val="285"/>
        </w:trPr>
        <w:tc>
          <w:tcPr>
            <w:tcW w:w="12510" w:type="dxa"/>
            <w:gridSpan w:val="2"/>
            <w:vMerge/>
            <w:shd w:val="clear" w:color="auto" w:fill="BFBFBF" w:themeFill="background1" w:themeFillShade="BF"/>
          </w:tcPr>
          <w:p w14:paraId="47C06E93" w14:textId="77777777" w:rsidR="00F62CB8" w:rsidRPr="008060CA" w:rsidRDefault="00F62CB8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3C5ED4FE" w14:textId="4E67B321" w:rsidR="00F62CB8" w:rsidRPr="008060CA" w:rsidRDefault="00F62CB8" w:rsidP="007F1943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060CA">
              <w:rPr>
                <w:rFonts w:ascii="GHEA Grapalat" w:hAnsi="GHEA Grapalat" w:cs="Sylfaen"/>
                <w:lang w:val="en-US"/>
              </w:rPr>
              <w:t xml:space="preserve">N </w:t>
            </w:r>
            <w:r w:rsidRPr="00F62CB8">
              <w:rPr>
                <w:rFonts w:ascii="GHEA Grapalat" w:hAnsi="GHEA Grapalat" w:cs="Sylfaen"/>
                <w:lang w:val="en-US"/>
              </w:rPr>
              <w:t>01/26-1/19565-2022</w:t>
            </w:r>
          </w:p>
        </w:tc>
      </w:tr>
      <w:tr w:rsidR="00F62CB8" w:rsidRPr="007279BE" w14:paraId="2274259F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4CC263E5" w14:textId="65AF600B" w:rsidR="00F62CB8" w:rsidRDefault="00F62CB8" w:rsidP="00F62CB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</w:t>
            </w:r>
            <w:r w:rsidRPr="00F62CB8">
              <w:rPr>
                <w:rFonts w:ascii="GHEA Grapalat" w:hAnsi="GHEA Grapalat"/>
                <w:lang w:val="hy-AM"/>
              </w:rPr>
              <w:t>ռաջարկ</w:t>
            </w:r>
            <w:r>
              <w:rPr>
                <w:rFonts w:ascii="GHEA Grapalat" w:hAnsi="GHEA Grapalat"/>
                <w:lang w:val="hy-AM"/>
              </w:rPr>
              <w:t>վ</w:t>
            </w:r>
            <w:r w:rsidRPr="00F62CB8">
              <w:rPr>
                <w:rFonts w:ascii="GHEA Grapalat" w:hAnsi="GHEA Grapalat"/>
                <w:lang w:val="hy-AM"/>
              </w:rPr>
              <w:t xml:space="preserve">ում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F62CB8">
              <w:rPr>
                <w:rFonts w:ascii="GHEA Grapalat" w:hAnsi="GHEA Grapalat"/>
                <w:lang w:val="hy-AM"/>
              </w:rPr>
              <w:t xml:space="preserve"> հնարավորության դեպքում քննարկել ամբողջական մշակված նախագծային փաստաթղթերի հիման վրա վերակառուցման աշխատանքների, վերջիններիս նկատմամբ որակի տեխնիկական և հեղինակային հսկողության ծառայությունների ձեռքբերման գնման նոր մրցակցային ընթացակարգեր կազմակերպելու հնարավորության հարցը:</w:t>
            </w: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3A7B774D" w14:textId="77777777" w:rsidR="00F62CB8" w:rsidRDefault="00F62CB8" w:rsidP="00CE767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Առաջարկությունը չի ընդունվել։</w:t>
            </w:r>
          </w:p>
          <w:p w14:paraId="69B13D2D" w14:textId="752B6208" w:rsidR="00F62CB8" w:rsidRDefault="00F62CB8" w:rsidP="00DE58E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Ամբողջական մշակված նախագծային փաստաթղթերի հիման վրա վերակառուցման աշխատանքների նոր մրցակցային ընթացակարգ կազմակերպելը հնարավոր չէ, քանի որ </w:t>
            </w:r>
            <w:r w:rsidR="001D4E7C">
              <w:rPr>
                <w:rFonts w:ascii="GHEA Grapalat" w:hAnsi="GHEA Grapalat"/>
                <w:lang w:val="hy-AM"/>
              </w:rPr>
              <w:t>նոր մասնաշենքի կառուցման շինարարական աշխատանքները մեծամասամբ ավարտված են և շինարարական ընկերությանն արդեն իսկ վճարվել է 147 միլիոն ՀՀ դրամ։</w:t>
            </w:r>
            <w:r w:rsidR="00AE16D4">
              <w:rPr>
                <w:rFonts w:ascii="GHEA Grapalat" w:hAnsi="GHEA Grapalat"/>
                <w:lang w:val="hy-AM"/>
              </w:rPr>
              <w:t xml:space="preserve"> Միևնույն ժամանակ հաշվի առնելով շինանյութի շուկայում գնաճի միտումները՝ նոր մրցութային գործընթաց նախաձեռնելու պարագայում, աշխատանքների արժեքները ևս ավելանալու են։</w:t>
            </w:r>
          </w:p>
          <w:p w14:paraId="587F307E" w14:textId="22170F43" w:rsidR="001A53F9" w:rsidRPr="001D4E7C" w:rsidRDefault="001A53F9" w:rsidP="00DE58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AA2F42" w:rsidRPr="00AA2F42" w14:paraId="6683C662" w14:textId="77777777" w:rsidTr="00AA2F42">
        <w:trPr>
          <w:trHeight w:val="422"/>
        </w:trPr>
        <w:tc>
          <w:tcPr>
            <w:tcW w:w="12510" w:type="dxa"/>
            <w:gridSpan w:val="2"/>
            <w:vMerge w:val="restart"/>
            <w:shd w:val="clear" w:color="auto" w:fill="A6A6A6" w:themeFill="background1" w:themeFillShade="A6"/>
          </w:tcPr>
          <w:p w14:paraId="6AAF293D" w14:textId="4B5F6C7D" w:rsidR="00AA2F42" w:rsidRPr="00AA2F42" w:rsidRDefault="00DE58ED" w:rsidP="00FF26EC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1</w:t>
            </w:r>
            <w:r w:rsidR="00AA2F42" w:rsidRPr="00AA2F42">
              <w:rPr>
                <w:rFonts w:ascii="Cambria Math" w:hAnsi="Cambria Math" w:cs="Cambria Math"/>
                <w:lang w:val="hy-AM"/>
              </w:rPr>
              <w:t>․</w:t>
            </w:r>
            <w:r w:rsidR="00AA2F42" w:rsidRPr="00AA2F42">
              <w:rPr>
                <w:rFonts w:ascii="GHEA Grapalat" w:hAnsi="GHEA Grapalat"/>
                <w:lang w:val="hy-AM"/>
              </w:rPr>
              <w:t xml:space="preserve">  </w:t>
            </w:r>
            <w:r w:rsidR="00FF26EC">
              <w:rPr>
                <w:rFonts w:ascii="GHEA Grapalat" w:hAnsi="GHEA Grapalat"/>
                <w:lang w:val="hy-AM"/>
              </w:rPr>
              <w:t>ՀՀ Քաղաքաշինության կոմիտե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5CCE0431" w14:textId="2198ADEF" w:rsidR="00AA2F42" w:rsidRPr="00AA2F42" w:rsidRDefault="00FF26EC" w:rsidP="00AA2F4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AA2F42" w:rsidRPr="00AA2F42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08</w:t>
            </w:r>
            <w:r w:rsidR="00AA2F42" w:rsidRPr="00AA2F42">
              <w:rPr>
                <w:rFonts w:ascii="Cambria Math" w:hAnsi="Cambria Math" w:cs="Cambria Math"/>
                <w:lang w:val="hy-AM"/>
              </w:rPr>
              <w:t>․</w:t>
            </w:r>
            <w:r w:rsidR="00AA2F42" w:rsidRPr="00AA2F42">
              <w:rPr>
                <w:rFonts w:ascii="GHEA Grapalat" w:hAnsi="GHEA Grapalat"/>
                <w:lang w:val="hy-AM"/>
              </w:rPr>
              <w:t>2022թ</w:t>
            </w:r>
            <w:r w:rsidR="00AA2F42" w:rsidRPr="00AA2F42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AA2F42" w:rsidRPr="00AA2F42" w14:paraId="621AAA85" w14:textId="77777777" w:rsidTr="00AA2F42">
        <w:trPr>
          <w:trHeight w:val="422"/>
        </w:trPr>
        <w:tc>
          <w:tcPr>
            <w:tcW w:w="12510" w:type="dxa"/>
            <w:gridSpan w:val="2"/>
            <w:vMerge/>
            <w:shd w:val="clear" w:color="auto" w:fill="A6A6A6" w:themeFill="background1" w:themeFillShade="A6"/>
          </w:tcPr>
          <w:p w14:paraId="1A9C9AB9" w14:textId="77777777" w:rsidR="00AA2F42" w:rsidRPr="00ED40D9" w:rsidRDefault="00AA2F42" w:rsidP="00AA2F4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04E86295" w14:textId="634FDEC4" w:rsidR="00AA2F42" w:rsidRDefault="00FF26EC" w:rsidP="00AA2F4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>N 01/16.4/8809-2022</w:t>
            </w:r>
          </w:p>
        </w:tc>
      </w:tr>
      <w:tr w:rsidR="00AA2F42" w:rsidRPr="007279BE" w14:paraId="392851EF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1F4569D9" w14:textId="77777777" w:rsidR="00AA2F42" w:rsidRDefault="00FF26EC" w:rsidP="00AA2F4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 xml:space="preserve">«Մի շարք գնման պայմանագրերում փոփոխություն կատարելու թույլտվություն տալու մասին» </w:t>
            </w:r>
            <w:r w:rsidRPr="00FF26EC">
              <w:rPr>
                <w:rFonts w:ascii="GHEA Grapalat" w:hAnsi="GHEA Grapalat"/>
                <w:lang w:val="hy-AM"/>
              </w:rPr>
              <w:lastRenderedPageBreak/>
              <w:t>ՀՀ կառավարության որոշման նախագծի վերաբերյալ ՀՀ քաղաքաշինության կոմիտեն առաջարկում է հիմնավորման մեջ առավել մանրամասն նկարագրել և հիմնավորել նույն Կապալի պայմանագրի շրջանակներում առաջարկվող փոփոխությունները կատարելու անհրաժեշտությունը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14:paraId="22C7A5F9" w14:textId="4D5A60EE" w:rsidR="00DE58ED" w:rsidRPr="00ED40D9" w:rsidRDefault="00DE58ED" w:rsidP="00AA2F4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603700D8" w14:textId="704FDB9D" w:rsidR="00AA2F42" w:rsidRDefault="001A5E6D" w:rsidP="00511E5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  <w:r w:rsidR="00BD458D">
              <w:rPr>
                <w:rFonts w:ascii="GHEA Grapalat" w:hAnsi="GHEA Grapalat"/>
                <w:lang w:val="hy-AM"/>
              </w:rPr>
              <w:t>։</w:t>
            </w:r>
            <w:r w:rsidR="00FF26EC">
              <w:rPr>
                <w:rFonts w:ascii="GHEA Grapalat" w:hAnsi="GHEA Grapalat"/>
                <w:lang w:val="hy-AM"/>
              </w:rPr>
              <w:t xml:space="preserve"> Նախագիծը </w:t>
            </w:r>
            <w:r w:rsidR="00511E54">
              <w:rPr>
                <w:rFonts w:ascii="GHEA Grapalat" w:hAnsi="GHEA Grapalat"/>
                <w:lang w:val="hy-AM"/>
              </w:rPr>
              <w:t>լրամշակվել</w:t>
            </w:r>
            <w:r w:rsidR="00FF26EC">
              <w:rPr>
                <w:rFonts w:ascii="GHEA Grapalat" w:hAnsi="GHEA Grapalat"/>
                <w:lang w:val="hy-AM"/>
              </w:rPr>
              <w:t xml:space="preserve"> է։</w:t>
            </w:r>
          </w:p>
        </w:tc>
      </w:tr>
      <w:tr w:rsidR="00DE58ED" w:rsidRPr="00AA2F42" w14:paraId="71D36FB3" w14:textId="77777777" w:rsidTr="007F1943">
        <w:trPr>
          <w:trHeight w:val="422"/>
        </w:trPr>
        <w:tc>
          <w:tcPr>
            <w:tcW w:w="12510" w:type="dxa"/>
            <w:gridSpan w:val="2"/>
            <w:vMerge w:val="restart"/>
            <w:shd w:val="clear" w:color="auto" w:fill="A6A6A6" w:themeFill="background1" w:themeFillShade="A6"/>
          </w:tcPr>
          <w:p w14:paraId="6C45496E" w14:textId="77777777" w:rsidR="00DE58ED" w:rsidRPr="00AA2F42" w:rsidRDefault="00DE58ED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2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 w:rsidRPr="00AA2F42"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>ՀՀ Քաղաքաշինության կոմիտե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391EE8BD" w14:textId="2F8B58D7" w:rsidR="00DE58ED" w:rsidRPr="00AA2F42" w:rsidRDefault="00DE58ED" w:rsidP="00DE58ED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 w:rsidRPr="00AA2F42">
              <w:rPr>
                <w:rFonts w:ascii="GHEA Grapalat" w:hAnsi="GHEA Grapalat"/>
                <w:lang w:val="hy-AM"/>
              </w:rPr>
              <w:t>2022թ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DE58ED" w14:paraId="74C434DD" w14:textId="77777777" w:rsidTr="007F1943">
        <w:trPr>
          <w:trHeight w:val="422"/>
        </w:trPr>
        <w:tc>
          <w:tcPr>
            <w:tcW w:w="12510" w:type="dxa"/>
            <w:gridSpan w:val="2"/>
            <w:vMerge/>
            <w:shd w:val="clear" w:color="auto" w:fill="A6A6A6" w:themeFill="background1" w:themeFillShade="A6"/>
          </w:tcPr>
          <w:p w14:paraId="57712C73" w14:textId="77777777" w:rsidR="00DE58ED" w:rsidRPr="00ED40D9" w:rsidRDefault="00DE58ED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2BC30C86" w14:textId="433F0657" w:rsidR="00DE58ED" w:rsidRDefault="00DE58ED" w:rsidP="007F194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 w:rsidRPr="00FF26EC">
              <w:rPr>
                <w:rFonts w:ascii="GHEA Grapalat" w:hAnsi="GHEA Grapalat"/>
                <w:lang w:val="hy-AM"/>
              </w:rPr>
              <w:t xml:space="preserve">N </w:t>
            </w:r>
            <w:r w:rsidRPr="00DE58ED">
              <w:rPr>
                <w:rFonts w:ascii="GHEA Grapalat" w:hAnsi="GHEA Grapalat"/>
                <w:lang w:val="hy-AM"/>
              </w:rPr>
              <w:t>01/18/12569-2022</w:t>
            </w:r>
          </w:p>
        </w:tc>
      </w:tr>
      <w:tr w:rsidR="00DE58ED" w:rsidRPr="00F62CB8" w14:paraId="781811C8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66366595" w14:textId="3B55B9A0" w:rsidR="00DE58ED" w:rsidRPr="00FF26EC" w:rsidRDefault="00DE58ED" w:rsidP="00AA2F4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DE58ED">
              <w:rPr>
                <w:rFonts w:ascii="GHEA Grapalat" w:hAnsi="GHEA Grapalat"/>
                <w:lang w:val="hy-AM"/>
              </w:rPr>
              <w:t>ՀՀ կառավարության որոշման նախագծի վերաբերյալ դիտողություններ և առաջարկություններ չունի։</w:t>
            </w: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4FE3FAC4" w14:textId="5DC13D16" w:rsidR="00DE58ED" w:rsidRDefault="00DE58ED" w:rsidP="00511E5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  <w:tr w:rsidR="00D41346" w:rsidRPr="00AA2F42" w14:paraId="6BA76B19" w14:textId="77777777" w:rsidTr="006E0B8B">
        <w:trPr>
          <w:trHeight w:val="422"/>
        </w:trPr>
        <w:tc>
          <w:tcPr>
            <w:tcW w:w="12510" w:type="dxa"/>
            <w:gridSpan w:val="2"/>
            <w:vMerge w:val="restart"/>
            <w:shd w:val="clear" w:color="auto" w:fill="A6A6A6" w:themeFill="background1" w:themeFillShade="A6"/>
          </w:tcPr>
          <w:p w14:paraId="1A5015B9" w14:textId="4F08B963" w:rsidR="00D41346" w:rsidRPr="00AA2F42" w:rsidRDefault="007279BE" w:rsidP="00D4134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</w:t>
            </w:r>
            <w:r w:rsidR="00D41346" w:rsidRPr="00AA2F42">
              <w:rPr>
                <w:rFonts w:ascii="GHEA Grapalat" w:hAnsi="GHEA Grapalat"/>
                <w:lang w:val="hy-AM"/>
              </w:rPr>
              <w:t xml:space="preserve"> </w:t>
            </w:r>
            <w:r w:rsidR="00D41346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0D5E09B7" w14:textId="7720D9DD" w:rsidR="00D41346" w:rsidRPr="00AA2F42" w:rsidRDefault="00D41346" w:rsidP="006E0B8B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 w:rsidRPr="00AA2F42">
              <w:rPr>
                <w:rFonts w:ascii="GHEA Grapalat" w:hAnsi="GHEA Grapalat"/>
                <w:lang w:val="hy-AM"/>
              </w:rPr>
              <w:t>2022թ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D41346" w14:paraId="77B24D02" w14:textId="77777777" w:rsidTr="006E0B8B">
        <w:trPr>
          <w:trHeight w:val="422"/>
        </w:trPr>
        <w:tc>
          <w:tcPr>
            <w:tcW w:w="12510" w:type="dxa"/>
            <w:gridSpan w:val="2"/>
            <w:vMerge/>
            <w:shd w:val="clear" w:color="auto" w:fill="A6A6A6" w:themeFill="background1" w:themeFillShade="A6"/>
          </w:tcPr>
          <w:p w14:paraId="10C49213" w14:textId="77777777" w:rsidR="00D41346" w:rsidRPr="00ED40D9" w:rsidRDefault="00D41346" w:rsidP="006E0B8B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60249D45" w14:textId="41FA90B7" w:rsidR="00D41346" w:rsidRPr="00D41346" w:rsidRDefault="00D41346" w:rsidP="00D41346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D41346">
              <w:rPr>
                <w:rFonts w:ascii="GHEA Grapalat" w:hAnsi="GHEA Grapalat"/>
                <w:lang w:val="hy-AM"/>
              </w:rPr>
              <w:t>N 01/27.1/51825-2022</w:t>
            </w:r>
          </w:p>
        </w:tc>
      </w:tr>
      <w:tr w:rsidR="00D41346" w:rsidRPr="00D41346" w14:paraId="79856031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6EA92738" w14:textId="5110437C" w:rsidR="00D41346" w:rsidRPr="00DE58ED" w:rsidRDefault="00D41346" w:rsidP="00AA2F4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D41346">
              <w:rPr>
                <w:rFonts w:ascii="GHEA Grapalat" w:hAnsi="GHEA Grapalat"/>
                <w:lang w:val="hy-AM"/>
              </w:rPr>
              <w:t>«Գնման պայմանագրում փոփոխություններ կատարելու թույլտվություն տալու մասին» ՀՀ կառավարության որոշման նախագծի վերաբերյալ դիտողություններ և առաջարկություններ չունեն</w:t>
            </w: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6A527CA9" w14:textId="201F0ECC" w:rsidR="00D41346" w:rsidRDefault="00D41346" w:rsidP="00511E5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D41346"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  <w:tr w:rsidR="007279BE" w:rsidRPr="00AA2F42" w14:paraId="5E75CB75" w14:textId="77777777" w:rsidTr="005D3F33">
        <w:trPr>
          <w:trHeight w:val="422"/>
        </w:trPr>
        <w:tc>
          <w:tcPr>
            <w:tcW w:w="12510" w:type="dxa"/>
            <w:gridSpan w:val="2"/>
            <w:vMerge w:val="restart"/>
            <w:shd w:val="clear" w:color="auto" w:fill="A6A6A6" w:themeFill="background1" w:themeFillShade="A6"/>
          </w:tcPr>
          <w:p w14:paraId="6A8900E9" w14:textId="241CCA45" w:rsidR="007279BE" w:rsidRPr="007279BE" w:rsidRDefault="007279BE" w:rsidP="007279BE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</w:t>
            </w:r>
            <w:bookmarkStart w:id="0" w:name="_GoBack"/>
            <w:bookmarkEnd w:id="0"/>
            <w:r w:rsidRPr="00AA2F4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>Վարչապետի աշխատակազմ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4F4CD54" w14:textId="3DB4567B" w:rsidR="007279BE" w:rsidRPr="00AA2F42" w:rsidRDefault="007279BE" w:rsidP="007279BE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  <w:r w:rsidRPr="00AA2F42">
              <w:rPr>
                <w:rFonts w:ascii="GHEA Grapalat" w:hAnsi="GHEA Grapalat"/>
                <w:lang w:val="hy-AM"/>
              </w:rPr>
              <w:t>2022թ</w:t>
            </w:r>
            <w:r w:rsidRPr="00AA2F42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7279BE" w:rsidRPr="00D41346" w14:paraId="42D9E179" w14:textId="77777777" w:rsidTr="005D3F33">
        <w:trPr>
          <w:trHeight w:val="422"/>
        </w:trPr>
        <w:tc>
          <w:tcPr>
            <w:tcW w:w="12510" w:type="dxa"/>
            <w:gridSpan w:val="2"/>
            <w:vMerge/>
            <w:shd w:val="clear" w:color="auto" w:fill="A6A6A6" w:themeFill="background1" w:themeFillShade="A6"/>
          </w:tcPr>
          <w:p w14:paraId="680B2D54" w14:textId="77777777" w:rsidR="007279BE" w:rsidRPr="00ED40D9" w:rsidRDefault="007279BE" w:rsidP="005D3F33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0FD6E9F4" w14:textId="6C1787B7" w:rsidR="007279BE" w:rsidRPr="00D41346" w:rsidRDefault="007279BE" w:rsidP="005D3F33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D41346">
              <w:rPr>
                <w:rFonts w:ascii="GHEA Grapalat" w:hAnsi="GHEA Grapalat"/>
                <w:lang w:val="hy-AM"/>
              </w:rPr>
              <w:t xml:space="preserve">N </w:t>
            </w:r>
            <w:r w:rsidRPr="007279BE">
              <w:rPr>
                <w:rFonts w:ascii="GHEA Grapalat" w:hAnsi="GHEA Grapalat"/>
                <w:lang w:val="hy-AM"/>
              </w:rPr>
              <w:t>02/16.4/41233-2022</w:t>
            </w:r>
          </w:p>
        </w:tc>
      </w:tr>
      <w:tr w:rsidR="007279BE" w:rsidRPr="007279BE" w14:paraId="34446292" w14:textId="77777777" w:rsidTr="008D5479">
        <w:trPr>
          <w:trHeight w:val="422"/>
        </w:trPr>
        <w:tc>
          <w:tcPr>
            <w:tcW w:w="10540" w:type="dxa"/>
            <w:shd w:val="clear" w:color="auto" w:fill="FFFFFF" w:themeFill="background1"/>
          </w:tcPr>
          <w:p w14:paraId="02C6305D" w14:textId="0493EE7B" w:rsidR="007279BE" w:rsidRPr="00D41346" w:rsidRDefault="007279BE" w:rsidP="00AA2F4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</w:t>
            </w:r>
            <w:r w:rsidRPr="007279BE">
              <w:rPr>
                <w:rFonts w:ascii="GHEA Grapalat" w:hAnsi="GHEA Grapalat"/>
                <w:lang w:val="hy-AM"/>
              </w:rPr>
              <w:t xml:space="preserve">րոշման նախագծի նախաբանում նշված հղումը՝ ՀՀ կառավարության 2017 թվականի մայիսի 4-ի N 526-Ն որոշմամբ հաստատված կարգի 3-րդ կետը, իրավական հիմք չի կարող հանդիսանալ որոշման ընդունման համար, քանի որ տվյալ կետով նախատեսված պայմանը կարող է կիրառվել, եթե հրապարակված կամ մասնակցին տրամադրված չէ հրավեր, իսկ </w:t>
            </w:r>
            <w:r w:rsidRPr="007279BE">
              <w:rPr>
                <w:rFonts w:ascii="GHEA Grapalat" w:hAnsi="GHEA Grapalat"/>
                <w:lang w:val="hy-AM"/>
              </w:rPr>
              <w:lastRenderedPageBreak/>
              <w:t>ներկայացված նախագծով նախատեսվում է փոփոխություններ կատարել գնման պայմանագրերում:</w:t>
            </w:r>
          </w:p>
        </w:tc>
        <w:tc>
          <w:tcPr>
            <w:tcW w:w="4940" w:type="dxa"/>
            <w:gridSpan w:val="2"/>
            <w:shd w:val="clear" w:color="auto" w:fill="FFFFFF" w:themeFill="background1"/>
          </w:tcPr>
          <w:p w14:paraId="083A00FB" w14:textId="291DC39A" w:rsidR="007279BE" w:rsidRPr="00D41346" w:rsidRDefault="007279BE" w:rsidP="00511E5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7279BE">
              <w:rPr>
                <w:rFonts w:ascii="GHEA Grapalat" w:hAnsi="GHEA Grapalat"/>
                <w:lang w:val="hy-AM"/>
              </w:rPr>
              <w:lastRenderedPageBreak/>
              <w:t>Ընդունվել է։ Նախագիծը լրամշակվել է։</w:t>
            </w:r>
          </w:p>
        </w:tc>
      </w:tr>
    </w:tbl>
    <w:p w14:paraId="50E6FF6B" w14:textId="2BAF1B3D" w:rsidR="00500AC2" w:rsidRPr="00EB562B" w:rsidRDefault="00A96513" w:rsidP="00EB562B">
      <w:pPr>
        <w:spacing w:line="360" w:lineRule="auto"/>
        <w:ind w:right="-455"/>
        <w:jc w:val="both"/>
        <w:rPr>
          <w:rFonts w:ascii="GHEA Grapalat" w:hAnsi="GHEA Grapalat" w:cs="Times Armenian"/>
          <w:lang w:val="hy-AM"/>
        </w:rPr>
      </w:pPr>
      <w:r w:rsidRPr="00860DA6">
        <w:rPr>
          <w:rFonts w:ascii="GHEA Grapalat" w:hAnsi="GHEA Grapalat" w:cs="Times Armenian"/>
          <w:lang w:val="hy-AM"/>
        </w:rPr>
        <w:lastRenderedPageBreak/>
        <w:t xml:space="preserve"> </w:t>
      </w:r>
    </w:p>
    <w:sectPr w:rsidR="00500AC2" w:rsidRPr="00EB562B" w:rsidSect="00B25366">
      <w:headerReference w:type="default" r:id="rId7"/>
      <w:pgSz w:w="16838" w:h="11906" w:orient="landscape" w:code="9"/>
      <w:pgMar w:top="270" w:right="1138" w:bottom="4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3A76" w14:textId="77777777" w:rsidR="00612FCB" w:rsidRDefault="00612FCB" w:rsidP="00787761">
      <w:r>
        <w:separator/>
      </w:r>
    </w:p>
  </w:endnote>
  <w:endnote w:type="continuationSeparator" w:id="0">
    <w:p w14:paraId="2A5508AC" w14:textId="77777777" w:rsidR="00612FCB" w:rsidRDefault="00612FCB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1B08" w14:textId="77777777" w:rsidR="00612FCB" w:rsidRDefault="00612FCB" w:rsidP="00787761">
      <w:r>
        <w:separator/>
      </w:r>
    </w:p>
  </w:footnote>
  <w:footnote w:type="continuationSeparator" w:id="0">
    <w:p w14:paraId="19B0D579" w14:textId="77777777" w:rsidR="00612FCB" w:rsidRDefault="00612FCB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62184"/>
      <w:docPartObj>
        <w:docPartGallery w:val="Page Numbers (Top of Page)"/>
        <w:docPartUnique/>
      </w:docPartObj>
    </w:sdtPr>
    <w:sdtEndPr/>
    <w:sdtContent>
      <w:p w14:paraId="4C2EC43B" w14:textId="41EEBB21" w:rsidR="00787761" w:rsidRDefault="00EF1B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2AF7A1" w14:textId="77777777"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94407E9"/>
    <w:multiLevelType w:val="hybridMultilevel"/>
    <w:tmpl w:val="E1F87ECC"/>
    <w:lvl w:ilvl="0" w:tplc="6E4493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D4"/>
    <w:rsid w:val="00047376"/>
    <w:rsid w:val="0004740B"/>
    <w:rsid w:val="0008087D"/>
    <w:rsid w:val="000944C6"/>
    <w:rsid w:val="00096641"/>
    <w:rsid w:val="000B6557"/>
    <w:rsid w:val="000B6C75"/>
    <w:rsid w:val="000E1201"/>
    <w:rsid w:val="000F47EA"/>
    <w:rsid w:val="000F5694"/>
    <w:rsid w:val="001001A8"/>
    <w:rsid w:val="001118D2"/>
    <w:rsid w:val="00134208"/>
    <w:rsid w:val="0014347E"/>
    <w:rsid w:val="00147189"/>
    <w:rsid w:val="00153186"/>
    <w:rsid w:val="001976FC"/>
    <w:rsid w:val="001A2605"/>
    <w:rsid w:val="001A4A40"/>
    <w:rsid w:val="001A53F9"/>
    <w:rsid w:val="001A5E6D"/>
    <w:rsid w:val="001C4355"/>
    <w:rsid w:val="001C6D1F"/>
    <w:rsid w:val="001D4E7C"/>
    <w:rsid w:val="001D6B0D"/>
    <w:rsid w:val="001E3BF7"/>
    <w:rsid w:val="001E7CE0"/>
    <w:rsid w:val="001F375E"/>
    <w:rsid w:val="002024A3"/>
    <w:rsid w:val="0021014E"/>
    <w:rsid w:val="00243C06"/>
    <w:rsid w:val="00266A2E"/>
    <w:rsid w:val="00267C23"/>
    <w:rsid w:val="002829A7"/>
    <w:rsid w:val="00286749"/>
    <w:rsid w:val="0029057A"/>
    <w:rsid w:val="002958BA"/>
    <w:rsid w:val="00295DC4"/>
    <w:rsid w:val="002B7725"/>
    <w:rsid w:val="002C22FD"/>
    <w:rsid w:val="002C51C1"/>
    <w:rsid w:val="002C754C"/>
    <w:rsid w:val="002F1FE6"/>
    <w:rsid w:val="00317E61"/>
    <w:rsid w:val="0032307B"/>
    <w:rsid w:val="00327110"/>
    <w:rsid w:val="003673C0"/>
    <w:rsid w:val="003A2352"/>
    <w:rsid w:val="003D359B"/>
    <w:rsid w:val="003F2B21"/>
    <w:rsid w:val="003F6BF8"/>
    <w:rsid w:val="004000D0"/>
    <w:rsid w:val="00403057"/>
    <w:rsid w:val="00417F72"/>
    <w:rsid w:val="00421BF4"/>
    <w:rsid w:val="00424642"/>
    <w:rsid w:val="00432ED6"/>
    <w:rsid w:val="0043779A"/>
    <w:rsid w:val="0048628A"/>
    <w:rsid w:val="00491125"/>
    <w:rsid w:val="004A517D"/>
    <w:rsid w:val="004A7720"/>
    <w:rsid w:val="004C7FC5"/>
    <w:rsid w:val="004D2847"/>
    <w:rsid w:val="004E7FA3"/>
    <w:rsid w:val="00500AC2"/>
    <w:rsid w:val="0050561C"/>
    <w:rsid w:val="00507264"/>
    <w:rsid w:val="005072DE"/>
    <w:rsid w:val="00511E54"/>
    <w:rsid w:val="005158C3"/>
    <w:rsid w:val="00531F92"/>
    <w:rsid w:val="00537C3E"/>
    <w:rsid w:val="00557939"/>
    <w:rsid w:val="005709DC"/>
    <w:rsid w:val="005948DC"/>
    <w:rsid w:val="005B7128"/>
    <w:rsid w:val="005C2A1C"/>
    <w:rsid w:val="005E21DE"/>
    <w:rsid w:val="005F06FB"/>
    <w:rsid w:val="005F214E"/>
    <w:rsid w:val="005F5252"/>
    <w:rsid w:val="005F7CCC"/>
    <w:rsid w:val="00604448"/>
    <w:rsid w:val="00605A03"/>
    <w:rsid w:val="00612FCB"/>
    <w:rsid w:val="00631FD1"/>
    <w:rsid w:val="006765BC"/>
    <w:rsid w:val="006909A5"/>
    <w:rsid w:val="006A14FB"/>
    <w:rsid w:val="006B4443"/>
    <w:rsid w:val="006D72FA"/>
    <w:rsid w:val="006E5152"/>
    <w:rsid w:val="006E74EB"/>
    <w:rsid w:val="006F1045"/>
    <w:rsid w:val="007279BE"/>
    <w:rsid w:val="007327F2"/>
    <w:rsid w:val="0076387B"/>
    <w:rsid w:val="00787761"/>
    <w:rsid w:val="00787B60"/>
    <w:rsid w:val="007A1B70"/>
    <w:rsid w:val="007A5673"/>
    <w:rsid w:val="007B5D79"/>
    <w:rsid w:val="007C5772"/>
    <w:rsid w:val="007C5FD0"/>
    <w:rsid w:val="007E0A8B"/>
    <w:rsid w:val="007F0799"/>
    <w:rsid w:val="007F4C23"/>
    <w:rsid w:val="00804E03"/>
    <w:rsid w:val="008060CA"/>
    <w:rsid w:val="008061CD"/>
    <w:rsid w:val="0080683F"/>
    <w:rsid w:val="008170D0"/>
    <w:rsid w:val="00825E4A"/>
    <w:rsid w:val="008464DF"/>
    <w:rsid w:val="008519B9"/>
    <w:rsid w:val="00860505"/>
    <w:rsid w:val="00860DA6"/>
    <w:rsid w:val="00873815"/>
    <w:rsid w:val="00877CE8"/>
    <w:rsid w:val="0089127D"/>
    <w:rsid w:val="008966C7"/>
    <w:rsid w:val="008A044C"/>
    <w:rsid w:val="008A54A9"/>
    <w:rsid w:val="008B074C"/>
    <w:rsid w:val="008B2049"/>
    <w:rsid w:val="008C06CE"/>
    <w:rsid w:val="008C10FC"/>
    <w:rsid w:val="008D5479"/>
    <w:rsid w:val="008E26E0"/>
    <w:rsid w:val="008E51E4"/>
    <w:rsid w:val="009203F2"/>
    <w:rsid w:val="00922C89"/>
    <w:rsid w:val="00955E7C"/>
    <w:rsid w:val="009560E6"/>
    <w:rsid w:val="009567F9"/>
    <w:rsid w:val="009601C0"/>
    <w:rsid w:val="0096606D"/>
    <w:rsid w:val="00993169"/>
    <w:rsid w:val="009A1B72"/>
    <w:rsid w:val="009A324E"/>
    <w:rsid w:val="009C5E43"/>
    <w:rsid w:val="009E08DB"/>
    <w:rsid w:val="009E60CF"/>
    <w:rsid w:val="009F544E"/>
    <w:rsid w:val="00A30404"/>
    <w:rsid w:val="00A61EF9"/>
    <w:rsid w:val="00A66A1E"/>
    <w:rsid w:val="00A732CC"/>
    <w:rsid w:val="00A737A4"/>
    <w:rsid w:val="00A96513"/>
    <w:rsid w:val="00AA2F42"/>
    <w:rsid w:val="00AB264F"/>
    <w:rsid w:val="00AB75D7"/>
    <w:rsid w:val="00AC244E"/>
    <w:rsid w:val="00AE16D4"/>
    <w:rsid w:val="00AE3F58"/>
    <w:rsid w:val="00AF4DFB"/>
    <w:rsid w:val="00B02C1C"/>
    <w:rsid w:val="00B0541F"/>
    <w:rsid w:val="00B06190"/>
    <w:rsid w:val="00B103BD"/>
    <w:rsid w:val="00B25366"/>
    <w:rsid w:val="00B331FC"/>
    <w:rsid w:val="00B70BAF"/>
    <w:rsid w:val="00B73A3D"/>
    <w:rsid w:val="00B73E5C"/>
    <w:rsid w:val="00B90735"/>
    <w:rsid w:val="00B91219"/>
    <w:rsid w:val="00B941B3"/>
    <w:rsid w:val="00BA7DC1"/>
    <w:rsid w:val="00BC6559"/>
    <w:rsid w:val="00BD458D"/>
    <w:rsid w:val="00BD6EE5"/>
    <w:rsid w:val="00C06B33"/>
    <w:rsid w:val="00C10F38"/>
    <w:rsid w:val="00C15739"/>
    <w:rsid w:val="00C1787E"/>
    <w:rsid w:val="00C43D78"/>
    <w:rsid w:val="00C54094"/>
    <w:rsid w:val="00C91E98"/>
    <w:rsid w:val="00C9714F"/>
    <w:rsid w:val="00CC0C90"/>
    <w:rsid w:val="00CC0C91"/>
    <w:rsid w:val="00CC1CD6"/>
    <w:rsid w:val="00CC26A7"/>
    <w:rsid w:val="00CC556B"/>
    <w:rsid w:val="00CC5D11"/>
    <w:rsid w:val="00CD439C"/>
    <w:rsid w:val="00CE391F"/>
    <w:rsid w:val="00CE3C7C"/>
    <w:rsid w:val="00CE7677"/>
    <w:rsid w:val="00CF7D3F"/>
    <w:rsid w:val="00D032BE"/>
    <w:rsid w:val="00D20D1B"/>
    <w:rsid w:val="00D41346"/>
    <w:rsid w:val="00D47E4B"/>
    <w:rsid w:val="00D53226"/>
    <w:rsid w:val="00D63608"/>
    <w:rsid w:val="00D67E2F"/>
    <w:rsid w:val="00D70AA6"/>
    <w:rsid w:val="00D720FE"/>
    <w:rsid w:val="00D9209E"/>
    <w:rsid w:val="00D93655"/>
    <w:rsid w:val="00DD22C8"/>
    <w:rsid w:val="00DE58ED"/>
    <w:rsid w:val="00DE73DB"/>
    <w:rsid w:val="00E2570D"/>
    <w:rsid w:val="00E35F96"/>
    <w:rsid w:val="00E47C13"/>
    <w:rsid w:val="00E54E7F"/>
    <w:rsid w:val="00E55FF7"/>
    <w:rsid w:val="00E671F7"/>
    <w:rsid w:val="00E730FD"/>
    <w:rsid w:val="00E76A19"/>
    <w:rsid w:val="00E76CF8"/>
    <w:rsid w:val="00E850FA"/>
    <w:rsid w:val="00E87363"/>
    <w:rsid w:val="00E874CD"/>
    <w:rsid w:val="00E94E3A"/>
    <w:rsid w:val="00E9699E"/>
    <w:rsid w:val="00E96A7E"/>
    <w:rsid w:val="00EA3547"/>
    <w:rsid w:val="00EA3EC5"/>
    <w:rsid w:val="00EA590F"/>
    <w:rsid w:val="00EB562B"/>
    <w:rsid w:val="00EB6D58"/>
    <w:rsid w:val="00EC60EC"/>
    <w:rsid w:val="00ED40D9"/>
    <w:rsid w:val="00EE3561"/>
    <w:rsid w:val="00EF1B15"/>
    <w:rsid w:val="00F05C20"/>
    <w:rsid w:val="00F20520"/>
    <w:rsid w:val="00F23451"/>
    <w:rsid w:val="00F35D6A"/>
    <w:rsid w:val="00F35F74"/>
    <w:rsid w:val="00F42A86"/>
    <w:rsid w:val="00F5335A"/>
    <w:rsid w:val="00F60798"/>
    <w:rsid w:val="00F62CB8"/>
    <w:rsid w:val="00F725A0"/>
    <w:rsid w:val="00F75828"/>
    <w:rsid w:val="00F775C1"/>
    <w:rsid w:val="00F816D4"/>
    <w:rsid w:val="00F823AC"/>
    <w:rsid w:val="00FB6B50"/>
    <w:rsid w:val="00FC0AC9"/>
    <w:rsid w:val="00FC3942"/>
    <w:rsid w:val="00FD6773"/>
    <w:rsid w:val="00FD7848"/>
    <w:rsid w:val="00FE2059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C440"/>
  <w15:docId w15:val="{27336D28-7178-4A6E-9B13-B27AC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BE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character" w:customStyle="1" w:styleId="mechtexChar">
    <w:name w:val="mechtex Char"/>
    <w:link w:val="mechtex"/>
    <w:locked/>
    <w:rsid w:val="00ED40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D40D9"/>
    <w:pPr>
      <w:jc w:val="center"/>
    </w:pPr>
    <w:rPr>
      <w:rFonts w:ascii="Arial Armenian" w:eastAsiaTheme="minorHAnsi" w:hAnsi="Arial Armeni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Hovhannisyan</cp:lastModifiedBy>
  <cp:revision>78</cp:revision>
  <cp:lastPrinted>2021-03-12T12:53:00Z</cp:lastPrinted>
  <dcterms:created xsi:type="dcterms:W3CDTF">2021-03-18T12:43:00Z</dcterms:created>
  <dcterms:modified xsi:type="dcterms:W3CDTF">2022-12-14T11:02:00Z</dcterms:modified>
</cp:coreProperties>
</file>