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B84" w:rsidRPr="00BC3B84" w:rsidRDefault="00BC3B84" w:rsidP="00BC3B8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bookmarkStart w:id="0" w:name="_GoBack"/>
      <w:bookmarkEnd w:id="0"/>
    </w:p>
    <w:p w:rsidR="00BC3B84" w:rsidRDefault="00BC3B84" w:rsidP="00BC3B84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«ՍԵՎԱՆԻ ՋՐԱՎԱԶԱՆԱՅԻՆ ԿԱՌԱՎԱՐՄԱՆ ՏԱՐԱԾՔԻ 2022-2027 ԹՎԱԿԱՆՆԵՐԻ ԿԱՌԱՎԱՐՄԱՆ ՊԼԱՆԸ ՀԱՍՏԱՏԵԼՈՒ ՄԱՍԻՆ» ՀԱՅԱՍՏԱՆԻ ՀԱՆՐԱՊԵՏՈՒԹՅԱՆ ԿԱՌԱՎԱՐՈՒԹՅԱՆ ՈՐՈՇՄԱՆ ԸՆԴՈՒՆՄԱՆ ՎԵՐԱԲԵՐՅԱԼ</w:t>
      </w:r>
    </w:p>
    <w:p w:rsidR="00BC3B84" w:rsidRDefault="00BC3B84" w:rsidP="00BC3B84">
      <w:pPr>
        <w:spacing w:after="0" w:line="360" w:lineRule="auto"/>
        <w:ind w:left="720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C3B84" w:rsidRDefault="00BC3B84" w:rsidP="00BC3B84">
      <w:pPr>
        <w:pStyle w:val="ListParagraph"/>
        <w:numPr>
          <w:ilvl w:val="0"/>
          <w:numId w:val="12"/>
        </w:numPr>
        <w:spacing w:after="0" w:line="360" w:lineRule="auto"/>
        <w:rPr>
          <w:rFonts w:ascii="GHEA Grapalat" w:hAnsi="GHEA Grapalat" w:cs="Calibri"/>
          <w:b/>
          <w:sz w:val="24"/>
        </w:rPr>
      </w:pPr>
      <w:r>
        <w:rPr>
          <w:rFonts w:ascii="GHEA Grapalat" w:hAnsi="GHEA Grapalat" w:cs="Sylfaen"/>
          <w:b/>
          <w:sz w:val="24"/>
        </w:rPr>
        <w:t>Իրավական ակտի</w:t>
      </w:r>
      <w:r>
        <w:rPr>
          <w:rFonts w:ascii="GHEA Grapalat" w:hAnsi="GHEA Grapalat" w:cs="Calibri"/>
          <w:b/>
          <w:sz w:val="24"/>
        </w:rPr>
        <w:t xml:space="preserve"> ընդունման անհրաժեշտությունը </w:t>
      </w:r>
    </w:p>
    <w:p w:rsidR="00BC3B84" w:rsidRDefault="00BC3B84" w:rsidP="00BC3B84">
      <w:pPr>
        <w:spacing w:after="0" w:line="360" w:lineRule="auto"/>
        <w:ind w:left="720"/>
        <w:rPr>
          <w:rFonts w:ascii="GHEA Grapalat" w:eastAsia="Times New Roman" w:hAnsi="GHEA Grapalat" w:cs="Calibri"/>
          <w:b/>
          <w:sz w:val="24"/>
          <w:szCs w:val="24"/>
          <w:u w:val="single"/>
          <w:lang w:val="en-US"/>
        </w:rPr>
      </w:pPr>
    </w:p>
    <w:p w:rsidR="00BC3B84" w:rsidRDefault="00BC3B84" w:rsidP="00BC3B8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6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«Սևանի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ջրավազանային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տարածքի 2022-2027 թվականների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պլանը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հաստատելու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մասին» կառավարության որոշման նախագիծ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ը մշակվել է հիմք ընդունելով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ջրային օրենսգրքի 17-րդ հոդվածը, «Ջրի ազգային քաղաքականության հիմնադրույթների մասին» օրենքի 15-րդ հոդվածը</w:t>
      </w:r>
      <w:r>
        <w:rPr>
          <w:rFonts w:ascii="GHEA Grapalat" w:hAnsi="GHEA Grapalat"/>
          <w:sz w:val="24"/>
          <w:szCs w:val="26"/>
          <w:lang w:val="hy-AM"/>
        </w:rPr>
        <w:t>:</w:t>
      </w:r>
    </w:p>
    <w:p w:rsidR="00BC3B84" w:rsidRDefault="00BC3B84" w:rsidP="00BC3B8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 w:cs="Sylfaen"/>
          <w:sz w:val="24"/>
          <w:szCs w:val="26"/>
          <w:lang w:val="hy-AM"/>
        </w:rPr>
        <w:t>Ջրավազանային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կառավարման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պլանի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հիմնական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նպատակն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է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հավասարակշռել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ջրօգտագործողների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ներառյալ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գյուղատնտեսության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ձկնաբուծության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արդյունաբերության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էներգետիկայի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և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շրջակա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միջավայրի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փոխկապակցված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հարաբերությունները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ինչպես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նաև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աջակցելու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ջրային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ռեսուրսների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կառավարման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համար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պատասխանատու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մարմիններին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վարչական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մարմիններին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և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հանրությանը՝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ջրային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ռեսուրսների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ոլորտում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որոշումների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կայացմանը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և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վերջին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հաշվով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դրանց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ռացիոնալ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և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արդյունավետ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օգտագործմանը</w:t>
      </w:r>
      <w:r>
        <w:rPr>
          <w:rFonts w:ascii="GHEA Grapalat" w:hAnsi="GHEA Grapalat"/>
          <w:sz w:val="24"/>
          <w:szCs w:val="26"/>
          <w:lang w:val="hy-AM"/>
        </w:rPr>
        <w:t>:</w:t>
      </w:r>
    </w:p>
    <w:p w:rsidR="00BC3B84" w:rsidRDefault="00BC3B84" w:rsidP="00BC3B8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6"/>
          <w:lang w:val="hy-AM"/>
        </w:rPr>
      </w:pPr>
    </w:p>
    <w:p w:rsidR="00BC3B84" w:rsidRDefault="00BC3B84" w:rsidP="00BC3B84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 w:cs="Sylfaen"/>
          <w:sz w:val="24"/>
          <w:szCs w:val="22"/>
          <w:lang w:val="hy-AM"/>
        </w:rPr>
      </w:pPr>
      <w:r>
        <w:rPr>
          <w:rFonts w:ascii="GHEA Grapalat" w:hAnsi="GHEA Grapalat" w:cs="AK Courier"/>
          <w:b/>
          <w:sz w:val="24"/>
          <w:lang w:val="hy-AM"/>
        </w:rPr>
        <w:t>Ընթացիկ իրավիճակը և խնդիրները</w:t>
      </w:r>
    </w:p>
    <w:p w:rsidR="00BC3B84" w:rsidRDefault="00BC3B84" w:rsidP="00BC3B84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6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Սևանի</w:t>
      </w:r>
      <w:r>
        <w:rPr>
          <w:rFonts w:ascii="GHEA Grapalat" w:hAnsi="GHEA Grapalat"/>
          <w:sz w:val="24"/>
          <w:szCs w:val="24"/>
          <w:lang w:val="hy-AM"/>
        </w:rPr>
        <w:t xml:space="preserve"> ջրավազանային կառավարման տարածքը </w:t>
      </w:r>
      <w:r>
        <w:rPr>
          <w:rFonts w:ascii="GHEA Grapalat" w:hAnsi="GHEA Grapalat" w:cs="Sylfaen"/>
          <w:sz w:val="24"/>
          <w:szCs w:val="24"/>
          <w:lang w:val="hy-AM"/>
        </w:rPr>
        <w:t>գտնվումէ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արևելյան մասում: Սևանա լճի ավազանը զբաղեցնում է Հայաստանի ամբողջ տարածքի 1/6 մասը: Սևանի ՋԿՏ մակերեսը կազմում է 4721 կմ</w:t>
      </w:r>
      <w:r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: Սևանի ՋԿՏ ներառում է Սևանա լիճն իր ջրհավաք ավազանով: Սևանա լճի ջրհավաք ավազանն այն տարածքն է, որտեղից մակերևութային և ստորերկրյա ջրերը հոսում են դեպի լիճ: «Սևանա լճի մասին» օրենքի համաձայն Կեչուտի և Սպանդարյանի ջրամբարները, </w:t>
      </w:r>
      <w:r>
        <w:rPr>
          <w:rFonts w:ascii="GHEA Grapalat" w:hAnsi="GHEA Grapalat"/>
          <w:sz w:val="24"/>
          <w:szCs w:val="24"/>
          <w:lang w:val="hy-AM"/>
        </w:rPr>
        <w:lastRenderedPageBreak/>
        <w:t>ինչպես նաև Արփա և Որոտան գետերի ջրհավաք ավազանները համարվում են Սևանա լճի ջրհավաք ավազանի մաս, քանի որ  այդտեղից ջուրը հասնում է Սևանա լիճ Արփա-Սևան թունելով : Չնայած այս տարածքները չեն համարվում Սևանի ՋԿՏ-ի մաս, սակայն ջրային հաշվեկշռի հաշվարկի ժամանակ Արփա-Սևան թունելով ջրի տեղափոխումը ևս հաշվի է առնվում ։ Սևանա լիճ  են թափվում 28 գետեր և միայն Հրազդան գետն է սկիզբ առնում լճից:</w:t>
      </w:r>
    </w:p>
    <w:p w:rsidR="00BC3B84" w:rsidRDefault="00BC3B84" w:rsidP="00BC3B84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«Սևանի ջրավազանային կառավարման տարածքի 2022-2027 թվականների կառավարման պլանը հաստատելու մասին» կառավարության որոշման նախագծում ներառված են՝ </w:t>
      </w:r>
      <w:r>
        <w:rPr>
          <w:rFonts w:ascii="GHEA Grapalat" w:hAnsi="GHEA Grapalat"/>
          <w:sz w:val="24"/>
          <w:szCs w:val="26"/>
          <w:lang w:val="hy-AM"/>
        </w:rPr>
        <w:t>ջրավազանային կառավարման տարածքի և ջրային ռեսուրսների   ընդհանուր նկարագիրը,օգտագործելի ջրային ռեսուրսների, ռազմավարական և ազգային ջրային պաշարների հաշվարկը, գետերի էկոլոգիական թողքերի հաշվարկները, ջրավազանում ճնշումների և ազդեցությունների վերլուծությունը,2022-2027թթ. համար ջրի առաջարկի կանխատեսման և ջրի պահանջարկի հետ համադրման միջոցով ջրային ռեսուրսի ավելցուկի և պակասուրդի գնահատումը, ինչպես նաև միջոցառումների ծրագիրը։</w:t>
      </w:r>
    </w:p>
    <w:p w:rsidR="00BC3B84" w:rsidRDefault="00BC3B84" w:rsidP="00BC3B84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Ջրավազանային կառավարման սույն պլանի առանցքը միջոցառումների ծրագիրն է, որի նպատակն է հասնել մակերևութային ու ստորերկրյա ջրային ռեսուրսների և դրանց հարակից էկոհամակարգերի համար սահմանված էկոլոգիական «լավ» կարգավիճակի: Միջոցառումների ծրագիրը հիմնվում է ջրավազանի ելակետային պայմանների, ինչպես նաև էական մարդածին ճնշումների ու ջրային ռեսուրսների ազդեցության վերլուծության վրա: Շարժիչ ուժեր-ճնշումներ-ազդեցություններ վերլուծության արդյունքում բացահայտվում են խնդրահարույց տեղանքներն ու ռիսկային ջրային մարմինները: Յուրաքանչյուր ռիսկային ջրային մարմնի համար մշակվել է միջոցառումների ծրագիր, ինչը նշանակում է, որ միջոցառումների ծրագիրը հատուկ է տեղանքին ու ճնշմանը: </w:t>
      </w:r>
    </w:p>
    <w:p w:rsidR="00BC3B84" w:rsidRDefault="00BC3B84" w:rsidP="00BC3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Ջրավազանային կառավարման պլանի հիմնական խնդիրներն են.</w:t>
      </w:r>
    </w:p>
    <w:p w:rsidR="00BC3B84" w:rsidRDefault="00BC3B84" w:rsidP="00BC3B8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lastRenderedPageBreak/>
        <w:t xml:space="preserve">ջրային ռեսուրսների արդյունավետ բաշխման միջոցով՝ մակերևութային և ստորերկրյա ջրային ռեսուրսների պահպանությունը, </w:t>
      </w:r>
    </w:p>
    <w:p w:rsidR="00BC3B84" w:rsidRDefault="00BC3B84" w:rsidP="00BC3B8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բարելավել վատթարացված ջրային մարմինների կարգավիճակը (որակական և քանակական), </w:t>
      </w:r>
    </w:p>
    <w:p w:rsidR="00BC3B84" w:rsidRDefault="00BC3B84" w:rsidP="00BC3B8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կանխել բոլոր ջրային մարմինների հետագա վատթարացումը, </w:t>
      </w:r>
    </w:p>
    <w:p w:rsidR="00BC3B84" w:rsidRDefault="00BC3B84" w:rsidP="00BC3B84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խթանել կայուն ջրօգտագործումը:</w:t>
      </w:r>
    </w:p>
    <w:p w:rsidR="00BC3B84" w:rsidRDefault="00BC3B84" w:rsidP="00BC3B8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</w:p>
    <w:p w:rsidR="00BC3B84" w:rsidRDefault="00BC3B84" w:rsidP="00BC3B84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 w:cs="AK Courier"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>Կարգավորման նպատակը և բնույթը</w:t>
      </w:r>
    </w:p>
    <w:p w:rsidR="00BC3B84" w:rsidRDefault="00BC3B84" w:rsidP="00BC3B84">
      <w:pPr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«Սևանի ջրավազանային կառավարման տարածքի 2022-2027 թվականների կառավարման պլանը և միջոցառումների ծրագիրը հաստատելու մասին» կառավարության որոշման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 որոշման ընդունմամբ կհստակեցվեն Սևանի ջրավազանային կառավարման տարածքի ջրօգտագործուղների ներառյալ՝ համայնքների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էներգետիկայի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արդյունաբերության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գյուղատնտեսության և շրջակա միջավայրի փոխկապակցված հարաբերությունները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: </w:t>
      </w:r>
    </w:p>
    <w:p w:rsidR="00BC3B84" w:rsidRDefault="00BC3B84" w:rsidP="00BC3B84">
      <w:pPr>
        <w:pStyle w:val="norm"/>
        <w:spacing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Սույն ՀՀ կառավարության որոշման ընդունումը հնարավորություն կտա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Սևանի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ջրավազանային կառավարման տարածքում հավասարակշռել ջրային ռեսուրսների առաջարկը և պահանջարկը, միջոցառումների ծրագրի իրականցման արդյունքում բարելավել ջրային մարմինների կարգավիճակը:</w:t>
      </w:r>
    </w:p>
    <w:p w:rsidR="00BC3B84" w:rsidRDefault="00BC3B84" w:rsidP="00BC3B84">
      <w:pPr>
        <w:pStyle w:val="ListParagraph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720"/>
        <w:jc w:val="both"/>
        <w:rPr>
          <w:rFonts w:ascii="GHEA Grapalat" w:hAnsi="GHEA Grapalat" w:cs="Calibri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>Նախագծի մշակման գործընթացում ներգրավված ինստիտուտները և անձինք</w:t>
      </w:r>
    </w:p>
    <w:p w:rsidR="00BC3B84" w:rsidRDefault="00BC3B84" w:rsidP="00BC3B84">
      <w:pPr>
        <w:pStyle w:val="ListParagraph"/>
        <w:numPr>
          <w:ilvl w:val="0"/>
          <w:numId w:val="0"/>
        </w:numPr>
        <w:spacing w:after="0" w:line="360" w:lineRule="auto"/>
        <w:jc w:val="both"/>
        <w:rPr>
          <w:rFonts w:ascii="GHEA Grapalat" w:eastAsiaTheme="minorHAnsi" w:hAnsi="GHEA Grapalat" w:cs="Sylfaen"/>
          <w:color w:val="000000"/>
          <w:sz w:val="24"/>
          <w:lang w:val="hy-AM" w:eastAsia="ru-RU"/>
        </w:rPr>
      </w:pPr>
      <w:r>
        <w:rPr>
          <w:rFonts w:ascii="GHEA Grapalat" w:eastAsiaTheme="minorHAnsi" w:hAnsi="GHEA Grapalat" w:cs="Sylfaen"/>
          <w:color w:val="000000"/>
          <w:sz w:val="24"/>
          <w:lang w:val="fr-FR" w:eastAsia="ru-RU"/>
        </w:rPr>
        <w:tab/>
      </w:r>
      <w:r>
        <w:rPr>
          <w:rFonts w:ascii="GHEA Grapalat" w:hAnsi="GHEA Grapalat" w:cs="Sylfaen"/>
          <w:sz w:val="24"/>
          <w:lang w:val="hy-AM"/>
        </w:rPr>
        <w:t xml:space="preserve">«Սևանի ջրավազանային կառավարման տարածքի 2022-2027 թվականների կառավարման պլանը հաստատելու մասին» կառավարության որոշման 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t xml:space="preserve">նախագիծը մշակվել շրջակա միջակա միջավայրի նախարարության կողմից` </w:t>
      </w:r>
      <w:r>
        <w:rPr>
          <w:rFonts w:ascii="GHEA Grapalat" w:eastAsiaTheme="minorHAnsi" w:hAnsi="GHEA Grapalat" w:cs="Sylfaen"/>
          <w:color w:val="000000"/>
          <w:sz w:val="24"/>
          <w:lang w:val="fr-FR" w:eastAsia="ru-RU"/>
        </w:rPr>
        <w:t>ԵՄ «Ջրային նախաձեռնություն պլյուս» ծրագրի աջակցությամբ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t>։</w:t>
      </w:r>
    </w:p>
    <w:p w:rsidR="00BC3B84" w:rsidRDefault="00BC3B84" w:rsidP="00BC3B84">
      <w:pPr>
        <w:spacing w:after="0" w:line="360" w:lineRule="auto"/>
        <w:ind w:firstLine="43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tab/>
      </w:r>
      <w:r>
        <w:rPr>
          <w:rFonts w:ascii="GHEA Grapalat" w:hAnsi="GHEA Grapalat"/>
          <w:sz w:val="24"/>
          <w:szCs w:val="24"/>
          <w:lang w:val="hy-AM"/>
        </w:rPr>
        <w:t>Համաձայն «Շրջակա միջավայրի վրա ազդեցության գնահատման և փորձաքննության մասին» օրենքի 4-րդ հոդվածի 1-ին կետի 6-րդ ենթակետի՝</w:t>
      </w:r>
      <w:r>
        <w:rPr>
          <w:rFonts w:ascii="GHEA Grapalat" w:hAnsi="GHEA Grapalat" w:cs="Sylfaen"/>
          <w:sz w:val="24"/>
          <w:lang w:val="hy-AM"/>
        </w:rPr>
        <w:t xml:space="preserve">Սևանիջրավազանային կառավարման տարածքի 2022-2027 թվականների </w:t>
      </w:r>
      <w:r>
        <w:rPr>
          <w:rFonts w:ascii="GHEA Grapalat" w:hAnsi="GHEA Grapalat" w:cs="Sylfaen"/>
          <w:sz w:val="24"/>
          <w:lang w:val="hy-AM"/>
        </w:rPr>
        <w:lastRenderedPageBreak/>
        <w:t xml:space="preserve">կառավարման պլանը </w:t>
      </w:r>
      <w:r>
        <w:rPr>
          <w:rFonts w:ascii="GHEA Grapalat" w:hAnsi="GHEA Grapalat"/>
          <w:sz w:val="24"/>
          <w:szCs w:val="24"/>
          <w:lang w:val="hy-AM"/>
        </w:rPr>
        <w:t>համարվում է հիմնադրութային փաստաթուղթ, իսկ համաձայն նույն օրենքի 14-րդ հոդվածի 1-ին մասի, հիմնադրութային փաստաթղթերը ենթակա են շրջակա միջավայրի վրա ազդեցության ռազմավարական գնահատման և փորձաքննության:</w:t>
      </w:r>
    </w:p>
    <w:p w:rsidR="00BC3B84" w:rsidRDefault="00BC3B84" w:rsidP="00BC3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Շրջակա միջավայրի վրա ազդեցության ռազմավարական գնահատման և փորձաքննության արդյունքում </w:t>
      </w:r>
      <w:r>
        <w:rPr>
          <w:rFonts w:ascii="GHEA Grapalat" w:hAnsi="GHEA Grapalat" w:cs="Sylfaen"/>
          <w:sz w:val="24"/>
          <w:lang w:val="hy-AM"/>
        </w:rPr>
        <w:t>Սևանի ջրավազանային կառավարման տարածքի 2022-2027 թվականների կառավարման պլանը ստացել է դրական եզրակացություն (պատճենը` կցվում է)։</w:t>
      </w:r>
    </w:p>
    <w:p w:rsidR="00BC3B84" w:rsidRDefault="00BC3B84" w:rsidP="00BC3B84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>Իրավական ակտի կիրառման դեպքում ակնկալվող արդյունքը</w:t>
      </w:r>
    </w:p>
    <w:p w:rsidR="00BC3B84" w:rsidRDefault="00BC3B84" w:rsidP="00BC3B84">
      <w:pPr>
        <w:spacing w:after="0" w:line="360" w:lineRule="auto"/>
        <w:jc w:val="both"/>
        <w:rPr>
          <w:rFonts w:ascii="GHEA Grapalat" w:eastAsiaTheme="minorHAnsi" w:hAnsi="GHEA Grapalat" w:cs="Sylfaen"/>
          <w:color w:val="000000"/>
          <w:sz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lang w:val="hy-AM"/>
        </w:rPr>
        <w:t xml:space="preserve">«Սևանի ջրավազանային կառավարման տարածքի 2022-2027 թվականների կառավարման պլանը հաստատելու մասին» կառավարության որոշման 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t>ընդունմամբ հնարավոր կլինի Սևանի ջրավազանային տարածքում հասնել ջրային ռեսուրսների լավ է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կո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լո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գիական կար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գավիճակի, ինչ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պես նաև աջակցել ջրա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յին ռե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սուրսների կառավարման հա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մար պա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տասխանատու մարմիններին ջրային ռեսուրսների ոլորտում ո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րո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շումներ կա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յաց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նելիս:</w:t>
      </w:r>
    </w:p>
    <w:p w:rsidR="00BC3B84" w:rsidRDefault="00BC3B84" w:rsidP="00BC3B84">
      <w:pPr>
        <w:pStyle w:val="ListParagraph"/>
        <w:numPr>
          <w:ilvl w:val="0"/>
          <w:numId w:val="12"/>
        </w:numPr>
        <w:tabs>
          <w:tab w:val="left" w:pos="426"/>
        </w:tabs>
        <w:spacing w:line="360" w:lineRule="auto"/>
        <w:ind w:left="0" w:firstLine="993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BC3B84" w:rsidRDefault="00BC3B84" w:rsidP="00BC3B84">
      <w:pPr>
        <w:pStyle w:val="ListParagraph"/>
        <w:numPr>
          <w:ilvl w:val="0"/>
          <w:numId w:val="0"/>
        </w:numPr>
        <w:tabs>
          <w:tab w:val="left" w:pos="426"/>
        </w:tabs>
        <w:spacing w:line="360" w:lineRule="auto"/>
        <w:ind w:firstLine="851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«Սևանի ջրավազանային կառավարման տարածքի 2022-2027 թվականների կառավարման պլանը հաստատելու մասին» կառավարության որոշման նախագծի </w:t>
      </w:r>
      <w:r>
        <w:rPr>
          <w:rFonts w:ascii="GHEA Grapalat" w:hAnsi="GHEA Grapalat"/>
          <w:iCs/>
          <w:sz w:val="24"/>
          <w:lang w:val="hy-AM" w:eastAsia="ru-RU"/>
        </w:rPr>
        <w:t xml:space="preserve">ընդունման կապակցությամբ առաջանում է անհրաժեշտություն լրացուցիչ ֆինանսական միջոցների (տես` Հավելվածի Գլուխ XIV աղյուսակ </w:t>
      </w:r>
      <w:r w:rsidRPr="00BC3B84">
        <w:rPr>
          <w:rFonts w:ascii="GHEA Grapalat" w:hAnsi="GHEA Grapalat"/>
          <w:iCs/>
          <w:sz w:val="24"/>
          <w:lang w:val="hy-AM" w:eastAsia="ru-RU"/>
        </w:rPr>
        <w:t>85</w:t>
      </w:r>
      <w:r>
        <w:rPr>
          <w:rFonts w:ascii="GHEA Grapalat" w:hAnsi="GHEA Grapalat"/>
          <w:iCs/>
          <w:sz w:val="24"/>
          <w:lang w:val="hy-AM" w:eastAsia="ru-RU"/>
        </w:rPr>
        <w:t>):</w:t>
      </w:r>
    </w:p>
    <w:p w:rsidR="00BC3B84" w:rsidRDefault="00BC3B84" w:rsidP="00BC3B84">
      <w:pPr>
        <w:pStyle w:val="ListParagraph"/>
        <w:numPr>
          <w:ilvl w:val="0"/>
          <w:numId w:val="12"/>
        </w:numPr>
        <w:spacing w:line="360" w:lineRule="auto"/>
        <w:ind w:left="0" w:firstLine="810"/>
        <w:jc w:val="both"/>
        <w:rPr>
          <w:rFonts w:ascii="GHEA Grapalat" w:eastAsia="Calibri" w:hAnsi="GHEA Grapalat" w:cs="Arial Armenian"/>
          <w:b/>
          <w:sz w:val="24"/>
          <w:lang w:val="hy-AM"/>
        </w:rPr>
      </w:pPr>
      <w:r>
        <w:rPr>
          <w:rFonts w:ascii="GHEA Grapalat" w:hAnsi="GHEA Grapalat" w:cs="Arial Armenian"/>
          <w:b/>
          <w:sz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 w:cs="Arial Armenian"/>
          <w:bCs/>
          <w:sz w:val="24"/>
          <w:lang w:val="hy-AM"/>
        </w:rPr>
        <w:t>.</w:t>
      </w:r>
    </w:p>
    <w:p w:rsidR="00BC3B84" w:rsidRDefault="00BC3B84" w:rsidP="00BC3B84">
      <w:pPr>
        <w:pStyle w:val="mechtex"/>
        <w:spacing w:line="360" w:lineRule="auto"/>
        <w:ind w:firstLine="720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 w:cs="Sylfaen"/>
          <w:lang w:val="hy-AM"/>
        </w:rPr>
        <w:t xml:space="preserve">«Սևանի ջրավազանային կառավարման տարածքի 2022-2027 թվականների կառավարման պլանը հաստատելու մասին» կառավարության որոշման նախագծի </w:t>
      </w:r>
      <w:r>
        <w:rPr>
          <w:rFonts w:ascii="GHEA Grapalat" w:hAnsi="GHEA Grapalat" w:cs="Sylfaen"/>
          <w:lang w:val="hy-AM"/>
        </w:rPr>
        <w:lastRenderedPageBreak/>
        <w:t>մշակումը բխում է</w:t>
      </w:r>
      <w:r>
        <w:rPr>
          <w:rFonts w:ascii="GHEA Grapalat" w:hAnsi="GHEA Grapalat"/>
          <w:szCs w:val="24"/>
          <w:lang w:val="hy-AM"/>
        </w:rPr>
        <w:t xml:space="preserve"> Կառավարության 2021</w:t>
      </w:r>
      <w:r>
        <w:rPr>
          <w:rFonts w:ascii="GHEA Grapalat" w:hAnsi="GHEA Grapalat" w:cstheme="minorBidi"/>
          <w:szCs w:val="24"/>
          <w:lang w:val="hy-AM"/>
        </w:rPr>
        <w:t>թ</w:t>
      </w:r>
      <w:r>
        <w:rPr>
          <w:rFonts w:ascii="GHEA Grapalat" w:hAnsi="GHEA Grapalat"/>
          <w:szCs w:val="24"/>
          <w:lang w:val="hy-AM"/>
        </w:rPr>
        <w:t xml:space="preserve">. </w:t>
      </w:r>
      <w:r>
        <w:rPr>
          <w:rFonts w:ascii="GHEA Grapalat" w:hAnsi="GHEA Grapalat" w:cstheme="minorBidi"/>
          <w:szCs w:val="24"/>
          <w:lang w:val="hy-AM"/>
        </w:rPr>
        <w:t>նոյեմբերի</w:t>
      </w:r>
      <w:r>
        <w:rPr>
          <w:rFonts w:ascii="GHEA Grapalat" w:hAnsi="GHEA Grapalat"/>
          <w:szCs w:val="24"/>
          <w:lang w:val="hy-AM"/>
        </w:rPr>
        <w:t xml:space="preserve"> 18-</w:t>
      </w:r>
      <w:r>
        <w:rPr>
          <w:rFonts w:ascii="GHEA Grapalat" w:hAnsi="GHEA Grapalat" w:cstheme="minorBidi"/>
          <w:szCs w:val="24"/>
          <w:lang w:val="hy-AM"/>
        </w:rPr>
        <w:t>ի</w:t>
      </w:r>
      <w:r>
        <w:rPr>
          <w:rFonts w:ascii="GHEA Grapalat" w:hAnsi="GHEA Grapalat"/>
          <w:szCs w:val="24"/>
          <w:lang w:val="hy-AM"/>
        </w:rPr>
        <w:t xml:space="preserve"> «</w:t>
      </w:r>
      <w:r>
        <w:rPr>
          <w:rFonts w:ascii="GHEA Grapalat" w:hAnsi="GHEA Grapalat" w:cstheme="minorBidi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szCs w:val="24"/>
          <w:lang w:val="hy-AM"/>
        </w:rPr>
        <w:t xml:space="preserve"> 2021-2026 </w:t>
      </w:r>
      <w:r>
        <w:rPr>
          <w:rFonts w:ascii="GHEA Grapalat" w:hAnsi="GHEA Grapalat" w:cstheme="minorBidi"/>
          <w:szCs w:val="24"/>
          <w:lang w:val="hy-AM"/>
        </w:rPr>
        <w:t>թվականների գործունեության միջոցառումների ծրագիրը հաստատելումասին</w:t>
      </w:r>
      <w:r>
        <w:rPr>
          <w:rFonts w:ascii="GHEA Grapalat" w:hAnsi="GHEA Grapalat"/>
          <w:szCs w:val="24"/>
          <w:lang w:val="hy-AM"/>
        </w:rPr>
        <w:t>» N 1902-</w:t>
      </w:r>
      <w:r>
        <w:rPr>
          <w:rFonts w:ascii="GHEA Grapalat" w:hAnsi="GHEA Grapalat" w:cstheme="minorBidi"/>
          <w:szCs w:val="24"/>
          <w:lang w:val="hy-AM"/>
        </w:rPr>
        <w:t xml:space="preserve">Լ </w:t>
      </w:r>
      <w:r>
        <w:rPr>
          <w:rFonts w:ascii="GHEA Grapalat" w:hAnsi="GHEA Grapalat"/>
          <w:szCs w:val="24"/>
          <w:lang w:val="hy-AM"/>
        </w:rPr>
        <w:t>որոշմամբ հաստատված հավելված N1-ի 1.1 կետից։</w:t>
      </w:r>
    </w:p>
    <w:p w:rsidR="00BC3B84" w:rsidRDefault="00BC3B84" w:rsidP="00BC3B84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BC3B84" w:rsidRDefault="00BC3B84" w:rsidP="00BC3B84">
      <w:pPr>
        <w:spacing w:line="360" w:lineRule="auto"/>
        <w:rPr>
          <w:rFonts w:ascii="GHEA Grapalat" w:hAnsi="GHEA Grapalat"/>
          <w:lang w:val="hy-AM"/>
        </w:rPr>
      </w:pPr>
    </w:p>
    <w:p w:rsidR="00E61B2C" w:rsidRPr="00BC3B84" w:rsidRDefault="00E61B2C" w:rsidP="00BC3B84">
      <w:pPr>
        <w:rPr>
          <w:lang w:val="hy-AM"/>
        </w:rPr>
      </w:pPr>
    </w:p>
    <w:sectPr w:rsidR="00E61B2C" w:rsidRPr="00BC3B84" w:rsidSect="0026079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02F" w:rsidRDefault="0056702F" w:rsidP="007F1F79">
      <w:pPr>
        <w:spacing w:after="0" w:line="240" w:lineRule="auto"/>
      </w:pPr>
      <w:r>
        <w:separator/>
      </w:r>
    </w:p>
  </w:endnote>
  <w:endnote w:type="continuationSeparator" w:id="0">
    <w:p w:rsidR="0056702F" w:rsidRDefault="0056702F" w:rsidP="007F1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02F" w:rsidRDefault="0056702F" w:rsidP="007F1F79">
      <w:pPr>
        <w:spacing w:after="0" w:line="240" w:lineRule="auto"/>
      </w:pPr>
      <w:r>
        <w:separator/>
      </w:r>
    </w:p>
  </w:footnote>
  <w:footnote w:type="continuationSeparator" w:id="0">
    <w:p w:rsidR="0056702F" w:rsidRDefault="0056702F" w:rsidP="007F1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6455"/>
    <w:multiLevelType w:val="hybridMultilevel"/>
    <w:tmpl w:val="6786DD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82366"/>
    <w:multiLevelType w:val="hybridMultilevel"/>
    <w:tmpl w:val="E76CC16A"/>
    <w:lvl w:ilvl="0" w:tplc="8536EC1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C16506"/>
    <w:multiLevelType w:val="hybridMultilevel"/>
    <w:tmpl w:val="CDB2D3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A362C"/>
    <w:multiLevelType w:val="hybridMultilevel"/>
    <w:tmpl w:val="DC623B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AE10A42"/>
    <w:multiLevelType w:val="hybridMultilevel"/>
    <w:tmpl w:val="DB90B5E0"/>
    <w:lvl w:ilvl="0" w:tplc="F06881D0">
      <w:start w:val="1"/>
      <w:numFmt w:val="decimal"/>
      <w:lvlText w:val="%1."/>
      <w:lvlJc w:val="left"/>
      <w:pPr>
        <w:ind w:left="862" w:hanging="720"/>
      </w:pPr>
      <w:rPr>
        <w:rFonts w:cs="Times New Roman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8F10A5"/>
    <w:multiLevelType w:val="hybridMultilevel"/>
    <w:tmpl w:val="8A8A3428"/>
    <w:lvl w:ilvl="0" w:tplc="50DEBF1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35029"/>
    <w:multiLevelType w:val="hybridMultilevel"/>
    <w:tmpl w:val="7FC87F1E"/>
    <w:lvl w:ilvl="0" w:tplc="A460789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9D33E13"/>
    <w:multiLevelType w:val="hybridMultilevel"/>
    <w:tmpl w:val="819A7974"/>
    <w:lvl w:ilvl="0" w:tplc="BAD8A62C">
      <w:start w:val="1"/>
      <w:numFmt w:val="decimal"/>
      <w:lvlText w:val="%1."/>
      <w:lvlJc w:val="left"/>
      <w:pPr>
        <w:ind w:left="15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C8637D6"/>
    <w:multiLevelType w:val="hybridMultilevel"/>
    <w:tmpl w:val="BD1A24F8"/>
    <w:lvl w:ilvl="0" w:tplc="8EEA3588">
      <w:start w:val="1"/>
      <w:numFmt w:val="bullet"/>
      <w:pStyle w:val="ListParagraph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78F511F5"/>
    <w:multiLevelType w:val="hybridMultilevel"/>
    <w:tmpl w:val="BBA89CD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  <w:num w:numId="1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17B7"/>
    <w:rsid w:val="00032B26"/>
    <w:rsid w:val="00044713"/>
    <w:rsid w:val="000519DB"/>
    <w:rsid w:val="0005613A"/>
    <w:rsid w:val="000D5F0B"/>
    <w:rsid w:val="000E09F9"/>
    <w:rsid w:val="000E7EA2"/>
    <w:rsid w:val="000F318D"/>
    <w:rsid w:val="00120F96"/>
    <w:rsid w:val="00121ED5"/>
    <w:rsid w:val="00131C36"/>
    <w:rsid w:val="001554C1"/>
    <w:rsid w:val="001669D4"/>
    <w:rsid w:val="00166DB1"/>
    <w:rsid w:val="00175BEA"/>
    <w:rsid w:val="0017729E"/>
    <w:rsid w:val="001822C5"/>
    <w:rsid w:val="001A0630"/>
    <w:rsid w:val="001A19C9"/>
    <w:rsid w:val="001C2D9D"/>
    <w:rsid w:val="001D620D"/>
    <w:rsid w:val="001D67FE"/>
    <w:rsid w:val="001E08C0"/>
    <w:rsid w:val="001E775E"/>
    <w:rsid w:val="001F1B93"/>
    <w:rsid w:val="001F6342"/>
    <w:rsid w:val="0020715F"/>
    <w:rsid w:val="002100F9"/>
    <w:rsid w:val="00210BCA"/>
    <w:rsid w:val="00237123"/>
    <w:rsid w:val="00241338"/>
    <w:rsid w:val="00241BC6"/>
    <w:rsid w:val="00247EE4"/>
    <w:rsid w:val="002504D1"/>
    <w:rsid w:val="00251CFF"/>
    <w:rsid w:val="00260791"/>
    <w:rsid w:val="00266161"/>
    <w:rsid w:val="00280E84"/>
    <w:rsid w:val="002B611D"/>
    <w:rsid w:val="002D4341"/>
    <w:rsid w:val="002E7B94"/>
    <w:rsid w:val="002F2B6F"/>
    <w:rsid w:val="002F2F72"/>
    <w:rsid w:val="002F674A"/>
    <w:rsid w:val="003024B5"/>
    <w:rsid w:val="003105E7"/>
    <w:rsid w:val="003256F9"/>
    <w:rsid w:val="0032739D"/>
    <w:rsid w:val="003372D1"/>
    <w:rsid w:val="003572DF"/>
    <w:rsid w:val="003622E9"/>
    <w:rsid w:val="00371A28"/>
    <w:rsid w:val="00372125"/>
    <w:rsid w:val="00376AA4"/>
    <w:rsid w:val="00386045"/>
    <w:rsid w:val="00393F1C"/>
    <w:rsid w:val="003942F8"/>
    <w:rsid w:val="00394E0D"/>
    <w:rsid w:val="003A1637"/>
    <w:rsid w:val="003C1232"/>
    <w:rsid w:val="003C499D"/>
    <w:rsid w:val="003E6DF7"/>
    <w:rsid w:val="00401539"/>
    <w:rsid w:val="00416402"/>
    <w:rsid w:val="0042483C"/>
    <w:rsid w:val="00427AEF"/>
    <w:rsid w:val="00432520"/>
    <w:rsid w:val="00432609"/>
    <w:rsid w:val="00472F7C"/>
    <w:rsid w:val="004A21CF"/>
    <w:rsid w:val="004F5F2D"/>
    <w:rsid w:val="00534C4E"/>
    <w:rsid w:val="00552B62"/>
    <w:rsid w:val="00554E6A"/>
    <w:rsid w:val="005659E4"/>
    <w:rsid w:val="0056702F"/>
    <w:rsid w:val="00567A61"/>
    <w:rsid w:val="00572482"/>
    <w:rsid w:val="005731EF"/>
    <w:rsid w:val="00590FDF"/>
    <w:rsid w:val="00594EF2"/>
    <w:rsid w:val="005D759F"/>
    <w:rsid w:val="005F3972"/>
    <w:rsid w:val="0061603C"/>
    <w:rsid w:val="006172D9"/>
    <w:rsid w:val="0064016A"/>
    <w:rsid w:val="00643790"/>
    <w:rsid w:val="00643A51"/>
    <w:rsid w:val="00646B77"/>
    <w:rsid w:val="00654239"/>
    <w:rsid w:val="00660AE2"/>
    <w:rsid w:val="00671F99"/>
    <w:rsid w:val="00673B0D"/>
    <w:rsid w:val="006924B0"/>
    <w:rsid w:val="006B3960"/>
    <w:rsid w:val="006C2E3A"/>
    <w:rsid w:val="006C670B"/>
    <w:rsid w:val="006D3E30"/>
    <w:rsid w:val="006D72B9"/>
    <w:rsid w:val="00716F56"/>
    <w:rsid w:val="007250B6"/>
    <w:rsid w:val="00725480"/>
    <w:rsid w:val="0073551D"/>
    <w:rsid w:val="00771131"/>
    <w:rsid w:val="00781142"/>
    <w:rsid w:val="007A1626"/>
    <w:rsid w:val="007B37A1"/>
    <w:rsid w:val="007B7C63"/>
    <w:rsid w:val="007E018C"/>
    <w:rsid w:val="007E174D"/>
    <w:rsid w:val="007F1F79"/>
    <w:rsid w:val="007F433E"/>
    <w:rsid w:val="008032A8"/>
    <w:rsid w:val="00822C1D"/>
    <w:rsid w:val="008436DB"/>
    <w:rsid w:val="00845E40"/>
    <w:rsid w:val="00856EF2"/>
    <w:rsid w:val="008602B1"/>
    <w:rsid w:val="00867B32"/>
    <w:rsid w:val="008847CA"/>
    <w:rsid w:val="008A2044"/>
    <w:rsid w:val="008B1C13"/>
    <w:rsid w:val="008C6C21"/>
    <w:rsid w:val="008E536F"/>
    <w:rsid w:val="008F73D2"/>
    <w:rsid w:val="00920C23"/>
    <w:rsid w:val="00921911"/>
    <w:rsid w:val="0092519B"/>
    <w:rsid w:val="00965A24"/>
    <w:rsid w:val="009807E6"/>
    <w:rsid w:val="009932CD"/>
    <w:rsid w:val="00994B34"/>
    <w:rsid w:val="00996144"/>
    <w:rsid w:val="009B7C45"/>
    <w:rsid w:val="009D1D86"/>
    <w:rsid w:val="009F2F1A"/>
    <w:rsid w:val="00A02543"/>
    <w:rsid w:val="00A05C00"/>
    <w:rsid w:val="00A670DE"/>
    <w:rsid w:val="00A709D3"/>
    <w:rsid w:val="00A81199"/>
    <w:rsid w:val="00AA04ED"/>
    <w:rsid w:val="00AC2177"/>
    <w:rsid w:val="00AF305C"/>
    <w:rsid w:val="00B00249"/>
    <w:rsid w:val="00B01294"/>
    <w:rsid w:val="00B07631"/>
    <w:rsid w:val="00B2488F"/>
    <w:rsid w:val="00B3023B"/>
    <w:rsid w:val="00B3063F"/>
    <w:rsid w:val="00B31D6C"/>
    <w:rsid w:val="00B35C86"/>
    <w:rsid w:val="00B36AD9"/>
    <w:rsid w:val="00B42FC8"/>
    <w:rsid w:val="00B61EC2"/>
    <w:rsid w:val="00B90677"/>
    <w:rsid w:val="00B94C7A"/>
    <w:rsid w:val="00B97004"/>
    <w:rsid w:val="00BC3B84"/>
    <w:rsid w:val="00BD15CF"/>
    <w:rsid w:val="00BD4863"/>
    <w:rsid w:val="00BD6E54"/>
    <w:rsid w:val="00BE0D88"/>
    <w:rsid w:val="00BF1A47"/>
    <w:rsid w:val="00C2392C"/>
    <w:rsid w:val="00C25414"/>
    <w:rsid w:val="00C30F96"/>
    <w:rsid w:val="00C34D80"/>
    <w:rsid w:val="00C6679F"/>
    <w:rsid w:val="00C81EDC"/>
    <w:rsid w:val="00C86675"/>
    <w:rsid w:val="00C930DB"/>
    <w:rsid w:val="00C9600F"/>
    <w:rsid w:val="00C96270"/>
    <w:rsid w:val="00CC2F8A"/>
    <w:rsid w:val="00CD7D2C"/>
    <w:rsid w:val="00CF4001"/>
    <w:rsid w:val="00D11798"/>
    <w:rsid w:val="00D77FA6"/>
    <w:rsid w:val="00DB74A8"/>
    <w:rsid w:val="00DD537F"/>
    <w:rsid w:val="00E04FDE"/>
    <w:rsid w:val="00E06D2C"/>
    <w:rsid w:val="00E10B8E"/>
    <w:rsid w:val="00E33B9F"/>
    <w:rsid w:val="00E343C6"/>
    <w:rsid w:val="00E414B5"/>
    <w:rsid w:val="00E60F26"/>
    <w:rsid w:val="00E61B2C"/>
    <w:rsid w:val="00E61E37"/>
    <w:rsid w:val="00E7743F"/>
    <w:rsid w:val="00E8704A"/>
    <w:rsid w:val="00E96965"/>
    <w:rsid w:val="00EC29B7"/>
    <w:rsid w:val="00EC4417"/>
    <w:rsid w:val="00EC5FD5"/>
    <w:rsid w:val="00EE63C9"/>
    <w:rsid w:val="00EE7522"/>
    <w:rsid w:val="00F117B7"/>
    <w:rsid w:val="00F1622C"/>
    <w:rsid w:val="00F17649"/>
    <w:rsid w:val="00F17AB6"/>
    <w:rsid w:val="00F2451B"/>
    <w:rsid w:val="00F30BAA"/>
    <w:rsid w:val="00F31E30"/>
    <w:rsid w:val="00F33D1A"/>
    <w:rsid w:val="00F518F0"/>
    <w:rsid w:val="00F66038"/>
    <w:rsid w:val="00F725F5"/>
    <w:rsid w:val="00F75B7E"/>
    <w:rsid w:val="00FA444B"/>
    <w:rsid w:val="00FC0D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55E4D"/>
  <w15:docId w15:val="{67515D61-B634-4EF5-AE79-55D6C6CAC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C21"/>
    <w:pPr>
      <w:spacing w:after="200" w:line="276" w:lineRule="auto"/>
      <w:jc w:val="left"/>
    </w:pPr>
    <w:rPr>
      <w:rFonts w:ascii="Calibri" w:eastAsia="Calibri" w:hAnsi="Calibri" w:cs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ußnotentext arial,fn,Schriftart: 9 pt,Schriftart: 10 pt,Schriftart: 8 pt,WB-Fußnotentext,Fu?notentext arial,Sprotna opomba - besedilo Znak1,Sprotna opomba - besedilo Znak Znak2,Sprotna opomba - besedilo Znak1 Znak Znak1,stile 1"/>
    <w:basedOn w:val="Normal"/>
    <w:link w:val="FootnoteTextChar"/>
    <w:uiPriority w:val="99"/>
    <w:unhideWhenUsed/>
    <w:rsid w:val="007F1F7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aliases w:val="Fußnotentext arial Char,fn Char,Schriftart: 9 pt Char,Schriftart: 10 pt Char,Schriftart: 8 pt Char,WB-Fußnotentext Char,Fu?notentext arial Char,Sprotna opomba - besedilo Znak1 Char,Sprotna opomba - besedilo Znak Znak2 Char"/>
    <w:basedOn w:val="DefaultParagraphFont"/>
    <w:link w:val="FootnoteText"/>
    <w:uiPriority w:val="99"/>
    <w:rsid w:val="007F1F79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7F1F79"/>
    <w:rPr>
      <w:vertAlign w:val="superscript"/>
    </w:rPr>
  </w:style>
  <w:style w:type="paragraph" w:styleId="ListParagraph">
    <w:name w:val="List Paragraph"/>
    <w:aliases w:val="Bullet1,References,List Paragraph (numbered (a)),IBL List Paragraph,List Paragraph nowy,Numbered List Paragraph,Akapit z listą BS,List Paragraph 1,List_Paragraph,Multilevel para_II,Абзац списка3,Bullet Points,Liste Paragraf"/>
    <w:basedOn w:val="Normal"/>
    <w:link w:val="ListParagraphChar"/>
    <w:qFormat/>
    <w:rsid w:val="00B94C7A"/>
    <w:pPr>
      <w:numPr>
        <w:numId w:val="2"/>
      </w:numPr>
      <w:spacing w:after="120"/>
      <w:contextualSpacing/>
    </w:pPr>
    <w:rPr>
      <w:rFonts w:ascii="Arial" w:eastAsia="Times New Roman" w:hAnsi="Arial"/>
      <w:sz w:val="20"/>
      <w:szCs w:val="24"/>
      <w:lang w:val="en-US" w:eastAsia="de-DE"/>
    </w:rPr>
  </w:style>
  <w:style w:type="character" w:customStyle="1" w:styleId="ListParagraphChar">
    <w:name w:val="List Paragraph Char"/>
    <w:aliases w:val="Bullet1 Char,References Char,List Paragraph (numbered (a)) Char,IBL List Paragraph Char,List Paragraph nowy Char,Numbered List Paragraph Char,Akapit z listą BS Char,List Paragraph 1 Char,List_Paragraph Char,Multilevel para_II Char"/>
    <w:link w:val="ListParagraph"/>
    <w:locked/>
    <w:rsid w:val="00B94C7A"/>
    <w:rPr>
      <w:rFonts w:ascii="Arial" w:eastAsia="Times New Roman" w:hAnsi="Arial" w:cs="Times New Roman"/>
      <w:sz w:val="20"/>
      <w:szCs w:val="24"/>
      <w:lang w:eastAsia="de-DE"/>
    </w:rPr>
  </w:style>
  <w:style w:type="paragraph" w:styleId="NormalWeb">
    <w:name w:val="Normal (Web)"/>
    <w:basedOn w:val="Normal"/>
    <w:rsid w:val="00472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aliases w:val="Heading 11,Знак"/>
    <w:basedOn w:val="Normal"/>
    <w:link w:val="BalloonTextChar"/>
    <w:semiHidden/>
    <w:unhideWhenUsed/>
    <w:rsid w:val="0047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aliases w:val="Heading 11 Char,Знак Char"/>
    <w:basedOn w:val="DefaultParagraphFont"/>
    <w:link w:val="BalloonText"/>
    <w:semiHidden/>
    <w:rsid w:val="00472F7C"/>
    <w:rPr>
      <w:rFonts w:ascii="Tahoma" w:eastAsia="Calibri" w:hAnsi="Tahoma" w:cs="Tahoma"/>
      <w:sz w:val="16"/>
      <w:szCs w:val="16"/>
      <w:lang w:val="en-GB"/>
    </w:rPr>
  </w:style>
  <w:style w:type="character" w:styleId="Emphasis">
    <w:name w:val="Emphasis"/>
    <w:basedOn w:val="DefaultParagraphFont"/>
    <w:uiPriority w:val="20"/>
    <w:qFormat/>
    <w:rsid w:val="00B3063F"/>
    <w:rPr>
      <w:i/>
      <w:iCs/>
    </w:rPr>
  </w:style>
  <w:style w:type="character" w:customStyle="1" w:styleId="normChar">
    <w:name w:val="norm Char"/>
    <w:link w:val="norm"/>
    <w:locked/>
    <w:rsid w:val="00121ED5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121ED5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lang w:val="en-US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121ED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mechtexChar">
    <w:name w:val="mechtex Char"/>
    <w:link w:val="mechtex"/>
    <w:locked/>
    <w:rsid w:val="00856EF2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856EF2"/>
    <w:pPr>
      <w:spacing w:after="0" w:line="240" w:lineRule="auto"/>
      <w:jc w:val="center"/>
    </w:pPr>
    <w:rPr>
      <w:rFonts w:ascii="Arial Armenian" w:eastAsia="Times New Roman" w:hAnsi="Arial Armenian"/>
      <w:sz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4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46478-3D4C-438C-AEA9-5A325CA29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5</Pages>
  <Words>704</Words>
  <Characters>5474</Characters>
  <Application>Microsoft Office Word</Application>
  <DocSecurity>0</DocSecurity>
  <Lines>113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>https://mul2.gov.am/tasks/706795/oneclick/himnavorum.docx?token=12cbbf4491f7be51abe94cb86b94f2e2</cp:keywords>
  <dc:description/>
  <cp:lastModifiedBy>Marina Vardanyan</cp:lastModifiedBy>
  <cp:revision>198</cp:revision>
  <cp:lastPrinted>2021-03-09T11:57:00Z</cp:lastPrinted>
  <dcterms:created xsi:type="dcterms:W3CDTF">2021-02-12T07:50:00Z</dcterms:created>
  <dcterms:modified xsi:type="dcterms:W3CDTF">2022-12-07T10:33:00Z</dcterms:modified>
</cp:coreProperties>
</file>