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83" w:rsidRDefault="006C3183" w:rsidP="009A6D52">
      <w:pPr>
        <w:spacing w:line="360" w:lineRule="auto"/>
        <w:ind w:left="18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9A6D52" w:rsidRPr="00753AFB" w:rsidRDefault="009A6D52" w:rsidP="009A6D52">
      <w:pPr>
        <w:spacing w:line="360" w:lineRule="auto"/>
        <w:ind w:left="18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753AFB">
        <w:rPr>
          <w:rFonts w:ascii="GHEA Grapalat" w:eastAsia="Calibri" w:hAnsi="GHEA Grapalat"/>
          <w:b/>
          <w:sz w:val="24"/>
          <w:szCs w:val="24"/>
          <w:lang w:val="hy-AM"/>
        </w:rPr>
        <w:t>ՀԻՄՆԱՎՈՐՈՒՄ</w:t>
      </w:r>
    </w:p>
    <w:p w:rsidR="009A6D52" w:rsidRDefault="009A6D52" w:rsidP="009A6D52">
      <w:pPr>
        <w:spacing w:line="360" w:lineRule="auto"/>
        <w:ind w:left="18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2022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23-</w:t>
      </w:r>
      <w:r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N 2121-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:rsidR="00DE3450" w:rsidRPr="008F1AA0" w:rsidRDefault="00DE3450" w:rsidP="008F1AA0">
      <w:pPr>
        <w:pStyle w:val="mechtex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753AFB" w:rsidRPr="009B26BF" w:rsidRDefault="00753AFB" w:rsidP="00753AFB">
      <w:pPr>
        <w:spacing w:line="360" w:lineRule="auto"/>
        <w:ind w:firstLine="562"/>
        <w:rPr>
          <w:rFonts w:ascii="GHEA Grapalat" w:eastAsia="Calibri" w:hAnsi="GHEA Grapalat"/>
          <w:lang w:val="pt-BR"/>
        </w:rPr>
      </w:pPr>
      <w:r w:rsidRPr="009B26BF"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Pr="009B26BF">
        <w:rPr>
          <w:rFonts w:ascii="GHEA Grapalat" w:hAnsi="GHEA Grapalat" w:cs="Sylfaen"/>
          <w:b/>
          <w:sz w:val="24"/>
          <w:szCs w:val="24"/>
          <w:lang w:val="af-ZA"/>
        </w:rPr>
        <w:t>Իրավական ակտի</w:t>
      </w:r>
      <w:r w:rsidRPr="009B26BF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</w:t>
      </w:r>
      <w:r w:rsidRPr="009B26BF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  <w:r w:rsidRPr="009B26B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9B26B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</w:p>
    <w:p w:rsidR="00753AFB" w:rsidRPr="009B26BF" w:rsidRDefault="00753AFB" w:rsidP="00753AFB">
      <w:pPr>
        <w:spacing w:line="360" w:lineRule="auto"/>
        <w:ind w:firstLine="562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9B26B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9B26BF">
        <w:rPr>
          <w:rFonts w:ascii="GHEA Grapalat" w:hAnsi="GHEA Grapalat" w:cs="Sylfaen"/>
          <w:sz w:val="24"/>
          <w:szCs w:val="24"/>
          <w:lang w:val="hy-AM"/>
        </w:rPr>
        <w:t xml:space="preserve">Սույն նախագծի ընդունումը պայմանավորված է </w:t>
      </w:r>
      <w:r w:rsidRPr="009B26BF">
        <w:rPr>
          <w:rFonts w:ascii="GHEA Grapalat" w:hAnsi="GHEA Grapalat"/>
          <w:sz w:val="24"/>
          <w:szCs w:val="24"/>
          <w:lang w:val="hy-AM"/>
        </w:rPr>
        <w:t>«Պատմամշակութային արգելոց-թանգարանների և պատմական միջավայրի պահպանության ծառայություն» պետական ոչ առևտրային կազմակերպության (այսուհետ՝ կազմակերպություն) բնականոն գործունեությունը և անխաթար աշխատանքը վերականգնելու անհրաժեշտությամբ:</w:t>
      </w:r>
      <w:r w:rsidRPr="009B26B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</w:p>
    <w:p w:rsidR="00753AFB" w:rsidRPr="009B26BF" w:rsidRDefault="00753AFB" w:rsidP="00753AFB">
      <w:pPr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B26BF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</w:p>
    <w:p w:rsidR="00753AFB" w:rsidRPr="009B26BF" w:rsidRDefault="00753AFB" w:rsidP="00753AFB">
      <w:pPr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B26BF">
        <w:rPr>
          <w:rFonts w:ascii="GHEA Grapalat" w:hAnsi="GHEA Grapalat" w:cs="Sylfaen"/>
          <w:b/>
          <w:sz w:val="24"/>
          <w:szCs w:val="24"/>
          <w:lang w:val="hy-AM"/>
        </w:rPr>
        <w:t xml:space="preserve"> 2. Ընթացիկ իրավիճակը և խնդիրները.</w:t>
      </w:r>
    </w:p>
    <w:p w:rsidR="00753AFB" w:rsidRPr="009B26BF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26BF">
        <w:rPr>
          <w:rFonts w:ascii="GHEA Grapalat" w:hAnsi="GHEA Grapalat"/>
          <w:lang w:val="hy-AM"/>
        </w:rPr>
        <w:t xml:space="preserve">«Պատմամշակութային արգելոց-թանգարանների և պատմական միջավայրի պահպանության ծառայություն» </w:t>
      </w:r>
      <w:r>
        <w:rPr>
          <w:rFonts w:ascii="GHEA Grapalat" w:hAnsi="GHEA Grapalat"/>
          <w:lang w:val="hy-AM"/>
        </w:rPr>
        <w:t>պետական ոչ առևտրային կազմակերպությունում</w:t>
      </w:r>
      <w:r w:rsidRPr="009B26BF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9B26BF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9B26BF">
        <w:rPr>
          <w:rFonts w:ascii="GHEA Grapalat" w:hAnsi="GHEA Grapalat"/>
          <w:lang w:val="hy-AM"/>
        </w:rPr>
        <w:t xml:space="preserve"> պետական եկամուտների կոմիտեի կողմից 2020 թվականին իրականացված համալիր հարկային ստուգման արդյունքում 28.02.2020 թ. թիվ 3002885 վարչական ակտով </w:t>
      </w:r>
      <w:r>
        <w:rPr>
          <w:rFonts w:ascii="GHEA Grapalat" w:hAnsi="GHEA Grapalat"/>
          <w:lang w:val="hy-AM"/>
        </w:rPr>
        <w:t>կազմակերպությանը՝</w:t>
      </w:r>
      <w:r w:rsidRPr="009B26BF">
        <w:rPr>
          <w:rFonts w:ascii="GHEA Grapalat" w:hAnsi="GHEA Grapalat"/>
          <w:lang w:val="hy-AM"/>
        </w:rPr>
        <w:t xml:space="preserve"> ավելացված արժեքի հարկի գծով առաջադրվել է 248 884 008 (երկու հարյուր քառասունութ միլիոն ութ հարյուր ութսունչորս հազար ութ) ՀՀ դրամի չափով հարկային պարտավորություն, որի մարման նպատակով ՀՀ ԿԳՄՍ նախարարությունը 06.07.2020 թ. </w:t>
      </w:r>
      <w:r>
        <w:rPr>
          <w:rFonts w:ascii="GHEA Grapalat" w:hAnsi="GHEA Grapalat"/>
          <w:lang w:val="hy-AM"/>
        </w:rPr>
        <w:t>կազմակերպությանը</w:t>
      </w:r>
      <w:r w:rsidRPr="009B26BF">
        <w:rPr>
          <w:rFonts w:ascii="GHEA Grapalat" w:hAnsi="GHEA Grapalat"/>
          <w:lang w:val="hy-AM"/>
        </w:rPr>
        <w:t xml:space="preserve"> տրամադրել է համապատասխան չափով դրամական միջոցներ:</w:t>
      </w:r>
    </w:p>
    <w:p w:rsidR="00753AFB" w:rsidRPr="009B26BF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Կազմակերպությունը</w:t>
      </w:r>
      <w:r w:rsidRPr="009B26BF">
        <w:rPr>
          <w:rFonts w:ascii="GHEA Grapalat" w:hAnsi="GHEA Grapalat"/>
          <w:lang w:val="hy-AM"/>
        </w:rPr>
        <w:t xml:space="preserve">՝ 07.07.2020 թ., 248 884 008 (երկու հարյուր քառասունութ միլիոն ութ հարյուր ութսունչորս հազար ութ) ՀՀ դրամն ուղղել է թիվ 3002885 վարչական ակտով առաջադրված պարտավորության կատարմանը, որը, ՀՀ հարկային օրենսգրքի 325-րդ հոդվածի կարգավորումների ուժով, տեղաբաշխվել է ըստ առաջնահերթության և ուղղվել է առավել վաղ առաջացած հարկային պարտավորությունների մարմանը: </w:t>
      </w:r>
    </w:p>
    <w:p w:rsidR="00753AFB" w:rsidRPr="009B26BF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26BF">
        <w:rPr>
          <w:rFonts w:ascii="GHEA Grapalat" w:hAnsi="GHEA Grapalat"/>
          <w:lang w:val="hy-AM"/>
        </w:rPr>
        <w:lastRenderedPageBreak/>
        <w:t>Արդյունքում թիվ 3002885 վարչական ակտով առաջադրված հարկային պարտավորությունների չկատարված մասը կազմել է 64 571 708 (վաթսունչորս միլիոն հինգ հարյուր յոթանասունմեկ հազար յոթ հարյուր ութ) ՀՀ դրամ, և ակտը հանրային իրավական դրամական պահանջների բռնագանձման վարույթի շրջանակներում ուղարկվել է հարկադիր կատարման:</w:t>
      </w:r>
    </w:p>
    <w:p w:rsidR="00753AFB" w:rsidRPr="009B26BF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26BF">
        <w:rPr>
          <w:rFonts w:ascii="GHEA Grapalat" w:hAnsi="GHEA Grapalat"/>
          <w:lang w:val="hy-AM"/>
        </w:rPr>
        <w:t xml:space="preserve">Դատական ակտերի հարկադիր կատարումն ապահովող ծառայության կողմից հարուցված կատարողական վարույթի շրջանակներում հետախուզում է հայտարարվել </w:t>
      </w:r>
      <w:r>
        <w:rPr>
          <w:rFonts w:ascii="GHEA Grapalat" w:hAnsi="GHEA Grapalat"/>
          <w:lang w:val="hy-AM"/>
        </w:rPr>
        <w:t>կազմակերպությանը</w:t>
      </w:r>
      <w:r w:rsidRPr="009B26BF">
        <w:rPr>
          <w:rFonts w:ascii="GHEA Grapalat" w:hAnsi="GHEA Grapalat"/>
          <w:lang w:val="hy-AM"/>
        </w:rPr>
        <w:t xml:space="preserve"> պատկանող գույքի նկատմամբ և 62 298 389 (վաթսուներկու միլիոն երկու հարյուր իննսունութ հազար երեք հարյուր ութսունինը) ՀՀ դրամի չափով կիրառվել է արգելանք:</w:t>
      </w:r>
    </w:p>
    <w:p w:rsidR="00753AFB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B26BF">
        <w:rPr>
          <w:rFonts w:ascii="GHEA Grapalat" w:hAnsi="GHEA Grapalat"/>
          <w:lang w:val="hy-AM"/>
        </w:rPr>
        <w:t xml:space="preserve">Վերոնշյալ կատարողական վարույթի շրջանակներում </w:t>
      </w:r>
      <w:r>
        <w:rPr>
          <w:rFonts w:ascii="GHEA Grapalat" w:hAnsi="GHEA Grapalat"/>
          <w:lang w:val="hy-AM"/>
        </w:rPr>
        <w:t>կազմակերպությանը</w:t>
      </w:r>
      <w:r w:rsidRPr="009B26BF">
        <w:rPr>
          <w:rFonts w:ascii="GHEA Grapalat" w:hAnsi="GHEA Grapalat"/>
          <w:lang w:val="hy-AM"/>
        </w:rPr>
        <w:t xml:space="preserve"> պատկանող գույքի նկատմամբ հայտարարված հետախուզման, կիրառված արգելանքների հետևանքով առկա է կազմակերպության կանոնադրական նպատակների իրականացման համար նախատեսված նյութատեխնիկական ռեսուրսների նկատմամբ տիրապետությունը կորցնելու վտանգ, ինչն էականորեն խաթարում է կազմակերպության բնականոն գործունեությունը: Կիրառված արգելանքը ուղիղ վտանգի տակ է դրել նաև պատմամշակութային ժառանգության պահպանության նկատմամբ պետության ստանձնած պարտավորությունների պատշաճ կատարումը և </w:t>
      </w:r>
      <w:r>
        <w:rPr>
          <w:rFonts w:ascii="GHEA Grapalat" w:hAnsi="GHEA Grapalat"/>
          <w:lang w:val="hy-AM"/>
        </w:rPr>
        <w:t>կազմակերպության</w:t>
      </w:r>
      <w:r w:rsidRPr="009B26BF">
        <w:rPr>
          <w:rFonts w:ascii="GHEA Grapalat" w:hAnsi="GHEA Grapalat"/>
          <w:lang w:val="hy-AM"/>
        </w:rPr>
        <w:t xml:space="preserve"> աշխատողների աշխատավարձ վճարելու հարցը:</w:t>
      </w:r>
    </w:p>
    <w:p w:rsidR="00753AFB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53AFB" w:rsidRPr="005E4304" w:rsidRDefault="00753AFB" w:rsidP="00753AFB">
      <w:pPr>
        <w:pStyle w:val="ListParagraph"/>
        <w:numPr>
          <w:ilvl w:val="0"/>
          <w:numId w:val="14"/>
        </w:numPr>
        <w:spacing w:line="360" w:lineRule="auto"/>
        <w:ind w:firstLine="18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5E4304">
        <w:rPr>
          <w:rFonts w:ascii="GHEA Grapalat" w:hAnsi="GHEA Grapalat" w:cs="Sylfaen"/>
          <w:b/>
          <w:lang w:val="hy-AM"/>
        </w:rPr>
        <w:t>Կարգա</w:t>
      </w:r>
      <w:r w:rsidRPr="005E4304">
        <w:rPr>
          <w:rFonts w:ascii="GHEA Grapalat" w:hAnsi="GHEA Grapalat" w:cs="Sylfaen"/>
          <w:b/>
          <w:lang w:val="fr-FR"/>
        </w:rPr>
        <w:t>վորման</w:t>
      </w:r>
      <w:proofErr w:type="spellEnd"/>
      <w:r w:rsidRPr="005E4304">
        <w:rPr>
          <w:rFonts w:ascii="GHEA Grapalat" w:hAnsi="GHEA Grapalat"/>
          <w:b/>
          <w:lang w:val="fr-FR"/>
        </w:rPr>
        <w:t xml:space="preserve"> </w:t>
      </w:r>
      <w:proofErr w:type="spellStart"/>
      <w:r w:rsidRPr="005E4304">
        <w:rPr>
          <w:rFonts w:ascii="GHEA Grapalat" w:hAnsi="GHEA Grapalat"/>
          <w:b/>
          <w:lang w:val="fr-FR"/>
        </w:rPr>
        <w:t>նպատակը</w:t>
      </w:r>
      <w:proofErr w:type="spellEnd"/>
      <w:r w:rsidRPr="005E4304">
        <w:rPr>
          <w:rFonts w:ascii="GHEA Grapalat" w:hAnsi="GHEA Grapalat"/>
          <w:b/>
          <w:lang w:val="hy-AM"/>
        </w:rPr>
        <w:t xml:space="preserve"> և</w:t>
      </w:r>
      <w:r w:rsidRPr="005E4304">
        <w:rPr>
          <w:rFonts w:ascii="GHEA Grapalat" w:hAnsi="GHEA Grapalat"/>
          <w:b/>
          <w:lang w:val="fr-FR"/>
        </w:rPr>
        <w:t xml:space="preserve"> </w:t>
      </w:r>
      <w:proofErr w:type="spellStart"/>
      <w:r w:rsidRPr="005E4304">
        <w:rPr>
          <w:rFonts w:ascii="GHEA Grapalat" w:hAnsi="GHEA Grapalat"/>
          <w:b/>
          <w:lang w:val="fr-FR"/>
        </w:rPr>
        <w:t>բնույթը</w:t>
      </w:r>
      <w:proofErr w:type="spellEnd"/>
      <w:r w:rsidRPr="005E4304">
        <w:rPr>
          <w:rFonts w:ascii="GHEA Grapalat" w:hAnsi="GHEA Grapalat"/>
          <w:b/>
          <w:lang w:val="hy-AM"/>
        </w:rPr>
        <w:t>.</w:t>
      </w:r>
    </w:p>
    <w:p w:rsidR="00753AFB" w:rsidRDefault="00753AFB" w:rsidP="00753AF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Pr="009B26BF">
        <w:rPr>
          <w:rFonts w:ascii="GHEA Grapalat" w:hAnsi="GHEA Grapalat" w:cs="Sylfaen"/>
          <w:lang w:val="af-ZA"/>
        </w:rPr>
        <w:t>Սույն նախագծի ընդունմամբ «</w:t>
      </w:r>
      <w:r w:rsidRPr="009B26BF">
        <w:rPr>
          <w:rFonts w:ascii="GHEA Grapalat" w:hAnsi="GHEA Grapalat" w:cs="Sylfaen"/>
          <w:lang w:val="hy-AM"/>
        </w:rPr>
        <w:t>Պատմամշակութային արգելոց-թանգարանների և պատմական միջավայրի պահպանության ծառայություն</w:t>
      </w:r>
      <w:r w:rsidRPr="009B26BF">
        <w:rPr>
          <w:rFonts w:ascii="GHEA Grapalat" w:hAnsi="GHEA Grapalat" w:cs="Sylfaen"/>
          <w:lang w:val="af-ZA"/>
        </w:rPr>
        <w:t xml:space="preserve">» պետական ոչ առևտրային </w:t>
      </w:r>
      <w:r>
        <w:rPr>
          <w:rFonts w:ascii="GHEA Grapalat" w:hAnsi="GHEA Grapalat"/>
          <w:lang w:val="hy-AM"/>
        </w:rPr>
        <w:t>կազմակերպությանը</w:t>
      </w:r>
      <w:r w:rsidRPr="00513AAE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կցուցաբերվի </w:t>
      </w:r>
      <w:r w:rsidRPr="00513AAE">
        <w:rPr>
          <w:rFonts w:ascii="GHEA Grapalat" w:hAnsi="GHEA Grapalat"/>
          <w:lang w:val="hy-AM"/>
        </w:rPr>
        <w:t>62 298 389 (վաթսուներկու միլիոն երկու հարյուր իննսունութ հազար երեք հարյուր ութսունինը) ՀՀ դրամի չափով հարկային պարտավորության մարման հարցում</w:t>
      </w:r>
      <w:r>
        <w:rPr>
          <w:rFonts w:ascii="GHEA Grapalat" w:hAnsi="GHEA Grapalat"/>
          <w:lang w:val="hy-AM"/>
        </w:rPr>
        <w:t xml:space="preserve"> աջակցություն, ինչը կապահովի </w:t>
      </w:r>
      <w:r w:rsidRPr="009B26BF">
        <w:rPr>
          <w:rFonts w:ascii="GHEA Grapalat" w:hAnsi="GHEA Grapalat" w:cs="Sylfaen"/>
          <w:lang w:val="af-ZA"/>
        </w:rPr>
        <w:t>կազմակերպության</w:t>
      </w:r>
      <w:r>
        <w:rPr>
          <w:rFonts w:ascii="GHEA Grapalat" w:hAnsi="GHEA Grapalat" w:cs="Sylfaen"/>
          <w:lang w:val="hy-AM"/>
        </w:rPr>
        <w:t xml:space="preserve">ը վերապահված լիազորությունների, իրավասությունների պատշաճ և անխափան իրականացումը, այն է՝ </w:t>
      </w:r>
      <w:r>
        <w:rPr>
          <w:rFonts w:ascii="GHEA Grapalat" w:hAnsi="GHEA Grapalat"/>
          <w:lang w:val="hy-AM"/>
        </w:rPr>
        <w:t>պատմամշակութային անշարժ և շարժական</w:t>
      </w:r>
      <w:r w:rsidRPr="009B26BF">
        <w:rPr>
          <w:rFonts w:ascii="GHEA Grapalat" w:hAnsi="GHEA Grapalat"/>
          <w:lang w:val="hy-AM"/>
        </w:rPr>
        <w:t xml:space="preserve"> ժառանգության օբյեկտների </w:t>
      </w:r>
      <w:r>
        <w:rPr>
          <w:rFonts w:ascii="GHEA Grapalat" w:hAnsi="GHEA Grapalat"/>
          <w:lang w:val="hy-AM"/>
        </w:rPr>
        <w:t xml:space="preserve">պահպանությունը, </w:t>
      </w:r>
      <w:r w:rsidRPr="009B26BF">
        <w:rPr>
          <w:rFonts w:ascii="GHEA Grapalat" w:hAnsi="GHEA Grapalat"/>
          <w:lang w:val="hy-AM"/>
        </w:rPr>
        <w:t>մշտադիրկումը</w:t>
      </w:r>
      <w:r>
        <w:rPr>
          <w:rFonts w:ascii="GHEA Grapalat" w:hAnsi="GHEA Grapalat"/>
          <w:lang w:val="hy-AM"/>
        </w:rPr>
        <w:t xml:space="preserve">, </w:t>
      </w:r>
      <w:r w:rsidRPr="009B26BF">
        <w:rPr>
          <w:rFonts w:ascii="GHEA Grapalat" w:hAnsi="GHEA Grapalat"/>
          <w:lang w:val="hy-AM"/>
        </w:rPr>
        <w:t>առաջացած խնդիրներին արագ արձագանքումը</w:t>
      </w:r>
      <w:r>
        <w:rPr>
          <w:rFonts w:ascii="GHEA Grapalat" w:hAnsi="GHEA Grapalat"/>
          <w:lang w:val="hy-AM"/>
        </w:rPr>
        <w:t xml:space="preserve"> և հանրահռչակումը</w:t>
      </w:r>
      <w:r w:rsidRPr="009B26BF">
        <w:rPr>
          <w:rFonts w:ascii="GHEA Grapalat" w:hAnsi="GHEA Grapalat"/>
          <w:lang w:val="hy-AM"/>
        </w:rPr>
        <w:t xml:space="preserve">: </w:t>
      </w:r>
    </w:p>
    <w:p w:rsidR="00753AFB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6C3183" w:rsidRDefault="006C3183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6C3183" w:rsidRPr="009B26BF" w:rsidRDefault="006C3183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53AFB" w:rsidRPr="009B26BF" w:rsidRDefault="00753AFB" w:rsidP="00753AFB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26BF">
        <w:rPr>
          <w:rFonts w:ascii="GHEA Grapalat" w:hAnsi="GHEA Grapalat" w:cs="GHEA Grapalat"/>
          <w:b/>
          <w:iCs/>
          <w:sz w:val="24"/>
          <w:szCs w:val="24"/>
          <w:lang w:val="hy-AM"/>
        </w:rPr>
        <w:t xml:space="preserve"> 4</w:t>
      </w:r>
      <w:r w:rsidRPr="009B26B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9B26BF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  <w:r w:rsidRPr="009B26BF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753AFB" w:rsidRDefault="00753AFB" w:rsidP="00753AF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B26BF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9B26BF">
        <w:rPr>
          <w:rFonts w:ascii="GHEA Grapalat" w:hAnsi="GHEA Grapalat"/>
          <w:sz w:val="24"/>
          <w:szCs w:val="24"/>
          <w:lang w:val="af-ZA"/>
        </w:rPr>
        <w:t>Իրավական ակտի նախագիծ</w:t>
      </w:r>
      <w:r w:rsidRPr="009B26BF">
        <w:rPr>
          <w:rFonts w:ascii="GHEA Grapalat" w:hAnsi="GHEA Grapalat"/>
          <w:sz w:val="24"/>
          <w:szCs w:val="24"/>
          <w:lang w:val="hy-AM"/>
        </w:rPr>
        <w:t>ը</w:t>
      </w:r>
      <w:r w:rsidRPr="009B26BF">
        <w:rPr>
          <w:rFonts w:ascii="GHEA Grapalat" w:hAnsi="GHEA Grapalat"/>
          <w:sz w:val="24"/>
          <w:szCs w:val="24"/>
          <w:lang w:val="af-ZA"/>
        </w:rPr>
        <w:t xml:space="preserve"> մշակվել</w:t>
      </w:r>
      <w:r w:rsidRPr="009B26BF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9B26BF">
        <w:rPr>
          <w:rFonts w:ascii="GHEA Grapalat" w:hAnsi="GHEA Grapalat" w:cs="GHEA Grapalat"/>
          <w:iCs/>
          <w:sz w:val="24"/>
          <w:szCs w:val="24"/>
          <w:lang w:val="hy-AM"/>
        </w:rPr>
        <w:t>Հայաստանի Հանրապետության</w:t>
      </w:r>
      <w:r w:rsidRPr="009B26BF"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սպորտի նախարարության մասնագետների կողմից:</w:t>
      </w:r>
    </w:p>
    <w:p w:rsidR="00753AFB" w:rsidRPr="009B26BF" w:rsidRDefault="00753AFB" w:rsidP="00753AF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AFB" w:rsidRPr="009B26BF" w:rsidRDefault="00753AFB" w:rsidP="00753AFB">
      <w:pPr>
        <w:autoSpaceDE w:val="0"/>
        <w:autoSpaceDN w:val="0"/>
        <w:adjustRightInd w:val="0"/>
        <w:spacing w:line="360" w:lineRule="auto"/>
        <w:ind w:firstLine="567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9B26BF">
        <w:rPr>
          <w:rFonts w:ascii="GHEA Grapalat" w:eastAsia="Calibri" w:hAnsi="GHEA Grapalat"/>
          <w:b/>
          <w:sz w:val="24"/>
          <w:szCs w:val="24"/>
          <w:lang w:val="hy-AM"/>
        </w:rPr>
        <w:t xml:space="preserve">5. </w:t>
      </w:r>
      <w:r w:rsidRPr="009B26BF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արդյունքը.</w:t>
      </w:r>
    </w:p>
    <w:p w:rsidR="00753AFB" w:rsidRDefault="00753AFB" w:rsidP="00753AFB">
      <w:pPr>
        <w:spacing w:line="360" w:lineRule="auto"/>
        <w:ind w:firstLine="567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9B26BF">
        <w:rPr>
          <w:rFonts w:ascii="GHEA Grapalat" w:eastAsia="Calibri" w:hAnsi="GHEA Grapalat"/>
          <w:sz w:val="24"/>
          <w:szCs w:val="24"/>
          <w:lang w:val="hy-AM"/>
        </w:rPr>
        <w:t xml:space="preserve"> Որոշման ընդունման արդյունքում </w:t>
      </w:r>
      <w:r w:rsidRPr="009B26BF">
        <w:rPr>
          <w:rFonts w:ascii="GHEA Grapalat" w:hAnsi="GHEA Grapalat" w:cs="GHEA Grapalat"/>
          <w:iCs/>
          <w:sz w:val="24"/>
          <w:szCs w:val="24"/>
          <w:lang w:val="hy-AM"/>
        </w:rPr>
        <w:t xml:space="preserve">անմիջականորեն </w:t>
      </w:r>
      <w:r w:rsidRPr="009B26BF">
        <w:rPr>
          <w:rFonts w:ascii="GHEA Grapalat" w:hAnsi="GHEA Grapalat"/>
          <w:sz w:val="24"/>
          <w:szCs w:val="24"/>
          <w:lang w:val="hy-AM"/>
        </w:rPr>
        <w:t>կապահովվի</w:t>
      </w:r>
      <w:r w:rsidRPr="009B26B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կազմակերպության կանոնադրական պարտավորությունների կատարումը՝ այն է </w:t>
      </w:r>
      <w:r w:rsidRPr="005E4304">
        <w:rPr>
          <w:rFonts w:ascii="GHEA Grapalat" w:hAnsi="GHEA Grapalat" w:cs="GHEA Grapalat"/>
          <w:iCs/>
          <w:sz w:val="24"/>
          <w:szCs w:val="24"/>
          <w:lang w:val="hy-AM"/>
        </w:rPr>
        <w:t xml:space="preserve">պատմական, հնագիտական, ճարտարապետական անշարժ հուշարձանախմբերի, հուշարձանների համալիրների, պատմական և բնապատմական միջավայրի, պատմամշակութային հողերի, տեղանքապատկերների (լանդշաֆտների), մշակութային այլ արժեքների պահպանությունը, արգելոց-թանգարանների, արգելոց-թանգարանների տարածքում առկա հուշարձանների ամրակայման, վերականգնման, նորոգման և հարմարեցման աշխատանքների կազմակերպումը,  մարզային ծառայությունների միջոցով՝ արգելոց-թանգարանների պատմամշակութային ժառանգության օբյեկտների մշտադիրկումը և առաջացած խնդիրներին արագ արձագանքումը: </w:t>
      </w:r>
    </w:p>
    <w:p w:rsidR="00753AFB" w:rsidRDefault="00753AFB" w:rsidP="00753AFB">
      <w:pPr>
        <w:spacing w:line="360" w:lineRule="auto"/>
        <w:ind w:firstLine="567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753AFB" w:rsidRPr="009B26BF" w:rsidRDefault="00753AFB" w:rsidP="00753AFB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B26BF">
        <w:rPr>
          <w:rFonts w:ascii="GHEA Grapalat" w:hAnsi="GHEA Grapalat" w:cs="Sylfaen"/>
          <w:b/>
          <w:sz w:val="24"/>
          <w:szCs w:val="24"/>
          <w:lang w:val="hy-AM"/>
        </w:rPr>
        <w:t>6. 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753AFB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B26BF">
        <w:rPr>
          <w:rFonts w:ascii="GHEA Grapalat" w:hAnsi="GHEA Grapalat"/>
          <w:lang w:val="hy-AM"/>
        </w:rPr>
        <w:t>Հայաստանի Հանրապետության  կառավարության որոշման նախագծի ընդունումը Հայաստանի Հանրապետության պետական կամ տեղական ինքնակառավարման մարմնի բյուջեում ծախսերի և եկամուտների էական ավելացում կամ նվազեցում չի նախատեսում:</w:t>
      </w:r>
    </w:p>
    <w:p w:rsidR="00753AFB" w:rsidRPr="009B26BF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:rsidR="00753AFB" w:rsidRPr="009B26BF" w:rsidRDefault="00753AFB" w:rsidP="00753AF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9B26BF">
        <w:rPr>
          <w:rFonts w:ascii="GHEA Grapalat" w:hAnsi="GHEA Grapalat" w:cs="Sylfaen"/>
          <w:b/>
          <w:lang w:val="hy-AM"/>
        </w:rPr>
        <w:t>7. Իրավական ակտի ընդունման կապակցությամբ այլ նորմատիվ իրավական ակ</w:t>
      </w:r>
      <w:r w:rsidRPr="009B26BF">
        <w:rPr>
          <w:rFonts w:ascii="GHEA Grapalat" w:hAnsi="GHEA Grapalat" w:cs="Sylfaen"/>
          <w:b/>
          <w:lang w:val="hy-AM"/>
        </w:rPr>
        <w:softHyphen/>
        <w:t>տերի ընդունման անհրաժեշտություն.</w:t>
      </w:r>
    </w:p>
    <w:p w:rsidR="00753AFB" w:rsidRPr="009B26BF" w:rsidRDefault="00753AFB" w:rsidP="00753AFB">
      <w:pPr>
        <w:tabs>
          <w:tab w:val="center" w:pos="-6480"/>
          <w:tab w:val="right" w:pos="8640"/>
        </w:tabs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9B26BF">
        <w:rPr>
          <w:rFonts w:ascii="GHEA Grapalat" w:hAnsi="GHEA Grapalat"/>
          <w:sz w:val="24"/>
          <w:szCs w:val="24"/>
          <w:lang w:val="ro-RO"/>
        </w:rPr>
        <w:lastRenderedPageBreak/>
        <w:t>Այլ իրավական ակտերում փոփոխությունների և/կամ լրացումների անհրաժեշ</w:t>
      </w:r>
      <w:r w:rsidRPr="009B26BF">
        <w:rPr>
          <w:rFonts w:ascii="GHEA Grapalat" w:hAnsi="GHEA Grapalat"/>
          <w:sz w:val="24"/>
          <w:szCs w:val="24"/>
          <w:lang w:val="hy-AM"/>
        </w:rPr>
        <w:softHyphen/>
      </w:r>
      <w:r w:rsidRPr="009B26BF">
        <w:rPr>
          <w:rFonts w:ascii="GHEA Grapalat" w:hAnsi="GHEA Grapalat"/>
          <w:sz w:val="24"/>
          <w:szCs w:val="24"/>
          <w:lang w:val="ro-RO"/>
        </w:rPr>
        <w:t>տությունը.</w:t>
      </w:r>
    </w:p>
    <w:p w:rsidR="00753AFB" w:rsidRPr="009B26BF" w:rsidRDefault="00753AFB" w:rsidP="00753AFB">
      <w:pPr>
        <w:tabs>
          <w:tab w:val="center" w:pos="-6480"/>
          <w:tab w:val="right" w:pos="8640"/>
        </w:tabs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</w:pPr>
      <w:r w:rsidRPr="009B26BF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9B26BF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53AFB" w:rsidRPr="009B26BF" w:rsidRDefault="00753AFB" w:rsidP="00753AFB">
      <w:pPr>
        <w:tabs>
          <w:tab w:val="center" w:pos="-6480"/>
          <w:tab w:val="right" w:pos="8640"/>
        </w:tabs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9B26BF">
        <w:rPr>
          <w:rFonts w:ascii="GHEA Grapalat" w:hAnsi="GHEA Grapalat"/>
          <w:sz w:val="24"/>
          <w:lang w:val="ro-RO"/>
        </w:rPr>
        <w:t xml:space="preserve">Միջազգային պայմանագրերով ստանձնած պարտավորությունների հետ </w:t>
      </w:r>
      <w:r w:rsidRPr="009B26BF">
        <w:rPr>
          <w:rFonts w:ascii="GHEA Grapalat" w:hAnsi="GHEA Grapalat"/>
          <w:sz w:val="24"/>
          <w:szCs w:val="24"/>
          <w:lang w:val="ro-RO"/>
        </w:rPr>
        <w:t>համա</w:t>
      </w:r>
      <w:r w:rsidRPr="009B26BF">
        <w:rPr>
          <w:rFonts w:ascii="GHEA Grapalat" w:hAnsi="GHEA Grapalat"/>
          <w:sz w:val="24"/>
          <w:szCs w:val="24"/>
          <w:lang w:val="ro-RO"/>
        </w:rPr>
        <w:softHyphen/>
        <w:t>պատասխանությունը.</w:t>
      </w:r>
    </w:p>
    <w:p w:rsidR="00753AFB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 w:cs="Times Armenian"/>
          <w:u w:val="single"/>
          <w:lang w:val="ro-RO"/>
        </w:rPr>
      </w:pPr>
      <w:r w:rsidRPr="009B26BF">
        <w:rPr>
          <w:rFonts w:ascii="GHEA Grapalat" w:hAnsi="GHEA Grapalat"/>
          <w:u w:val="single"/>
          <w:lang w:val="ro-RO"/>
        </w:rPr>
        <w:t>Համապատասխանում է</w:t>
      </w:r>
      <w:r w:rsidRPr="009B26BF">
        <w:rPr>
          <w:rFonts w:ascii="GHEA Grapalat" w:hAnsi="GHEA Grapalat" w:cs="Times Armenian"/>
          <w:u w:val="single"/>
          <w:lang w:val="ro-RO"/>
        </w:rPr>
        <w:t>:</w:t>
      </w:r>
    </w:p>
    <w:p w:rsidR="00753AFB" w:rsidRPr="009B26BF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lang w:val="ro-RO"/>
        </w:rPr>
      </w:pPr>
    </w:p>
    <w:p w:rsidR="00753AFB" w:rsidRPr="009B26BF" w:rsidRDefault="00753AFB" w:rsidP="00753AFB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26BF">
        <w:rPr>
          <w:rFonts w:ascii="GHEA Grapalat" w:hAnsi="GHEA Grapalat" w:cs="Sylfaen"/>
          <w:b/>
          <w:sz w:val="24"/>
          <w:szCs w:val="24"/>
          <w:lang w:val="hy-AM"/>
        </w:rPr>
        <w:t xml:space="preserve">8. </w:t>
      </w:r>
      <w:r w:rsidRPr="009B26BF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753AFB" w:rsidRPr="009B26BF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9B26BF">
        <w:rPr>
          <w:rFonts w:ascii="GHEA Grapalat" w:hAnsi="GHEA Grapalat"/>
          <w:lang w:val="hy-AM"/>
        </w:rPr>
        <w:t>Հայաստանի Հանրապետության կառավարության որոշման նախագծի ընդունման անհրաժեշտությունը բխում է Հայաստանի Հանրապետության կառավարության 2021 թվա</w:t>
      </w:r>
      <w:r w:rsidRPr="009B26BF">
        <w:rPr>
          <w:rFonts w:ascii="GHEA Grapalat" w:hAnsi="GHEA Grapalat"/>
          <w:lang w:val="hy-AM"/>
        </w:rPr>
        <w:softHyphen/>
        <w:t>կանի օգոստոսի 18-ի N 1363-Ա որոշման հավելվածի «Ծրագիր Հայաստանի Հանրապետու</w:t>
      </w:r>
      <w:r w:rsidRPr="009B26BF">
        <w:rPr>
          <w:rFonts w:ascii="GHEA Grapalat" w:hAnsi="GHEA Grapalat"/>
          <w:lang w:val="hy-AM"/>
        </w:rPr>
        <w:softHyphen/>
        <w:t xml:space="preserve">թյան կառավարության (2021-2026 թթ.)» </w:t>
      </w:r>
      <w:r w:rsidRPr="009B26BF">
        <w:rPr>
          <w:rFonts w:ascii="GHEA Grapalat" w:hAnsi="GHEA Grapalat"/>
          <w:lang w:val="ro-RO"/>
        </w:rPr>
        <w:t>4</w:t>
      </w:r>
      <w:r w:rsidRPr="009B26BF">
        <w:rPr>
          <w:rFonts w:ascii="GHEA Grapalat" w:hAnsi="GHEA Grapalat"/>
          <w:lang w:val="hy-AM"/>
        </w:rPr>
        <w:t>.</w:t>
      </w:r>
      <w:r w:rsidRPr="009B26BF">
        <w:rPr>
          <w:rFonts w:ascii="GHEA Grapalat" w:hAnsi="GHEA Grapalat"/>
          <w:lang w:val="ro-RO"/>
        </w:rPr>
        <w:t>9</w:t>
      </w:r>
      <w:r w:rsidRPr="009B26BF">
        <w:rPr>
          <w:rFonts w:ascii="GHEA Grapalat" w:hAnsi="GHEA Grapalat"/>
          <w:lang w:val="hy-AM"/>
        </w:rPr>
        <w:t>-րդ բաժնի «Հայկական պատմամշակութային ժառանգության (նյութական և ոչ նյութական) պահպանության, ուսումնասիրության, օգտագործման և հանրայնացման շարունակականության ապահովում» և «</w:t>
      </w:r>
      <w:r>
        <w:rPr>
          <w:rFonts w:ascii="GHEA Grapalat" w:hAnsi="GHEA Grapalat"/>
          <w:lang w:val="hy-AM"/>
        </w:rPr>
        <w:t>Մշակութային զբոսաշրջության զարգացմանն ուղղված ծրագրերի իրականացում և միջազգային զբոսաշրջային շուկայի համար Հայաստանի հասանելիության բարձրացում</w:t>
      </w:r>
      <w:r w:rsidRPr="009B26BF">
        <w:rPr>
          <w:rFonts w:ascii="GHEA Grapalat" w:hAnsi="GHEA Grapalat"/>
          <w:lang w:val="hy-AM"/>
        </w:rPr>
        <w:t>» պարբերություններից:</w:t>
      </w:r>
    </w:p>
    <w:p w:rsidR="00753AFB" w:rsidRPr="009B26BF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:rsidR="00753AFB" w:rsidRPr="009B26BF" w:rsidRDefault="00753AFB" w:rsidP="00753AFB">
      <w:pPr>
        <w:pStyle w:val="ListParagraph"/>
        <w:tabs>
          <w:tab w:val="center" w:pos="-6480"/>
          <w:tab w:val="right" w:pos="8640"/>
        </w:tabs>
        <w:spacing w:line="360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9B26BF">
        <w:rPr>
          <w:rFonts w:ascii="GHEA Grapalat" w:hAnsi="GHEA Grapalat"/>
          <w:b/>
          <w:lang w:val="ro-RO"/>
        </w:rPr>
        <w:t>9. Այլ տեղեկություններ</w:t>
      </w:r>
      <w:r w:rsidRPr="009B26BF">
        <w:rPr>
          <w:rFonts w:ascii="GHEA Grapalat" w:hAnsi="GHEA Grapalat"/>
          <w:b/>
          <w:lang w:val="hy-AM"/>
        </w:rPr>
        <w:t>.</w:t>
      </w:r>
    </w:p>
    <w:p w:rsidR="00753AFB" w:rsidRPr="009B26BF" w:rsidRDefault="00753AFB" w:rsidP="00753AFB">
      <w:pPr>
        <w:spacing w:line="360" w:lineRule="auto"/>
        <w:ind w:firstLine="567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9B26BF">
        <w:rPr>
          <w:rFonts w:ascii="GHEA Grapalat" w:hAnsi="GHEA Grapalat" w:cs="Sylfaen"/>
          <w:sz w:val="24"/>
          <w:szCs w:val="24"/>
          <w:lang w:val="hy-AM"/>
        </w:rPr>
        <w:t>Չկան:</w:t>
      </w:r>
    </w:p>
    <w:p w:rsidR="00DE3450" w:rsidRPr="008F1AA0" w:rsidRDefault="00DE3450" w:rsidP="00753AFB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b/>
          <w:lang w:val="hy-AM"/>
        </w:rPr>
      </w:pPr>
    </w:p>
    <w:sectPr w:rsidR="00DE3450" w:rsidRPr="008F1AA0" w:rsidSect="00A838C3">
      <w:headerReference w:type="even" r:id="rId8"/>
      <w:footerReference w:type="default" r:id="rId9"/>
      <w:pgSz w:w="11907" w:h="16840" w:code="9"/>
      <w:pgMar w:top="450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4E" w:rsidRDefault="0022074E" w:rsidP="009D58F6">
      <w:r>
        <w:separator/>
      </w:r>
    </w:p>
  </w:endnote>
  <w:endnote w:type="continuationSeparator" w:id="0">
    <w:p w:rsidR="0022074E" w:rsidRDefault="0022074E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22074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22074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22074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4E" w:rsidRDefault="0022074E" w:rsidP="009D58F6">
      <w:r>
        <w:separator/>
      </w:r>
    </w:p>
  </w:footnote>
  <w:footnote w:type="continuationSeparator" w:id="0">
    <w:p w:rsidR="0022074E" w:rsidRDefault="0022074E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20"/>
    <w:multiLevelType w:val="hybridMultilevel"/>
    <w:tmpl w:val="5710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D00D61"/>
    <w:multiLevelType w:val="hybridMultilevel"/>
    <w:tmpl w:val="3EBAB8F6"/>
    <w:lvl w:ilvl="0" w:tplc="570E1300">
      <w:start w:val="3"/>
      <w:numFmt w:val="decimal"/>
      <w:lvlText w:val="%1."/>
      <w:lvlJc w:val="left"/>
      <w:pPr>
        <w:ind w:left="1287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827D92"/>
    <w:multiLevelType w:val="hybridMultilevel"/>
    <w:tmpl w:val="79DEAE12"/>
    <w:lvl w:ilvl="0" w:tplc="5192E7EA">
      <w:start w:val="3"/>
      <w:numFmt w:val="decimal"/>
      <w:lvlText w:val="%1."/>
      <w:lvlJc w:val="left"/>
      <w:pPr>
        <w:ind w:left="432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D593DA7"/>
    <w:multiLevelType w:val="hybridMultilevel"/>
    <w:tmpl w:val="2656082A"/>
    <w:lvl w:ilvl="0" w:tplc="A9D03A3E">
      <w:start w:val="1"/>
      <w:numFmt w:val="decimal"/>
      <w:lvlText w:val="%1."/>
      <w:lvlJc w:val="left"/>
      <w:pPr>
        <w:ind w:left="1080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AB3245F"/>
    <w:multiLevelType w:val="hybridMultilevel"/>
    <w:tmpl w:val="ED46468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4770" w:hanging="360"/>
      </w:p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7"/>
    <w:rsid w:val="00000624"/>
    <w:rsid w:val="00011F28"/>
    <w:rsid w:val="00013D61"/>
    <w:rsid w:val="00015372"/>
    <w:rsid w:val="00015C07"/>
    <w:rsid w:val="0002210E"/>
    <w:rsid w:val="000306DA"/>
    <w:rsid w:val="000309C4"/>
    <w:rsid w:val="00051185"/>
    <w:rsid w:val="00054058"/>
    <w:rsid w:val="00054886"/>
    <w:rsid w:val="000571B3"/>
    <w:rsid w:val="00062059"/>
    <w:rsid w:val="00062579"/>
    <w:rsid w:val="0006796F"/>
    <w:rsid w:val="000836ED"/>
    <w:rsid w:val="00085B87"/>
    <w:rsid w:val="0008673A"/>
    <w:rsid w:val="00096089"/>
    <w:rsid w:val="000A0217"/>
    <w:rsid w:val="000A42B3"/>
    <w:rsid w:val="000A70ED"/>
    <w:rsid w:val="000C1C79"/>
    <w:rsid w:val="000D173F"/>
    <w:rsid w:val="000D34EC"/>
    <w:rsid w:val="000D3681"/>
    <w:rsid w:val="000D5A79"/>
    <w:rsid w:val="000E3B29"/>
    <w:rsid w:val="000F0E13"/>
    <w:rsid w:val="000F1634"/>
    <w:rsid w:val="000F7EB2"/>
    <w:rsid w:val="001032CA"/>
    <w:rsid w:val="00104343"/>
    <w:rsid w:val="00105DF5"/>
    <w:rsid w:val="00110FC1"/>
    <w:rsid w:val="00115686"/>
    <w:rsid w:val="00123606"/>
    <w:rsid w:val="0012379E"/>
    <w:rsid w:val="00123BDD"/>
    <w:rsid w:val="00132761"/>
    <w:rsid w:val="00132E04"/>
    <w:rsid w:val="00141E73"/>
    <w:rsid w:val="00144DB6"/>
    <w:rsid w:val="0015123B"/>
    <w:rsid w:val="00151B7D"/>
    <w:rsid w:val="0015420F"/>
    <w:rsid w:val="00160D07"/>
    <w:rsid w:val="00162A7F"/>
    <w:rsid w:val="001664E1"/>
    <w:rsid w:val="0017635A"/>
    <w:rsid w:val="001819D7"/>
    <w:rsid w:val="001832F3"/>
    <w:rsid w:val="00186AAA"/>
    <w:rsid w:val="00196682"/>
    <w:rsid w:val="001A3DEA"/>
    <w:rsid w:val="001A4F2D"/>
    <w:rsid w:val="001B29AF"/>
    <w:rsid w:val="001B30A2"/>
    <w:rsid w:val="001B4846"/>
    <w:rsid w:val="001B64EE"/>
    <w:rsid w:val="001C0443"/>
    <w:rsid w:val="001C33A7"/>
    <w:rsid w:val="001D2C1E"/>
    <w:rsid w:val="001D667C"/>
    <w:rsid w:val="001E3418"/>
    <w:rsid w:val="001E6140"/>
    <w:rsid w:val="001E6A70"/>
    <w:rsid w:val="001F760B"/>
    <w:rsid w:val="00201F92"/>
    <w:rsid w:val="002077E4"/>
    <w:rsid w:val="002165C4"/>
    <w:rsid w:val="0022074E"/>
    <w:rsid w:val="002237EA"/>
    <w:rsid w:val="00223FD4"/>
    <w:rsid w:val="00224B43"/>
    <w:rsid w:val="002252B0"/>
    <w:rsid w:val="00226507"/>
    <w:rsid w:val="00245980"/>
    <w:rsid w:val="00257541"/>
    <w:rsid w:val="0027606D"/>
    <w:rsid w:val="0027664E"/>
    <w:rsid w:val="00280274"/>
    <w:rsid w:val="00282368"/>
    <w:rsid w:val="00294B15"/>
    <w:rsid w:val="0029574D"/>
    <w:rsid w:val="002A2C91"/>
    <w:rsid w:val="002A5A4E"/>
    <w:rsid w:val="002C0945"/>
    <w:rsid w:val="002C6519"/>
    <w:rsid w:val="002C780C"/>
    <w:rsid w:val="002D13FD"/>
    <w:rsid w:val="002D34DA"/>
    <w:rsid w:val="002D75AA"/>
    <w:rsid w:val="002D7E10"/>
    <w:rsid w:val="002E0656"/>
    <w:rsid w:val="002F1B4C"/>
    <w:rsid w:val="002F34FE"/>
    <w:rsid w:val="002F3940"/>
    <w:rsid w:val="002F4DED"/>
    <w:rsid w:val="00303907"/>
    <w:rsid w:val="00310528"/>
    <w:rsid w:val="003123E7"/>
    <w:rsid w:val="00327265"/>
    <w:rsid w:val="00330396"/>
    <w:rsid w:val="00333A97"/>
    <w:rsid w:val="003343AB"/>
    <w:rsid w:val="00335E99"/>
    <w:rsid w:val="00340A14"/>
    <w:rsid w:val="00345F09"/>
    <w:rsid w:val="00346677"/>
    <w:rsid w:val="00346778"/>
    <w:rsid w:val="00361B49"/>
    <w:rsid w:val="00366AF2"/>
    <w:rsid w:val="00377403"/>
    <w:rsid w:val="00382A59"/>
    <w:rsid w:val="00385AB2"/>
    <w:rsid w:val="00390B2D"/>
    <w:rsid w:val="003963C5"/>
    <w:rsid w:val="003A1E69"/>
    <w:rsid w:val="003B1E6D"/>
    <w:rsid w:val="003B42FC"/>
    <w:rsid w:val="003B4D01"/>
    <w:rsid w:val="003C0DF9"/>
    <w:rsid w:val="003C6E63"/>
    <w:rsid w:val="003C7E70"/>
    <w:rsid w:val="003D4A39"/>
    <w:rsid w:val="003E05F2"/>
    <w:rsid w:val="003E38E9"/>
    <w:rsid w:val="003F243D"/>
    <w:rsid w:val="003F4726"/>
    <w:rsid w:val="003F6419"/>
    <w:rsid w:val="0041310F"/>
    <w:rsid w:val="004230DA"/>
    <w:rsid w:val="00425B40"/>
    <w:rsid w:val="004307F9"/>
    <w:rsid w:val="00434A5C"/>
    <w:rsid w:val="00437DCB"/>
    <w:rsid w:val="00437E41"/>
    <w:rsid w:val="004403C4"/>
    <w:rsid w:val="00453550"/>
    <w:rsid w:val="004571FD"/>
    <w:rsid w:val="004573BF"/>
    <w:rsid w:val="0045780B"/>
    <w:rsid w:val="0046673B"/>
    <w:rsid w:val="00474DEA"/>
    <w:rsid w:val="004802C1"/>
    <w:rsid w:val="004831A1"/>
    <w:rsid w:val="0048553B"/>
    <w:rsid w:val="00493A1D"/>
    <w:rsid w:val="00495F6C"/>
    <w:rsid w:val="004A507E"/>
    <w:rsid w:val="004C12E8"/>
    <w:rsid w:val="004C1E48"/>
    <w:rsid w:val="004C71EA"/>
    <w:rsid w:val="004D0D76"/>
    <w:rsid w:val="004D4C28"/>
    <w:rsid w:val="004D7DBF"/>
    <w:rsid w:val="004E06F9"/>
    <w:rsid w:val="004E45E6"/>
    <w:rsid w:val="004E7F45"/>
    <w:rsid w:val="004F5391"/>
    <w:rsid w:val="004F643A"/>
    <w:rsid w:val="004F6A7D"/>
    <w:rsid w:val="004F7E8A"/>
    <w:rsid w:val="005048CE"/>
    <w:rsid w:val="00505B0C"/>
    <w:rsid w:val="00512136"/>
    <w:rsid w:val="00515D57"/>
    <w:rsid w:val="00521C39"/>
    <w:rsid w:val="00522621"/>
    <w:rsid w:val="0052344E"/>
    <w:rsid w:val="00534F50"/>
    <w:rsid w:val="0054650D"/>
    <w:rsid w:val="005465B4"/>
    <w:rsid w:val="005475DD"/>
    <w:rsid w:val="0055142C"/>
    <w:rsid w:val="0055506F"/>
    <w:rsid w:val="00564DE9"/>
    <w:rsid w:val="00566EE3"/>
    <w:rsid w:val="00570E4A"/>
    <w:rsid w:val="005744A3"/>
    <w:rsid w:val="005745C3"/>
    <w:rsid w:val="005749A2"/>
    <w:rsid w:val="00574C93"/>
    <w:rsid w:val="005906ED"/>
    <w:rsid w:val="00590E53"/>
    <w:rsid w:val="005A38A5"/>
    <w:rsid w:val="005A3946"/>
    <w:rsid w:val="005A7A2F"/>
    <w:rsid w:val="005A7C7F"/>
    <w:rsid w:val="005B0027"/>
    <w:rsid w:val="005B4534"/>
    <w:rsid w:val="005C16A7"/>
    <w:rsid w:val="005D68FF"/>
    <w:rsid w:val="005E00BD"/>
    <w:rsid w:val="005E17E2"/>
    <w:rsid w:val="005F74E1"/>
    <w:rsid w:val="0060353B"/>
    <w:rsid w:val="00614A08"/>
    <w:rsid w:val="006219A8"/>
    <w:rsid w:val="0063044E"/>
    <w:rsid w:val="006351A2"/>
    <w:rsid w:val="00636438"/>
    <w:rsid w:val="00647B46"/>
    <w:rsid w:val="006509A7"/>
    <w:rsid w:val="006539B3"/>
    <w:rsid w:val="00656D57"/>
    <w:rsid w:val="006679DC"/>
    <w:rsid w:val="006776A6"/>
    <w:rsid w:val="006811B2"/>
    <w:rsid w:val="006813A2"/>
    <w:rsid w:val="00681BD4"/>
    <w:rsid w:val="00683B53"/>
    <w:rsid w:val="006846FB"/>
    <w:rsid w:val="0069215F"/>
    <w:rsid w:val="00697EBE"/>
    <w:rsid w:val="006A63B5"/>
    <w:rsid w:val="006B2FE3"/>
    <w:rsid w:val="006C3183"/>
    <w:rsid w:val="006C493C"/>
    <w:rsid w:val="006D0B62"/>
    <w:rsid w:val="006D1239"/>
    <w:rsid w:val="006D41CA"/>
    <w:rsid w:val="006D67A9"/>
    <w:rsid w:val="006D6832"/>
    <w:rsid w:val="006E7E40"/>
    <w:rsid w:val="006F489A"/>
    <w:rsid w:val="00713E44"/>
    <w:rsid w:val="007142A4"/>
    <w:rsid w:val="0071602D"/>
    <w:rsid w:val="00722809"/>
    <w:rsid w:val="0072522B"/>
    <w:rsid w:val="0073051A"/>
    <w:rsid w:val="00732144"/>
    <w:rsid w:val="00732EC3"/>
    <w:rsid w:val="00742E7C"/>
    <w:rsid w:val="00745E61"/>
    <w:rsid w:val="007476A3"/>
    <w:rsid w:val="00753AFB"/>
    <w:rsid w:val="0076282E"/>
    <w:rsid w:val="0076653E"/>
    <w:rsid w:val="00775D26"/>
    <w:rsid w:val="00787E6A"/>
    <w:rsid w:val="007917B7"/>
    <w:rsid w:val="007A4F47"/>
    <w:rsid w:val="007A6196"/>
    <w:rsid w:val="007B19F1"/>
    <w:rsid w:val="007B305D"/>
    <w:rsid w:val="007D0663"/>
    <w:rsid w:val="007D3C71"/>
    <w:rsid w:val="007E1CB9"/>
    <w:rsid w:val="007E43EE"/>
    <w:rsid w:val="007E61D9"/>
    <w:rsid w:val="007E6FD5"/>
    <w:rsid w:val="007F6566"/>
    <w:rsid w:val="00800F58"/>
    <w:rsid w:val="00801FC6"/>
    <w:rsid w:val="0080505A"/>
    <w:rsid w:val="00810027"/>
    <w:rsid w:val="008138E4"/>
    <w:rsid w:val="008176F7"/>
    <w:rsid w:val="00821F5A"/>
    <w:rsid w:val="008275B1"/>
    <w:rsid w:val="00827B4D"/>
    <w:rsid w:val="00827DD4"/>
    <w:rsid w:val="00836F07"/>
    <w:rsid w:val="00847EF9"/>
    <w:rsid w:val="00854C25"/>
    <w:rsid w:val="00861C0C"/>
    <w:rsid w:val="00861D00"/>
    <w:rsid w:val="00870254"/>
    <w:rsid w:val="008875F6"/>
    <w:rsid w:val="008A0408"/>
    <w:rsid w:val="008A7B8F"/>
    <w:rsid w:val="008B12E9"/>
    <w:rsid w:val="008B1665"/>
    <w:rsid w:val="008B236D"/>
    <w:rsid w:val="008B2706"/>
    <w:rsid w:val="008C0006"/>
    <w:rsid w:val="008D1E78"/>
    <w:rsid w:val="008D37A4"/>
    <w:rsid w:val="008E4592"/>
    <w:rsid w:val="008E5D7D"/>
    <w:rsid w:val="008F1AA0"/>
    <w:rsid w:val="008F2E22"/>
    <w:rsid w:val="00907200"/>
    <w:rsid w:val="00910C48"/>
    <w:rsid w:val="00912200"/>
    <w:rsid w:val="00912833"/>
    <w:rsid w:val="00914499"/>
    <w:rsid w:val="00915FD1"/>
    <w:rsid w:val="00916A8E"/>
    <w:rsid w:val="009232AC"/>
    <w:rsid w:val="009627AE"/>
    <w:rsid w:val="009637A6"/>
    <w:rsid w:val="00965186"/>
    <w:rsid w:val="009659E4"/>
    <w:rsid w:val="0096664B"/>
    <w:rsid w:val="00975710"/>
    <w:rsid w:val="0097773D"/>
    <w:rsid w:val="00977ED8"/>
    <w:rsid w:val="00993913"/>
    <w:rsid w:val="009A6D52"/>
    <w:rsid w:val="009A7EFE"/>
    <w:rsid w:val="009B3645"/>
    <w:rsid w:val="009C5A86"/>
    <w:rsid w:val="009D2317"/>
    <w:rsid w:val="009D3897"/>
    <w:rsid w:val="009D4BB9"/>
    <w:rsid w:val="009D58F6"/>
    <w:rsid w:val="009E0160"/>
    <w:rsid w:val="009E7558"/>
    <w:rsid w:val="009F0233"/>
    <w:rsid w:val="00A066A3"/>
    <w:rsid w:val="00A07164"/>
    <w:rsid w:val="00A143DC"/>
    <w:rsid w:val="00A20370"/>
    <w:rsid w:val="00A2136E"/>
    <w:rsid w:val="00A23EAD"/>
    <w:rsid w:val="00A24A5F"/>
    <w:rsid w:val="00A339FE"/>
    <w:rsid w:val="00A4017B"/>
    <w:rsid w:val="00A41702"/>
    <w:rsid w:val="00A549F6"/>
    <w:rsid w:val="00A701CC"/>
    <w:rsid w:val="00A716BF"/>
    <w:rsid w:val="00A732DD"/>
    <w:rsid w:val="00A75247"/>
    <w:rsid w:val="00A838C3"/>
    <w:rsid w:val="00A90CFE"/>
    <w:rsid w:val="00A92148"/>
    <w:rsid w:val="00A92253"/>
    <w:rsid w:val="00A92283"/>
    <w:rsid w:val="00A930ED"/>
    <w:rsid w:val="00A934D1"/>
    <w:rsid w:val="00A944A2"/>
    <w:rsid w:val="00A94785"/>
    <w:rsid w:val="00A95FFC"/>
    <w:rsid w:val="00AA0B27"/>
    <w:rsid w:val="00AA1D26"/>
    <w:rsid w:val="00AA4BE9"/>
    <w:rsid w:val="00AA699C"/>
    <w:rsid w:val="00AB4FCC"/>
    <w:rsid w:val="00AC42B0"/>
    <w:rsid w:val="00AC51EB"/>
    <w:rsid w:val="00AD6113"/>
    <w:rsid w:val="00AE5435"/>
    <w:rsid w:val="00AE698C"/>
    <w:rsid w:val="00B0515A"/>
    <w:rsid w:val="00B05654"/>
    <w:rsid w:val="00B11387"/>
    <w:rsid w:val="00B163FA"/>
    <w:rsid w:val="00B40A39"/>
    <w:rsid w:val="00B460FA"/>
    <w:rsid w:val="00B47996"/>
    <w:rsid w:val="00B50DAA"/>
    <w:rsid w:val="00B511CE"/>
    <w:rsid w:val="00B529AF"/>
    <w:rsid w:val="00B618C5"/>
    <w:rsid w:val="00B90FC9"/>
    <w:rsid w:val="00B921AB"/>
    <w:rsid w:val="00B93791"/>
    <w:rsid w:val="00B96CCC"/>
    <w:rsid w:val="00BB5230"/>
    <w:rsid w:val="00BB7DFF"/>
    <w:rsid w:val="00BC6328"/>
    <w:rsid w:val="00BD08DD"/>
    <w:rsid w:val="00BE31FB"/>
    <w:rsid w:val="00C00EA5"/>
    <w:rsid w:val="00C010F9"/>
    <w:rsid w:val="00C175D0"/>
    <w:rsid w:val="00C17CA1"/>
    <w:rsid w:val="00C21FEC"/>
    <w:rsid w:val="00C36365"/>
    <w:rsid w:val="00C3683C"/>
    <w:rsid w:val="00C47652"/>
    <w:rsid w:val="00C53609"/>
    <w:rsid w:val="00C631A7"/>
    <w:rsid w:val="00C6433C"/>
    <w:rsid w:val="00C65C82"/>
    <w:rsid w:val="00C7521E"/>
    <w:rsid w:val="00C81880"/>
    <w:rsid w:val="00C92246"/>
    <w:rsid w:val="00CA3AE9"/>
    <w:rsid w:val="00CA4D1E"/>
    <w:rsid w:val="00CA5A12"/>
    <w:rsid w:val="00CB5C82"/>
    <w:rsid w:val="00CC5601"/>
    <w:rsid w:val="00CD7E7F"/>
    <w:rsid w:val="00CE1854"/>
    <w:rsid w:val="00CF058F"/>
    <w:rsid w:val="00CF19FA"/>
    <w:rsid w:val="00CF5CF4"/>
    <w:rsid w:val="00CF7923"/>
    <w:rsid w:val="00D02130"/>
    <w:rsid w:val="00D037F4"/>
    <w:rsid w:val="00D03BB5"/>
    <w:rsid w:val="00D0434B"/>
    <w:rsid w:val="00D108DF"/>
    <w:rsid w:val="00D14619"/>
    <w:rsid w:val="00D14D09"/>
    <w:rsid w:val="00D411FB"/>
    <w:rsid w:val="00D41650"/>
    <w:rsid w:val="00D42D31"/>
    <w:rsid w:val="00D471A1"/>
    <w:rsid w:val="00D471DA"/>
    <w:rsid w:val="00D52152"/>
    <w:rsid w:val="00D547A7"/>
    <w:rsid w:val="00D576A4"/>
    <w:rsid w:val="00D61DFA"/>
    <w:rsid w:val="00D77AB5"/>
    <w:rsid w:val="00D82FB2"/>
    <w:rsid w:val="00D82FC7"/>
    <w:rsid w:val="00D84049"/>
    <w:rsid w:val="00D848F3"/>
    <w:rsid w:val="00D953D0"/>
    <w:rsid w:val="00D9638F"/>
    <w:rsid w:val="00D97C5A"/>
    <w:rsid w:val="00DB2AE9"/>
    <w:rsid w:val="00DC75E0"/>
    <w:rsid w:val="00DC7C54"/>
    <w:rsid w:val="00DE3450"/>
    <w:rsid w:val="00DE4E40"/>
    <w:rsid w:val="00DE64E8"/>
    <w:rsid w:val="00DF2CD6"/>
    <w:rsid w:val="00DF383F"/>
    <w:rsid w:val="00DF407D"/>
    <w:rsid w:val="00DF50F5"/>
    <w:rsid w:val="00E062A0"/>
    <w:rsid w:val="00E07BFC"/>
    <w:rsid w:val="00E107EB"/>
    <w:rsid w:val="00E12E05"/>
    <w:rsid w:val="00E163C5"/>
    <w:rsid w:val="00E16FBE"/>
    <w:rsid w:val="00E22641"/>
    <w:rsid w:val="00E246E2"/>
    <w:rsid w:val="00E248D7"/>
    <w:rsid w:val="00E4054A"/>
    <w:rsid w:val="00E43D95"/>
    <w:rsid w:val="00E5691B"/>
    <w:rsid w:val="00E601D3"/>
    <w:rsid w:val="00E609B4"/>
    <w:rsid w:val="00E65E75"/>
    <w:rsid w:val="00E74720"/>
    <w:rsid w:val="00E83248"/>
    <w:rsid w:val="00E8361F"/>
    <w:rsid w:val="00E86975"/>
    <w:rsid w:val="00E90409"/>
    <w:rsid w:val="00EA1E9F"/>
    <w:rsid w:val="00EC4065"/>
    <w:rsid w:val="00ED546F"/>
    <w:rsid w:val="00EE60CC"/>
    <w:rsid w:val="00EE76E1"/>
    <w:rsid w:val="00EF2F7A"/>
    <w:rsid w:val="00EF45CD"/>
    <w:rsid w:val="00F04205"/>
    <w:rsid w:val="00F0443A"/>
    <w:rsid w:val="00F12446"/>
    <w:rsid w:val="00F13BE1"/>
    <w:rsid w:val="00F14B4D"/>
    <w:rsid w:val="00F21438"/>
    <w:rsid w:val="00F36384"/>
    <w:rsid w:val="00F3650F"/>
    <w:rsid w:val="00F370F7"/>
    <w:rsid w:val="00F371F9"/>
    <w:rsid w:val="00F44F7F"/>
    <w:rsid w:val="00F451FD"/>
    <w:rsid w:val="00F54260"/>
    <w:rsid w:val="00F54A1B"/>
    <w:rsid w:val="00F650F5"/>
    <w:rsid w:val="00F7198C"/>
    <w:rsid w:val="00F842B6"/>
    <w:rsid w:val="00F90821"/>
    <w:rsid w:val="00F92320"/>
    <w:rsid w:val="00F94946"/>
    <w:rsid w:val="00F94D1F"/>
    <w:rsid w:val="00FA3F1E"/>
    <w:rsid w:val="00FA6D46"/>
    <w:rsid w:val="00FC1D5D"/>
    <w:rsid w:val="00FC429D"/>
    <w:rsid w:val="00FD229A"/>
    <w:rsid w:val="00FD2352"/>
    <w:rsid w:val="00FE0D08"/>
    <w:rsid w:val="00FE1B64"/>
    <w:rsid w:val="00FE2D20"/>
    <w:rsid w:val="00FE3A41"/>
    <w:rsid w:val="00FE6BF8"/>
    <w:rsid w:val="00FF0F29"/>
    <w:rsid w:val="00FF3DFD"/>
    <w:rsid w:val="00FF4B8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6367"/>
  <w15:docId w15:val="{6FA3FD84-E03E-400A-BE40-5B57EE7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Normal"/>
    <w:uiPriority w:val="99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CC560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C560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C5601"/>
    <w:rPr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753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90B3-A46A-460D-A125-689DB2CA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https://mul2.gov.am/tasks/710772/oneclick/02_voroshman_naxagic.docx?token=39a2555994ccc986483c8ce518167f89</cp:keywords>
  <cp:lastModifiedBy>Yelena Petrosyan</cp:lastModifiedBy>
  <cp:revision>232</cp:revision>
  <cp:lastPrinted>2021-11-29T13:48:00Z</cp:lastPrinted>
  <dcterms:created xsi:type="dcterms:W3CDTF">2020-03-18T15:11:00Z</dcterms:created>
  <dcterms:modified xsi:type="dcterms:W3CDTF">2022-12-02T12:12:00Z</dcterms:modified>
</cp:coreProperties>
</file>