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3B" w:rsidRDefault="00707A3B" w:rsidP="00707A3B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ՀԻՄՆԱՎՈՐՈՒՄ</w:t>
      </w:r>
    </w:p>
    <w:p w:rsidR="00707A3B" w:rsidRDefault="00707A3B" w:rsidP="00F558AA">
      <w:pPr>
        <w:spacing w:after="0"/>
        <w:ind w:right="96"/>
        <w:jc w:val="center"/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/>
        </w:rPr>
      </w:pPr>
      <w:r w:rsidRPr="00185AA2">
        <w:rPr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ՀԱՆՐԱՊԵՏՈՒԹՅԱՆ </w:t>
      </w:r>
      <w:r w:rsidR="006D3CEF">
        <w:rPr>
          <w:rFonts w:ascii="GHEA Grapalat" w:hAnsi="GHEA Grapalat"/>
          <w:b/>
          <w:noProof/>
          <w:sz w:val="24"/>
          <w:szCs w:val="24"/>
          <w:lang w:val="hy-AM"/>
        </w:rPr>
        <w:t>ԵՎ</w:t>
      </w:r>
      <w:bookmarkStart w:id="0" w:name="_GoBack"/>
      <w:bookmarkEnd w:id="0"/>
      <w:r w:rsidRPr="00185AA2">
        <w:rPr>
          <w:rFonts w:ascii="GHEA Grapalat" w:hAnsi="GHEA Grapalat"/>
          <w:b/>
          <w:noProof/>
          <w:sz w:val="24"/>
          <w:szCs w:val="24"/>
          <w:lang w:val="hy-AM"/>
        </w:rPr>
        <w:t xml:space="preserve"> ԵՎՐՈՊԱԿԱՆ ՀԱՆՁՆԱԺՈՂՈՎԻ ՄԻՋԵՎ </w:t>
      </w:r>
      <w:r w:rsidRPr="00205568">
        <w:rPr>
          <w:rFonts w:ascii="GHEA Grapalat" w:hAnsi="GHEA Grapalat"/>
          <w:b/>
          <w:noProof/>
          <w:sz w:val="24"/>
          <w:szCs w:val="24"/>
          <w:lang w:val="hy-AM"/>
        </w:rPr>
        <w:t>«ԵՄ ԴԻՄԱԿԱՅՈՒՆՈՒԹՅԱՆ ԳՈՐԾԻՔԸ ՀԱՅԱՍՏԱՆԻ ՀԱՄԱՐ»</w:t>
      </w:r>
      <w:r w:rsidRPr="00185AA2">
        <w:rPr>
          <w:rFonts w:ascii="GHEA Grapalat" w:hAnsi="GHEA Grapalat"/>
          <w:b/>
          <w:noProof/>
          <w:sz w:val="24"/>
          <w:szCs w:val="24"/>
          <w:lang w:val="hy-AM"/>
        </w:rPr>
        <w:t xml:space="preserve">  ՖԻՆԱՆՍԱՎՈՐՄԱՆ ՀԱՄԱՁԱՅՆԱԳԻՐԸ ՀԱՍՏԱՏԵԼՈՒ ՄԱՍԻՆ</w:t>
      </w:r>
      <w:r w:rsidRPr="00645AC5"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 w:rsidRPr="00185AA2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A45265">
        <w:rPr>
          <w:rFonts w:ascii="GHEA Grapalat" w:eastAsia="Batang" w:hAnsi="GHEA Grapalat" w:cs="Sylfaen"/>
          <w:b/>
          <w:noProof/>
          <w:sz w:val="24"/>
          <w:szCs w:val="24"/>
          <w:lang w:val="hy-AM"/>
        </w:rPr>
        <w:t>ՀԱՆՐԱՊԵՏՈՒԹՅԱՆ ՆԱԽԱԳԱՀԻ ՀՐԱՄԱՆԱԳՐԻ ՆԱԽԱԳԾԻ ՄԱՍԻՆ</w:t>
      </w:r>
      <w:r w:rsidR="00F558AA"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/>
        </w:rPr>
        <w:t xml:space="preserve"> </w:t>
      </w:r>
    </w:p>
    <w:p w:rsidR="00F558AA" w:rsidRDefault="00F558AA" w:rsidP="00F558AA">
      <w:pPr>
        <w:spacing w:after="0"/>
        <w:ind w:right="96"/>
        <w:jc w:val="center"/>
        <w:rPr>
          <w:rFonts w:ascii="GHEA Grapalat" w:hAnsi="GHEA Grapalat" w:cs="Arial"/>
          <w:noProof/>
          <w:sz w:val="23"/>
          <w:szCs w:val="23"/>
          <w:shd w:val="clear" w:color="auto" w:fill="FFFFFF"/>
          <w:lang w:val="hy-AM"/>
        </w:rPr>
      </w:pP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ՀՀ-ԵՄ երկկողմ համագործակցության շրջանակներում </w:t>
      </w:r>
      <w:r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2022 թվականի հոկտեմբերի 3-ին և 2</w:t>
      </w:r>
      <w:r w:rsidR="00F558AA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8</w:t>
      </w:r>
      <w:r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-ին </w:t>
      </w: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ստորագր</w:t>
      </w:r>
      <w:r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վ</w:t>
      </w: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ել</w:t>
      </w:r>
      <w:r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 է</w:t>
      </w: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 «ԵՄ դիմակայունության գործիքը Հայաստանի համար» դրամաշնորհային ֆինանսավորման համաձայնագիրը, որի նպատակն է աջակցել համավարակին և պատերազմին հաջորդած ժամանակաշրջանում կանաչ, ներառական և դիմակայուն սոցիալ-տնտեսական վերականգնմանը և զարգացմանը՝ ՀՀ-ԵՄ Համապարփակ և ընդլայնված գործընկերության համաձայնագրին և Հայաստանի համար ԵՄ Տնտեսական և ներդրումային պլանի ուղենիշներին համապատասխան։ 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Ծրագիրը ֆինանսավորվում է ԵՄ բյուջեից՝ 23 մլն եվրո ընդհանուր արժողությամբ՝ ԵՄ-Հայաստան 2021-2027թթ. բազմամյա ինդիկատիվ ծրագրի շրջանակներում՝ առանց հայկական կողմի համաֆինանսավորման բաղադրիչի։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Ծրագրի շրջանակներում նախատեսվում է (հատուկ նպատակներ).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1. Մասնավոր հատվածի բարձր մրցունակություն՝ սոցիալ-տնտեսական ավելի մեծ ազդեցություն ունենալու և ներդրումներ ներգրավելու համար (շահառու մարմիններ՝ էկոնոմիկայի, տարածքային կառավարման և ենթակառուցվածքների, շրջակա միջավայրի, բարձր տեխնոլոգիական արդյունաբերության, կրթության, գիտության, մշակույթի և սպորտի նախարարություններ, Սփյուռքի գործերի գլխավոր հանձնակատարի գրասենյակ, Ներդրումների աջակցության կենտրոն)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Այս համատեքստում աջակցություն կտրամադրվի Սյունիքի մարզում ՓՄՁ-ների ինկուբացիային և արագ զարգացմանը, բիզնեսների վերականգնմանը, տեղական համայնքներում զարգացման նախաձեռնություններին և ներդրումներին, քաղաքային և սոցիալ-տնտեսական ենթակառուցվածքներում իրականացվող միջոցառումներին, երիտասարդների, կանանց և խոցելի խմբերի ներգրավմանը և կարողությունների </w:t>
      </w: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lastRenderedPageBreak/>
        <w:t>հզորացմանը, Սփյուռքի ներգրավմամբ ծրագրերի իրականացմանը, ինչպես նաև Գյումրիում «կանաչ» խոհարարության ու հյուրընկալության կառավարման դպրոցի և ձեռնարկատիրական կենտրոնի հիմնադրմանը: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>2.</w:t>
      </w: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ab/>
        <w:t>Ցնցումներին արձագանքող սոցիալական պաշտպանության համակարգի հզորացում (շահառու մարմիններ՝ աշխատանքի և սոցիալական հարցերի և բարձր տեխնոլոգիական արդյունաբերության նախարարություններ):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Նպատակի ներքո աջակցություն կտրամադրվի սոցիալական պաշտպանության համակարգի ծառայությունների, մեխանիզմների ու մարդկային ռեսուրսների կարողությունների հզորացմանը, Աշխատանքի և սոցիալական պաշտպանության ռազմավարության և Միասնական սոցիալական ծառայությունների զարգացման ռազմավարության մշակմանը և իրականացմանը, միջազգային չափորոշիչներին համապատասխան Հայաստանում հաշմանդամության գնահատման և համապատասխանության որոշման համակարգի ներդրմանը: Օժանդակություն կտրամադրվի ոլորտային վարչական համակարգերի կարողությունների և ենթակառուցվածքների զարգացմանը, ինչպես նաև սոցիալական աջակցության ծրագրերի և ծառայությունների ընդլայնմանը: </w:t>
      </w:r>
    </w:p>
    <w:p w:rsidR="00707A3B" w:rsidRPr="008C441C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8C441C"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  <w:t xml:space="preserve"> Աջակցություն կցուցաբերվի նաև փորձնական թիրախային ծրագրերին և նախաձեռնություններին՝ Սյունիքում, ինչպես նաև սահմանամերձ այլ շրջաններում բարդ ու բազմակողմ ռիսկերը վերացնելու և ցնցումների ենթարկված խմբերի կարիքներին առավել լավ արձագանքելու նպատակով:</w:t>
      </w:r>
    </w:p>
    <w:p w:rsidR="00842C11" w:rsidRPr="00707A3B" w:rsidRDefault="00707A3B" w:rsidP="00707A3B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hy-AM" w:eastAsia="fr-FR"/>
        </w:rPr>
      </w:pPr>
      <w:r w:rsidRPr="007D68D2">
        <w:rPr>
          <w:rFonts w:ascii="GHEA Grapalat" w:hAnsi="GHEA Grapalat" w:cs="Sylfaen"/>
          <w:noProof/>
          <w:sz w:val="24"/>
          <w:szCs w:val="24"/>
          <w:lang w:val="hy-AM"/>
        </w:rPr>
        <w:t xml:space="preserve">Հայաստանի Հանրապետության ու Եվրոպական հանձնաժողովի միջև </w:t>
      </w:r>
      <w:r w:rsidRPr="00082EB9">
        <w:rPr>
          <w:rFonts w:ascii="GHEA Grapalat" w:hAnsi="GHEA Grapalat" w:cs="Sylfaen"/>
          <w:noProof/>
          <w:sz w:val="24"/>
          <w:szCs w:val="24"/>
          <w:lang w:val="hy-AM"/>
        </w:rPr>
        <w:t xml:space="preserve">2022 թվականի հոկտեմբերի 3-ին և 28-ին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ստորագրված </w:t>
      </w:r>
      <w:r w:rsidRPr="00AA74B8">
        <w:rPr>
          <w:rFonts w:ascii="GHEA Grapalat" w:hAnsi="GHEA Grapalat" w:cs="Sylfaen"/>
          <w:noProof/>
          <w:sz w:val="24"/>
          <w:szCs w:val="24"/>
          <w:lang w:val="hy-AM"/>
        </w:rPr>
        <w:t>«ԵՄ դիմակայունության գործիքը Հայաստանի համար»</w:t>
      </w:r>
      <w:r w:rsidRPr="007D68D2">
        <w:rPr>
          <w:rFonts w:ascii="GHEA Grapalat" w:hAnsi="GHEA Grapalat" w:cs="Sylfaen"/>
          <w:noProof/>
          <w:sz w:val="24"/>
          <w:szCs w:val="24"/>
          <w:lang w:val="hy-AM"/>
        </w:rPr>
        <w:t xml:space="preserve"> ֆինանսավորման</w:t>
      </w:r>
      <w:r w:rsidRPr="00567A6C">
        <w:rPr>
          <w:rFonts w:ascii="GHEA Grapalat" w:hAnsi="GHEA Grapalat" w:cs="Sylfaen"/>
          <w:noProof/>
          <w:sz w:val="24"/>
          <w:szCs w:val="24"/>
          <w:lang w:val="hy-AM"/>
        </w:rPr>
        <w:t xml:space="preserve"> համաձայնագի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րը Հայաստանի Հանրապետության պետական բյուջեի համար լրացուցիչ ֆինանսական պարտավորություններ չի առաջացնում:</w:t>
      </w:r>
    </w:p>
    <w:sectPr w:rsidR="00842C11" w:rsidRPr="0070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B"/>
    <w:rsid w:val="00164B8C"/>
    <w:rsid w:val="006D3CEF"/>
    <w:rsid w:val="00707A3B"/>
    <w:rsid w:val="00842C11"/>
    <w:rsid w:val="00C30295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073D"/>
  <w15:chartTrackingRefBased/>
  <w15:docId w15:val="{BEE77CC3-7132-4D9D-BC65-E2576C7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Hayrapetyan</dc:creator>
  <cp:keywords/>
  <dc:description/>
  <cp:lastModifiedBy>Alisa Hayrapetyan</cp:lastModifiedBy>
  <cp:revision>4</cp:revision>
  <dcterms:created xsi:type="dcterms:W3CDTF">2022-11-18T11:58:00Z</dcterms:created>
  <dcterms:modified xsi:type="dcterms:W3CDTF">2022-11-24T12:29:00Z</dcterms:modified>
</cp:coreProperties>
</file>