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453C" w:rsidRDefault="00AB453C" w:rsidP="00AB453C">
      <w:pPr>
        <w:widowControl w:val="0"/>
        <w:tabs>
          <w:tab w:val="left" w:pos="851"/>
        </w:tabs>
        <w:spacing w:line="360" w:lineRule="auto"/>
        <w:jc w:val="center"/>
        <w:rPr>
          <w:rFonts w:ascii="GHEA Grapalat" w:hAnsi="GHEA Grapalat"/>
          <w:b/>
          <w:bCs/>
          <w:iCs/>
          <w:noProof/>
        </w:rPr>
      </w:pPr>
      <w:r>
        <w:rPr>
          <w:rFonts w:ascii="GHEA Grapalat" w:hAnsi="GHEA Grapalat"/>
          <w:b/>
          <w:bCs/>
          <w:iCs/>
          <w:noProof/>
        </w:rPr>
        <w:t>ՀԻՄՆԱՎՈՐՈՒՄ</w:t>
      </w:r>
    </w:p>
    <w:p w:rsidR="00AB453C" w:rsidRDefault="00AB453C" w:rsidP="00AB453C">
      <w:pPr>
        <w:tabs>
          <w:tab w:val="left" w:pos="851"/>
        </w:tabs>
        <w:spacing w:line="360" w:lineRule="auto"/>
        <w:jc w:val="center"/>
        <w:outlineLvl w:val="1"/>
        <w:rPr>
          <w:rFonts w:ascii="GHEA Grapalat" w:hAnsi="GHEA Grapalat"/>
          <w:b/>
          <w:bCs/>
          <w:color w:val="000000"/>
          <w:lang w:val="en-US"/>
        </w:rPr>
      </w:pPr>
      <w:r>
        <w:rPr>
          <w:rFonts w:ascii="GHEA Grapalat" w:hAnsi="GHEA Grapalat" w:cs="GHEA Grapalat"/>
          <w:b/>
          <w:bCs/>
          <w:color w:val="000000"/>
          <w:lang w:val="en-US"/>
        </w:rPr>
        <w:t>ՊԵՏԱԿԱՆ ՊԱՇՏՈՆՆԵՐ ԵՎ ՊԵՏԱԿԱՆ ԾԱՌԱՅՈՒԹՅԱՆ ՊԱՇՏՈՆՆԵՐ ԶԲԱՂԵՑՆՈՂ ԱՆՁԱՆՑ ՎԱՐՁԱՏՐՈՒԹՅԱՆ ՄԱՍԻՆ ՕՐԵՆՔՈՒՄ</w:t>
      </w:r>
      <w:r>
        <w:rPr>
          <w:rFonts w:ascii="GHEA Grapalat" w:hAnsi="GHEA Grapalat"/>
          <w:b/>
          <w:bCs/>
          <w:color w:val="000000"/>
          <w:lang w:val="en-US"/>
        </w:rPr>
        <w:t xml:space="preserve"> ԼՐԱՑՈՒՄՆԵՐ</w:t>
      </w:r>
      <w:r>
        <w:rPr>
          <w:rFonts w:ascii="GHEA Grapalat" w:hAnsi="GHEA Grapalat"/>
          <w:b/>
          <w:bCs/>
          <w:color w:val="000000"/>
        </w:rPr>
        <w:t xml:space="preserve"> </w:t>
      </w:r>
    </w:p>
    <w:p w:rsidR="00AB453C" w:rsidRDefault="00AB453C" w:rsidP="00AB453C">
      <w:pPr>
        <w:tabs>
          <w:tab w:val="left" w:pos="851"/>
        </w:tabs>
        <w:spacing w:line="360" w:lineRule="auto"/>
        <w:jc w:val="center"/>
        <w:outlineLvl w:val="1"/>
        <w:rPr>
          <w:rFonts w:ascii="GHEA Grapalat" w:hAnsi="GHEA Grapalat"/>
          <w:b/>
          <w:bCs/>
          <w:color w:val="000000"/>
          <w:lang w:val="en-US"/>
        </w:rPr>
      </w:pPr>
      <w:r>
        <w:rPr>
          <w:rFonts w:ascii="GHEA Grapalat" w:hAnsi="GHEA Grapalat"/>
          <w:b/>
          <w:bCs/>
          <w:color w:val="000000"/>
        </w:rPr>
        <w:t>ԿԱՏԱՐԵԼՈՒ ՄԱՍԻՆ</w:t>
      </w:r>
      <w:r>
        <w:rPr>
          <w:rFonts w:ascii="GHEA Grapalat" w:hAnsi="GHEA Grapalat"/>
          <w:b/>
          <w:bCs/>
          <w:color w:val="000000"/>
          <w:lang w:val="en-US"/>
        </w:rPr>
        <w:t xml:space="preserve"> </w:t>
      </w:r>
      <w:r>
        <w:rPr>
          <w:rFonts w:ascii="GHEA Grapalat" w:hAnsi="GHEA Grapalat"/>
          <w:b/>
        </w:rPr>
        <w:t>ՕՐԵ</w:t>
      </w:r>
      <w:r>
        <w:rPr>
          <w:rFonts w:ascii="GHEA Grapalat" w:hAnsi="GHEA Grapalat" w:cs="Sylfaen"/>
          <w:b/>
        </w:rPr>
        <w:t>ՆՔԻ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  <w:b/>
          <w:lang w:val="en-US"/>
        </w:rPr>
        <w:t xml:space="preserve">ՆԱԽԱԳԾԻ </w:t>
      </w:r>
      <w:r>
        <w:rPr>
          <w:rFonts w:ascii="GHEA Grapalat" w:hAnsi="GHEA Grapalat"/>
          <w:b/>
          <w:bCs/>
          <w:iCs/>
          <w:noProof/>
        </w:rPr>
        <w:t>ԸՆԴՈՒՆՄԱՆ</w:t>
      </w:r>
    </w:p>
    <w:p w:rsidR="00AB453C" w:rsidRDefault="00AB453C" w:rsidP="00AB453C">
      <w:pPr>
        <w:widowControl w:val="0"/>
        <w:tabs>
          <w:tab w:val="left" w:pos="851"/>
        </w:tabs>
        <w:spacing w:line="360" w:lineRule="auto"/>
        <w:ind w:firstLine="720"/>
        <w:jc w:val="both"/>
      </w:pPr>
    </w:p>
    <w:p w:rsidR="00AB453C" w:rsidRDefault="00AB453C" w:rsidP="00AB453C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  <w:tab w:val="left" w:pos="993"/>
        </w:tabs>
        <w:ind w:left="0" w:firstLine="720"/>
        <w:rPr>
          <w:rFonts w:ascii="GHEA Grapalat" w:hAnsi="GHEA Grapalat" w:cs="Arian AMU"/>
          <w:b/>
          <w:bCs/>
          <w:sz w:val="24"/>
          <w:szCs w:val="24"/>
          <w:bdr w:val="none" w:sz="0" w:space="0" w:color="auto" w:frame="1"/>
          <w:lang w:val="hy-AM" w:eastAsia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Կարգավորման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ենթակա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ոլորտի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կամ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խնդրի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սահմանումը.</w:t>
      </w:r>
      <w:r>
        <w:rPr>
          <w:rFonts w:ascii="GHEA Grapalat" w:hAnsi="GHEA Grapalat" w:cs="Arian AMU"/>
          <w:b/>
          <w:bCs/>
          <w:sz w:val="24"/>
          <w:szCs w:val="24"/>
          <w:bdr w:val="none" w:sz="0" w:space="0" w:color="auto" w:frame="1"/>
          <w:lang w:val="hy-AM" w:eastAsia="hy-AM"/>
        </w:rPr>
        <w:t xml:space="preserve"> </w:t>
      </w:r>
    </w:p>
    <w:p w:rsidR="00AB453C" w:rsidRDefault="00AB453C" w:rsidP="00AB453C">
      <w:pPr>
        <w:spacing w:line="360" w:lineRule="auto"/>
        <w:ind w:firstLine="720"/>
        <w:jc w:val="both"/>
        <w:rPr>
          <w:rFonts w:ascii="GHEA Grapalat" w:hAnsi="GHEA Grapalat"/>
          <w:b/>
        </w:rPr>
      </w:pPr>
      <w:r>
        <w:rPr>
          <w:rFonts w:ascii="GHEA Grapalat" w:hAnsi="GHEA Grapalat"/>
        </w:rPr>
        <w:t xml:space="preserve">Հայաստանի Հանրապետության Դատական օրենսգիրք սահմանադրական օրենքի (այսուհետ՝ Օրենսգիրք) 83-րդ հոդվածի 2-րդ մասի համաձայն՝ Բարձրագույն դատական խորհրդի անդամի վարձատրությունը սահմանվում է </w:t>
      </w:r>
      <w:r>
        <w:rPr>
          <w:rFonts w:ascii="GHEA Grapalat" w:hAnsi="GHEA Grapalat"/>
          <w:b/>
        </w:rPr>
        <w:t>օրենքով</w:t>
      </w:r>
      <w:r>
        <w:rPr>
          <w:rFonts w:ascii="GHEA Grapalat" w:hAnsi="GHEA Grapalat"/>
        </w:rPr>
        <w:t xml:space="preserve">, և </w:t>
      </w:r>
      <w:r>
        <w:rPr>
          <w:rFonts w:ascii="GHEA Grapalat" w:hAnsi="GHEA Grapalat"/>
          <w:b/>
        </w:rPr>
        <w:t>այն չի կարող պակաս լինել Վճռաբեկ դատարանի դատավորի վարձատրությունից:</w:t>
      </w:r>
    </w:p>
    <w:p w:rsidR="00AB453C" w:rsidRDefault="00AB453C" w:rsidP="00AB453C">
      <w:pPr>
        <w:spacing w:line="360" w:lineRule="auto"/>
        <w:ind w:firstLine="720"/>
        <w:jc w:val="both"/>
        <w:rPr>
          <w:rFonts w:ascii="GHEA Grapalat" w:hAnsi="GHEA Grapalat"/>
        </w:rPr>
      </w:pPr>
      <w:r>
        <w:rPr>
          <w:rFonts w:ascii="GHEA Grapalat" w:hAnsi="GHEA Grapalat"/>
        </w:rPr>
        <w:t>Նշված հոդվածի 2-րդ մասի իմաստով օրենք է հանդիսանում Պետական պաշտոններ և պետական ծառայության պաշտոններ զբաղեցնող անձանց վարձատրության մասին օրենքը (այսուհետ՝ Օրենք), որի դրույթների ուսումնասիրության արդյունքում պարզ է դառնում, որ Օրենսգրքի 83-րդ հոդված</w:t>
      </w:r>
      <w:r w:rsidRPr="00AB453C">
        <w:rPr>
          <w:rFonts w:ascii="GHEA Grapalat" w:hAnsi="GHEA Grapalat"/>
        </w:rPr>
        <w:t>ի 2-րդ մասով</w:t>
      </w:r>
      <w:r>
        <w:rPr>
          <w:rFonts w:ascii="GHEA Grapalat" w:hAnsi="GHEA Grapalat"/>
        </w:rPr>
        <w:t xml:space="preserve"> սահմանված կարգավորմամբ նախատեսված մոտեցումը՝ որպես Բարձրագույն դատական խորհրդի անդամի գործունեության երաշխիք, իր արտահայտությունը լիարժեք կերպով չի գտել Օրենքի կարգավորումներում: Մասնավորապես, Օրենքի 13-րդ հոդվածի 7-րդ մասի ուժով Վճռաբեկ դատարանի դատավորներին (այդ թվում՝ վճռաբեկ դատարանի նախագահին և վճռաբեկ դատարանի պալատի նախագահին) </w:t>
      </w:r>
      <w:r>
        <w:rPr>
          <w:rFonts w:ascii="GHEA Grapalat" w:hAnsi="GHEA Grapalat"/>
          <w:b/>
        </w:rPr>
        <w:t xml:space="preserve">Օրենքով սահմանված կարգով տրամադրման ենթակա է պաշտոնային դրույքաչափի 50 տոկոսի չափով հավելում: </w:t>
      </w:r>
      <w:r>
        <w:rPr>
          <w:rFonts w:ascii="GHEA Grapalat" w:hAnsi="GHEA Grapalat"/>
        </w:rPr>
        <w:t xml:space="preserve">Օրենսգրքի 83-րդ հոդվածի </w:t>
      </w:r>
      <w:r w:rsidRPr="00AB453C">
        <w:rPr>
          <w:rFonts w:ascii="GHEA Grapalat" w:hAnsi="GHEA Grapalat"/>
        </w:rPr>
        <w:t xml:space="preserve">2-րդ մասի </w:t>
      </w:r>
      <w:r>
        <w:rPr>
          <w:rFonts w:ascii="GHEA Grapalat" w:hAnsi="GHEA Grapalat"/>
        </w:rPr>
        <w:t>կարգավորման հաշվառմամբ</w:t>
      </w:r>
      <w:r w:rsidRPr="00AB453C">
        <w:rPr>
          <w:rFonts w:ascii="GHEA Grapalat" w:hAnsi="GHEA Grapalat"/>
        </w:rPr>
        <w:t>՝</w:t>
      </w:r>
      <w:r>
        <w:rPr>
          <w:rFonts w:ascii="GHEA Grapalat" w:hAnsi="GHEA Grapalat"/>
        </w:rPr>
        <w:t xml:space="preserve"> նույն մոտեցումը պետք է կիրառվի նաև Բարձրագույն դատական խորհրդի նախագահի և անդամի դեպքում: Մինչդեռ, Օրենք</w:t>
      </w:r>
      <w:r w:rsidRPr="00AB453C">
        <w:rPr>
          <w:rFonts w:ascii="GHEA Grapalat" w:hAnsi="GHEA Grapalat"/>
        </w:rPr>
        <w:t>ով</w:t>
      </w:r>
      <w:r>
        <w:rPr>
          <w:rFonts w:ascii="GHEA Grapalat" w:hAnsi="GHEA Grapalat"/>
        </w:rPr>
        <w:t xml:space="preserve"> նշված հարցը Բարձրագույն դատական խորհրդի անդամի մասով կարգավորված չէ։</w:t>
      </w:r>
    </w:p>
    <w:p w:rsidR="00AB453C" w:rsidRDefault="00AB453C" w:rsidP="00AB453C">
      <w:pPr>
        <w:spacing w:line="360" w:lineRule="auto"/>
        <w:ind w:firstLine="720"/>
        <w:jc w:val="both"/>
        <w:rPr>
          <w:rFonts w:ascii="GHEA Grapalat" w:hAnsi="GHEA Grapalat"/>
        </w:rPr>
      </w:pPr>
      <w:r>
        <w:rPr>
          <w:rFonts w:ascii="GHEA Grapalat" w:hAnsi="GHEA Grapalat"/>
        </w:rPr>
        <w:lastRenderedPageBreak/>
        <w:t>Նշվածով պայմանավորված՝ անհրաժեշտություն է առաջացել մշակել սույն նախագիծը (այսուհետ՝ Նախագիծ) և ապահովել Օրենքի կարգավորումների համապատասխանությունը Օրենսգրքի 83-րդ հոդվածի 2-րդ մասի կարգավորմանը:</w:t>
      </w:r>
    </w:p>
    <w:p w:rsidR="00AB453C" w:rsidRDefault="00AB453C" w:rsidP="00AB453C">
      <w:pPr>
        <w:spacing w:line="360" w:lineRule="auto"/>
        <w:ind w:firstLine="720"/>
        <w:jc w:val="both"/>
        <w:rPr>
          <w:rFonts w:ascii="GHEA Grapalat" w:hAnsi="GHEA Grapalat"/>
        </w:rPr>
      </w:pPr>
    </w:p>
    <w:p w:rsidR="00AB453C" w:rsidRDefault="00AB453C" w:rsidP="00AB453C">
      <w:pPr>
        <w:widowControl w:val="0"/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line="360" w:lineRule="auto"/>
        <w:ind w:left="0" w:firstLine="720"/>
        <w:jc w:val="both"/>
        <w:rPr>
          <w:rFonts w:ascii="GHEA Grapalat" w:hAnsi="GHEA Grapalat"/>
          <w:b/>
        </w:rPr>
      </w:pPr>
      <w:r>
        <w:rPr>
          <w:rFonts w:ascii="GHEA Grapalat" w:hAnsi="GHEA Grapalat" w:cs="GHEA Mariam"/>
          <w:b/>
        </w:rPr>
        <w:t>Ընթացիկ</w:t>
      </w:r>
      <w:r>
        <w:rPr>
          <w:rFonts w:ascii="GHEA Grapalat" w:hAnsi="GHEA Grapalat"/>
          <w:b/>
        </w:rPr>
        <w:t xml:space="preserve"> իրավիճակը և իրավական ակտի ընդունման անհրաժեշտությունը.</w:t>
      </w:r>
    </w:p>
    <w:p w:rsidR="00AB453C" w:rsidRDefault="00AB453C" w:rsidP="00AB453C">
      <w:pPr>
        <w:widowControl w:val="0"/>
        <w:tabs>
          <w:tab w:val="left" w:pos="851"/>
          <w:tab w:val="left" w:pos="993"/>
        </w:tabs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</w:rPr>
      </w:pPr>
      <w:r>
        <w:rPr>
          <w:rFonts w:ascii="GHEA Grapalat" w:hAnsi="GHEA Grapalat"/>
          <w:color w:val="000000"/>
          <w:shd w:val="clear" w:color="auto" w:fill="FFFFFF"/>
        </w:rPr>
        <w:t>Բարձրագույն դատական խորհրդի անդամի գործունեության երաշխիքները սահմանվում են Հայաստանի Հանրապետության Դատական օրենսգիրք (այսուհետ՝ Օրենսգիրք) սահմանադրական օրենքի 83-րդ հոդվածով: Մասնավորապես, նշված հոդվածի 2-րդ մասի համաձայն՝ Բարձրագույն դատական խորհրդի անդամի վարձատրությունը սահմանվում է օրենքով, և այն չի կարող պակաս լինել Վճռաբեկ դատարանի դատավորի վարձատրությունից:</w:t>
      </w:r>
    </w:p>
    <w:p w:rsidR="00AB453C" w:rsidRDefault="00AB453C" w:rsidP="00AB453C">
      <w:pPr>
        <w:widowControl w:val="0"/>
        <w:tabs>
          <w:tab w:val="left" w:pos="851"/>
          <w:tab w:val="left" w:pos="993"/>
        </w:tabs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</w:rPr>
      </w:pPr>
      <w:r>
        <w:rPr>
          <w:rFonts w:ascii="GHEA Grapalat" w:hAnsi="GHEA Grapalat"/>
          <w:color w:val="000000"/>
          <w:shd w:val="clear" w:color="auto" w:fill="FFFFFF"/>
        </w:rPr>
        <w:t>Բարձրագույն դատական խորհրդի անդամի վարձատրության իրավահարաբերությունները կարգավորող Օրենքի դրույթների ուսումնասիրության արդյունքում պարզ է դառնում, որ Օրենսգրքի 83-րդ հոդվածով սահմանված՝ Բարձրագույն դատական խորհրդի անդամի վարձատրության՝ Վճռաբեկ դատարանի դատավորի վարձատրությունից նվազ չլինելու վերաբերյալ կանոնի կիրառումը Օրենքի կարգավորումներով լիարժեք ապահովված չէ:</w:t>
      </w:r>
    </w:p>
    <w:p w:rsidR="00AB453C" w:rsidRDefault="00AB453C" w:rsidP="00AB453C">
      <w:pPr>
        <w:widowControl w:val="0"/>
        <w:tabs>
          <w:tab w:val="left" w:pos="851"/>
          <w:tab w:val="left" w:pos="993"/>
        </w:tabs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</w:rPr>
      </w:pPr>
      <w:r>
        <w:rPr>
          <w:rFonts w:ascii="GHEA Grapalat" w:hAnsi="GHEA Grapalat"/>
          <w:color w:val="000000"/>
          <w:shd w:val="clear" w:color="auto" w:fill="FFFFFF"/>
        </w:rPr>
        <w:t>Մասնավորապես, Օրենքի դրույթների համադրված ուսումնասիրությունից բխում է, որ Օրենքի իմաստով վարձատրությունն իր մեջ ներառում է հիմնական աշխատավարձը, լրացուցիչ աշխատավարձը (ներառում է հավելումը, հավելավճարը) և պարգևատրումը:</w:t>
      </w:r>
    </w:p>
    <w:p w:rsidR="00AB453C" w:rsidRDefault="00AB453C" w:rsidP="00AB453C">
      <w:pPr>
        <w:widowControl w:val="0"/>
        <w:tabs>
          <w:tab w:val="left" w:pos="851"/>
          <w:tab w:val="left" w:pos="993"/>
        </w:tabs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</w:rPr>
      </w:pPr>
      <w:r>
        <w:rPr>
          <w:rFonts w:ascii="GHEA Grapalat" w:hAnsi="GHEA Grapalat"/>
          <w:color w:val="000000"/>
          <w:shd w:val="clear" w:color="auto" w:fill="FFFFFF"/>
        </w:rPr>
        <w:t xml:space="preserve">Օրենքի 3-րդ հոդվածի 1-ին մասի 2-րդ կետի «ա» ենթակետով սահմանվում է, որ հավելումը ենթակետում նշված պայմաններից որևէ մեկի կամ դրանցից մի քանիսի, այն է՝ </w:t>
      </w:r>
      <w:r>
        <w:rPr>
          <w:rFonts w:ascii="GHEA Grapalat" w:hAnsi="GHEA Grapalat"/>
          <w:b/>
          <w:color w:val="000000"/>
          <w:shd w:val="clear" w:color="auto" w:fill="FFFFFF"/>
        </w:rPr>
        <w:t xml:space="preserve">վճռաբեկ դատարանի դատավորի (այդ թվում` վճռաբեկ դատարանի նախագահի և վճռաբեկ դատարանի պալատի նախագահի) պաշտոն </w:t>
      </w:r>
      <w:r>
        <w:rPr>
          <w:rFonts w:ascii="GHEA Grapalat" w:hAnsi="GHEA Grapalat"/>
          <w:b/>
          <w:color w:val="000000"/>
          <w:shd w:val="clear" w:color="auto" w:fill="FFFFFF"/>
        </w:rPr>
        <w:lastRenderedPageBreak/>
        <w:t>զբաղեցնելու</w:t>
      </w:r>
      <w:r>
        <w:rPr>
          <w:rFonts w:ascii="GHEA Grapalat" w:hAnsi="GHEA Grapalat"/>
          <w:color w:val="000000"/>
          <w:shd w:val="clear" w:color="auto" w:fill="FFFFFF"/>
        </w:rPr>
        <w:t xml:space="preserve">, Հայաստանի Հանրապետության աշխատանքային օրենսդրությամբ սահմանված ծանր, վնասակար, առանձնապես ծանր, առանձնապես վնասակար աշխատանքներ կատարելու, բարձրլեռնային վայրերում, արտաժամյա, գիշերային ժամերին, հանգստյան, տոնական օրերին աշխատելու, զինվորական, քրեակատարողական և փրկարար ծառայության, առանձնակի ռիսկայնության, ինչպես նաև հատուկ մասնագիտացման առանձնահատկություններով պայմանավորված` </w:t>
      </w:r>
      <w:r>
        <w:rPr>
          <w:rFonts w:ascii="GHEA Grapalat" w:hAnsi="GHEA Grapalat"/>
          <w:b/>
          <w:color w:val="000000"/>
          <w:shd w:val="clear" w:color="auto" w:fill="FFFFFF"/>
        </w:rPr>
        <w:t>պաշտոնային դրույքաչափի նկատմամբ հաշվարկվող տոկոսային ավելացումը</w:t>
      </w:r>
      <w:r>
        <w:rPr>
          <w:rFonts w:ascii="GHEA Grapalat" w:hAnsi="GHEA Grapalat"/>
          <w:color w:val="000000"/>
          <w:shd w:val="clear" w:color="auto" w:fill="FFFFFF"/>
        </w:rPr>
        <w:t xml:space="preserve"> կամ պաշտոնային դրույքաչափին դրամական բացարձակ մեծությամբ սահմանվող ավելացումն է:</w:t>
      </w:r>
    </w:p>
    <w:p w:rsidR="00AB453C" w:rsidRDefault="00AB453C" w:rsidP="00AB453C">
      <w:pPr>
        <w:widowControl w:val="0"/>
        <w:tabs>
          <w:tab w:val="left" w:pos="851"/>
          <w:tab w:val="left" w:pos="993"/>
        </w:tabs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</w:rPr>
      </w:pPr>
      <w:r>
        <w:rPr>
          <w:rFonts w:ascii="GHEA Grapalat" w:hAnsi="GHEA Grapalat"/>
          <w:color w:val="000000"/>
          <w:shd w:val="clear" w:color="auto" w:fill="FFFFFF"/>
        </w:rPr>
        <w:t xml:space="preserve">Օրենքի 3-րդ հոդվածի 1-ին մասի 1-ին կետի ձևակերպումից </w:t>
      </w:r>
      <w:r w:rsidRPr="00AB453C">
        <w:rPr>
          <w:rFonts w:ascii="GHEA Grapalat" w:hAnsi="GHEA Grapalat"/>
          <w:color w:val="000000"/>
          <w:shd w:val="clear" w:color="auto" w:fill="FFFFFF"/>
        </w:rPr>
        <w:t>պ</w:t>
      </w:r>
      <w:r>
        <w:rPr>
          <w:rFonts w:ascii="GHEA Grapalat" w:hAnsi="GHEA Grapalat"/>
          <w:color w:val="000000"/>
          <w:shd w:val="clear" w:color="auto" w:fill="FFFFFF"/>
        </w:rPr>
        <w:t>արզ է դառնում, որ պաշտոնային դրույքաչափը Օրենքի իմաստով հիմնական աշխատավարձն է։ Օրենքի 9-րդ հոդվածի 1-ին մասի համաձայն՝</w:t>
      </w:r>
      <w: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 xml:space="preserve">պետական պաշտոն և այլ պաշտոն զբաղեցնող անձանց պաշտոնային դրույքաչափերի հաշվարկման գործակիցները սահմանված են Օրենքի 1-ին հավելվածով։ </w:t>
      </w:r>
    </w:p>
    <w:p w:rsidR="00AB453C" w:rsidRPr="00AB453C" w:rsidRDefault="00AB453C" w:rsidP="00AB453C">
      <w:pPr>
        <w:widowControl w:val="0"/>
        <w:tabs>
          <w:tab w:val="left" w:pos="851"/>
          <w:tab w:val="left" w:pos="993"/>
        </w:tabs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</w:rPr>
      </w:pPr>
      <w:r>
        <w:rPr>
          <w:rFonts w:ascii="GHEA Grapalat" w:hAnsi="GHEA Grapalat"/>
          <w:color w:val="000000"/>
          <w:shd w:val="clear" w:color="auto" w:fill="FFFFFF"/>
        </w:rPr>
        <w:t>Օրենքի 13-րդ հոդվածով սահմանվում են դատավորի պաշտոնային դրույքաչափի նկատմամբ սահմանվող հավելավճարները և հավելումները: Նշված հոդվածի 7-րդ մասի ուժով Վճռաբեկ դատարանի դատավորներին (այդ թվում՝ վճռաբեկ դատարանի նախագահին և վճռաբեկ դատարանի պալատի նախագահին) Օրենքով սահմանված կարգով տրամադրման ենթակա է պաշտոնային դրույքաչափի 50 տոկոսի չափով հավելում: Օրենսգրքի 83-րդ հոդվածի կարգավորման հաշվառմամբ</w:t>
      </w:r>
      <w:r w:rsidRPr="00AB453C">
        <w:rPr>
          <w:rFonts w:ascii="GHEA Grapalat" w:hAnsi="GHEA Grapalat"/>
          <w:color w:val="000000"/>
          <w:shd w:val="clear" w:color="auto" w:fill="FFFFFF"/>
        </w:rPr>
        <w:t>՝</w:t>
      </w:r>
      <w:r>
        <w:rPr>
          <w:rFonts w:ascii="GHEA Grapalat" w:hAnsi="GHEA Grapalat"/>
          <w:color w:val="000000"/>
          <w:shd w:val="clear" w:color="auto" w:fill="FFFFFF"/>
        </w:rPr>
        <w:t xml:space="preserve"> նույն մոտեցումը պետք է կիրառվի նաև Բարձրագույն դատական խորհրդի նախագահի և անդամի դեպքում: Մինչդեռ, Օրենքի 12</w:t>
      </w:r>
      <w:r w:rsidRPr="00AB453C">
        <w:rPr>
          <w:rFonts w:ascii="Cambria Math" w:hAnsi="Cambria Math" w:cs="Cambria Math"/>
          <w:color w:val="000000"/>
          <w:shd w:val="clear" w:color="auto" w:fill="FFFFFF"/>
        </w:rPr>
        <w:t>.</w:t>
      </w:r>
      <w:r>
        <w:rPr>
          <w:rFonts w:ascii="GHEA Grapalat" w:hAnsi="GHEA Grapalat"/>
          <w:color w:val="000000"/>
          <w:shd w:val="clear" w:color="auto" w:fill="FFFFFF"/>
        </w:rPr>
        <w:t>1-</w:t>
      </w:r>
      <w:r>
        <w:rPr>
          <w:rFonts w:ascii="GHEA Grapalat" w:hAnsi="GHEA Grapalat" w:cs="GHEA Grapalat"/>
          <w:color w:val="000000"/>
          <w:shd w:val="clear" w:color="auto" w:fill="FFFFFF"/>
        </w:rPr>
        <w:t>րդ</w:t>
      </w:r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r>
        <w:rPr>
          <w:rFonts w:ascii="GHEA Grapalat" w:hAnsi="GHEA Grapalat" w:cs="GHEA Grapalat"/>
          <w:color w:val="000000"/>
          <w:shd w:val="clear" w:color="auto" w:fill="FFFFFF"/>
        </w:rPr>
        <w:t>հոդվածի</w:t>
      </w:r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r>
        <w:rPr>
          <w:rFonts w:ascii="GHEA Grapalat" w:hAnsi="GHEA Grapalat" w:cs="GHEA Grapalat"/>
          <w:color w:val="000000"/>
          <w:shd w:val="clear" w:color="auto" w:fill="FFFFFF"/>
        </w:rPr>
        <w:t>ուսումնասիրությունից</w:t>
      </w:r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r>
        <w:rPr>
          <w:rFonts w:ascii="GHEA Grapalat" w:hAnsi="GHEA Grapalat" w:cs="GHEA Grapalat"/>
          <w:color w:val="000000"/>
          <w:shd w:val="clear" w:color="auto" w:fill="FFFFFF"/>
        </w:rPr>
        <w:t>պարզ</w:t>
      </w:r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r>
        <w:rPr>
          <w:rFonts w:ascii="GHEA Grapalat" w:hAnsi="GHEA Grapalat" w:cs="GHEA Grapalat"/>
          <w:color w:val="000000"/>
          <w:shd w:val="clear" w:color="auto" w:fill="FFFFFF"/>
        </w:rPr>
        <w:t>է</w:t>
      </w:r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r>
        <w:rPr>
          <w:rFonts w:ascii="GHEA Grapalat" w:hAnsi="GHEA Grapalat" w:cs="GHEA Grapalat"/>
          <w:color w:val="000000"/>
          <w:shd w:val="clear" w:color="auto" w:fill="FFFFFF"/>
        </w:rPr>
        <w:t>դառնում</w:t>
      </w:r>
      <w:r>
        <w:rPr>
          <w:rFonts w:ascii="GHEA Grapalat" w:hAnsi="GHEA Grapalat"/>
          <w:color w:val="000000"/>
          <w:shd w:val="clear" w:color="auto" w:fill="FFFFFF"/>
        </w:rPr>
        <w:t xml:space="preserve">, </w:t>
      </w:r>
      <w:r>
        <w:rPr>
          <w:rFonts w:ascii="GHEA Grapalat" w:hAnsi="GHEA Grapalat" w:cs="GHEA Grapalat"/>
          <w:color w:val="000000"/>
          <w:shd w:val="clear" w:color="auto" w:fill="FFFFFF"/>
        </w:rPr>
        <w:t>որ</w:t>
      </w:r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r>
        <w:rPr>
          <w:rFonts w:ascii="GHEA Grapalat" w:hAnsi="GHEA Grapalat" w:cs="GHEA Grapalat"/>
          <w:color w:val="000000"/>
          <w:shd w:val="clear" w:color="auto" w:fill="FFFFFF"/>
        </w:rPr>
        <w:t>նշված</w:t>
      </w:r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r>
        <w:rPr>
          <w:rFonts w:ascii="GHEA Grapalat" w:hAnsi="GHEA Grapalat" w:cs="GHEA Grapalat"/>
          <w:color w:val="000000"/>
          <w:shd w:val="clear" w:color="auto" w:fill="FFFFFF"/>
        </w:rPr>
        <w:t>հարցը</w:t>
      </w:r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r>
        <w:rPr>
          <w:rFonts w:ascii="GHEA Grapalat" w:hAnsi="GHEA Grapalat" w:cs="GHEA Grapalat"/>
          <w:color w:val="000000"/>
          <w:shd w:val="clear" w:color="auto" w:fill="FFFFFF"/>
        </w:rPr>
        <w:t>Բարձրագույն</w:t>
      </w:r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r>
        <w:rPr>
          <w:rFonts w:ascii="GHEA Grapalat" w:hAnsi="GHEA Grapalat" w:cs="GHEA Grapalat"/>
          <w:color w:val="000000"/>
          <w:shd w:val="clear" w:color="auto" w:fill="FFFFFF"/>
        </w:rPr>
        <w:t>դատական</w:t>
      </w:r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r>
        <w:rPr>
          <w:rFonts w:ascii="GHEA Grapalat" w:hAnsi="GHEA Grapalat" w:cs="GHEA Grapalat"/>
          <w:color w:val="000000"/>
          <w:shd w:val="clear" w:color="auto" w:fill="FFFFFF"/>
        </w:rPr>
        <w:t>խորհրդի</w:t>
      </w:r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r>
        <w:rPr>
          <w:rFonts w:ascii="GHEA Grapalat" w:hAnsi="GHEA Grapalat" w:cs="GHEA Grapalat"/>
          <w:color w:val="000000"/>
          <w:shd w:val="clear" w:color="auto" w:fill="FFFFFF"/>
        </w:rPr>
        <w:t>անդամի</w:t>
      </w:r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r>
        <w:rPr>
          <w:rFonts w:ascii="GHEA Grapalat" w:hAnsi="GHEA Grapalat" w:cs="GHEA Grapalat"/>
          <w:color w:val="000000"/>
          <w:shd w:val="clear" w:color="auto" w:fill="FFFFFF"/>
        </w:rPr>
        <w:t>մասով</w:t>
      </w:r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r>
        <w:rPr>
          <w:rFonts w:ascii="GHEA Grapalat" w:hAnsi="GHEA Grapalat" w:cs="GHEA Grapalat"/>
          <w:color w:val="000000"/>
          <w:shd w:val="clear" w:color="auto" w:fill="FFFFFF"/>
        </w:rPr>
        <w:t>կարգավորված</w:t>
      </w:r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r>
        <w:rPr>
          <w:rFonts w:ascii="GHEA Grapalat" w:hAnsi="GHEA Grapalat" w:cs="GHEA Grapalat"/>
          <w:color w:val="000000"/>
          <w:shd w:val="clear" w:color="auto" w:fill="FFFFFF"/>
        </w:rPr>
        <w:t>չէ</w:t>
      </w:r>
      <w:r>
        <w:rPr>
          <w:rFonts w:ascii="GHEA Grapalat" w:hAnsi="GHEA Grapalat"/>
          <w:color w:val="000000"/>
          <w:shd w:val="clear" w:color="auto" w:fill="FFFFFF"/>
        </w:rPr>
        <w:t>։</w:t>
      </w:r>
      <w:r w:rsidRPr="00AB453C">
        <w:rPr>
          <w:rFonts w:ascii="GHEA Grapalat" w:hAnsi="GHEA Grapalat"/>
          <w:color w:val="000000"/>
          <w:shd w:val="clear" w:color="auto" w:fill="FFFFFF"/>
        </w:rPr>
        <w:t xml:space="preserve"> Մասնավորապես, 12.1-րդ հոդվածով կարգավորված են Բարձրագույն դատական խորհրդի անդամների պաշտոնային դրույքաչափի նկատմամբ սահմանվող հավելավճարներին առնչվող հարցերը, </w:t>
      </w:r>
      <w:r w:rsidRPr="00AB453C">
        <w:rPr>
          <w:rFonts w:ascii="GHEA Grapalat" w:hAnsi="GHEA Grapalat"/>
          <w:color w:val="000000"/>
          <w:shd w:val="clear" w:color="auto" w:fill="FFFFFF"/>
        </w:rPr>
        <w:lastRenderedPageBreak/>
        <w:t>սակայն անդրադարձ չկա վերջիններիս տրվող հավելումներին: Իսկ ինչպես արդեն հիմնավորվել է,</w:t>
      </w:r>
      <w:r>
        <w:rPr>
          <w:rFonts w:ascii="GHEA Grapalat" w:hAnsi="GHEA Grapalat"/>
          <w:color w:val="000000"/>
          <w:shd w:val="clear" w:color="auto" w:fill="FFFFFF"/>
        </w:rPr>
        <w:t xml:space="preserve"> Օրենքի իմաստով վարձատրությունն իր մեջ ներառում է </w:t>
      </w:r>
      <w:r w:rsidRPr="00AB453C">
        <w:rPr>
          <w:rFonts w:ascii="GHEA Grapalat" w:hAnsi="GHEA Grapalat"/>
          <w:color w:val="000000"/>
          <w:shd w:val="clear" w:color="auto" w:fill="FFFFFF"/>
        </w:rPr>
        <w:t xml:space="preserve">նաև </w:t>
      </w:r>
      <w:r>
        <w:rPr>
          <w:rFonts w:ascii="GHEA Grapalat" w:hAnsi="GHEA Grapalat"/>
          <w:color w:val="000000"/>
          <w:shd w:val="clear" w:color="auto" w:fill="FFFFFF"/>
        </w:rPr>
        <w:t xml:space="preserve"> հավելումը</w:t>
      </w:r>
      <w:r w:rsidRPr="00AB453C">
        <w:rPr>
          <w:rFonts w:ascii="GHEA Grapalat" w:hAnsi="GHEA Grapalat"/>
          <w:color w:val="000000"/>
          <w:shd w:val="clear" w:color="auto" w:fill="FFFFFF"/>
        </w:rPr>
        <w:t>, որը</w:t>
      </w:r>
      <w:r>
        <w:rPr>
          <w:rFonts w:ascii="GHEA Grapalat" w:hAnsi="GHEA Grapalat"/>
          <w:color w:val="000000"/>
          <w:shd w:val="clear" w:color="auto" w:fill="FFFFFF"/>
        </w:rPr>
        <w:t xml:space="preserve"> լրացուցիչ աշխատավարձ</w:t>
      </w:r>
      <w:r w:rsidRPr="00AB453C">
        <w:rPr>
          <w:rFonts w:ascii="GHEA Grapalat" w:hAnsi="GHEA Grapalat"/>
          <w:color w:val="000000"/>
          <w:shd w:val="clear" w:color="auto" w:fill="FFFFFF"/>
        </w:rPr>
        <w:t>ի մաս է կազմում:</w:t>
      </w:r>
      <w:r>
        <w:rPr>
          <w:rFonts w:ascii="GHEA Grapalat" w:hAnsi="GHEA Grapalat"/>
          <w:color w:val="000000"/>
          <w:shd w:val="clear" w:color="auto" w:fill="FFFFFF"/>
        </w:rPr>
        <w:t xml:space="preserve"> </w:t>
      </w:r>
    </w:p>
    <w:p w:rsidR="00AB453C" w:rsidRDefault="00AB453C" w:rsidP="00AB453C">
      <w:pPr>
        <w:widowControl w:val="0"/>
        <w:tabs>
          <w:tab w:val="left" w:pos="851"/>
          <w:tab w:val="left" w:pos="993"/>
        </w:tabs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</w:rPr>
      </w:pPr>
      <w:r>
        <w:rPr>
          <w:rFonts w:ascii="GHEA Grapalat" w:hAnsi="GHEA Grapalat"/>
          <w:color w:val="000000"/>
          <w:shd w:val="clear" w:color="auto" w:fill="FFFFFF"/>
        </w:rPr>
        <w:t>Ուստի Նախագծով առաջարկվում է սահմանել, որ Բարձրագույն դատական խորհրդի նախագահին և անդամին Օրենքով սահմանված կարգով ևս տրվում է հավելում՝ պաշտոնային դրույքաչափի 50 տոկոսի չափով (Նախագծով առաջարկվող մնացած լրացումները բխում են նշված լրացումից):</w:t>
      </w:r>
    </w:p>
    <w:p w:rsidR="00AB453C" w:rsidRPr="00AB453C" w:rsidRDefault="00AB453C" w:rsidP="00AB453C">
      <w:pPr>
        <w:widowControl w:val="0"/>
        <w:tabs>
          <w:tab w:val="left" w:pos="851"/>
          <w:tab w:val="left" w:pos="993"/>
        </w:tabs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</w:rPr>
      </w:pPr>
      <w:r>
        <w:rPr>
          <w:rFonts w:ascii="GHEA Grapalat" w:hAnsi="GHEA Grapalat"/>
          <w:color w:val="000000"/>
          <w:shd w:val="clear" w:color="auto" w:fill="FFFFFF"/>
        </w:rPr>
        <w:t xml:space="preserve">Միևնույն ժամանակ, Նախագիծն անհրաժեշտ է համարել անհետաձգելի՝ պայմանավորված </w:t>
      </w:r>
      <w:r w:rsidRPr="00AB453C">
        <w:rPr>
          <w:rFonts w:ascii="GHEA Grapalat" w:hAnsi="GHEA Grapalat"/>
          <w:color w:val="000000"/>
          <w:shd w:val="clear" w:color="auto" w:fill="FFFFFF"/>
        </w:rPr>
        <w:t xml:space="preserve">հետևյալով. </w:t>
      </w:r>
      <w:r>
        <w:rPr>
          <w:rFonts w:ascii="GHEA Grapalat" w:hAnsi="GHEA Grapalat"/>
          <w:color w:val="000000"/>
          <w:shd w:val="clear" w:color="auto" w:fill="FFFFFF"/>
        </w:rPr>
        <w:t>Նախագծի ընդունման արդյունքում Հայաստանի Հանրապետության 202</w:t>
      </w:r>
      <w:r w:rsidRPr="00AB453C">
        <w:rPr>
          <w:rFonts w:ascii="GHEA Grapalat" w:hAnsi="GHEA Grapalat"/>
          <w:color w:val="000000"/>
          <w:shd w:val="clear" w:color="auto" w:fill="FFFFFF"/>
        </w:rPr>
        <w:t>3</w:t>
      </w:r>
      <w:r>
        <w:rPr>
          <w:rFonts w:ascii="GHEA Grapalat" w:hAnsi="GHEA Grapalat"/>
          <w:color w:val="000000"/>
          <w:shd w:val="clear" w:color="auto" w:fill="FFFFFF"/>
        </w:rPr>
        <w:t xml:space="preserve"> թվականի պետական բյուջեի ծախսեր</w:t>
      </w:r>
      <w:r w:rsidRPr="00AB453C">
        <w:rPr>
          <w:rFonts w:ascii="GHEA Grapalat" w:hAnsi="GHEA Grapalat"/>
          <w:color w:val="000000"/>
          <w:shd w:val="clear" w:color="auto" w:fill="FFFFFF"/>
        </w:rPr>
        <w:t>ում</w:t>
      </w:r>
      <w:r>
        <w:rPr>
          <w:rFonts w:ascii="GHEA Grapalat" w:hAnsi="GHEA Grapalat"/>
          <w:color w:val="000000"/>
          <w:shd w:val="clear" w:color="auto" w:fill="FFFFFF"/>
        </w:rPr>
        <w:t xml:space="preserve"> փոփոխութ</w:t>
      </w:r>
      <w:r w:rsidRPr="00AB453C">
        <w:rPr>
          <w:rFonts w:ascii="GHEA Grapalat" w:hAnsi="GHEA Grapalat"/>
          <w:color w:val="000000"/>
          <w:shd w:val="clear" w:color="auto" w:fill="FFFFFF"/>
        </w:rPr>
        <w:t>յուն է</w:t>
      </w:r>
      <w:r>
        <w:rPr>
          <w:rFonts w:ascii="GHEA Grapalat" w:hAnsi="GHEA Grapalat"/>
          <w:color w:val="000000"/>
          <w:shd w:val="clear" w:color="auto" w:fill="FFFFFF"/>
        </w:rPr>
        <w:t xml:space="preserve"> առաջանա</w:t>
      </w:r>
      <w:r w:rsidRPr="00AB453C">
        <w:rPr>
          <w:rFonts w:ascii="GHEA Grapalat" w:hAnsi="GHEA Grapalat"/>
          <w:color w:val="000000"/>
          <w:shd w:val="clear" w:color="auto" w:fill="FFFFFF"/>
        </w:rPr>
        <w:t>լու</w:t>
      </w:r>
      <w:r>
        <w:rPr>
          <w:rFonts w:ascii="GHEA Grapalat" w:hAnsi="GHEA Grapalat"/>
          <w:color w:val="000000"/>
          <w:shd w:val="clear" w:color="auto" w:fill="FFFFFF"/>
        </w:rPr>
        <w:t xml:space="preserve">: </w:t>
      </w:r>
      <w:r w:rsidRPr="00AB453C">
        <w:rPr>
          <w:rFonts w:ascii="GHEA Grapalat" w:hAnsi="GHEA Grapalat"/>
          <w:color w:val="000000"/>
          <w:shd w:val="clear" w:color="auto" w:fill="FFFFFF"/>
        </w:rPr>
        <w:t xml:space="preserve">Սահմանադրության 110-րդ հոդվածի 3-րդ մասի ուժով պետական բյուջեն ընդունվում է մինչև բյուջետային տարվա սկիզբը: Հետևաբար, </w:t>
      </w:r>
      <w:r>
        <w:rPr>
          <w:rFonts w:ascii="GHEA Grapalat" w:hAnsi="GHEA Grapalat"/>
        </w:rPr>
        <w:t xml:space="preserve">Նախագծով Բարձրագույն դատական խորհրդի </w:t>
      </w:r>
      <w:r w:rsidRPr="00AB453C">
        <w:rPr>
          <w:rFonts w:ascii="GHEA Grapalat" w:hAnsi="GHEA Grapalat"/>
        </w:rPr>
        <w:t xml:space="preserve">նախագահին և </w:t>
      </w:r>
      <w:r>
        <w:rPr>
          <w:rFonts w:ascii="GHEA Grapalat" w:hAnsi="GHEA Grapalat"/>
        </w:rPr>
        <w:t>անդամ</w:t>
      </w:r>
      <w:r w:rsidRPr="00AB453C">
        <w:rPr>
          <w:rFonts w:ascii="GHEA Grapalat" w:hAnsi="GHEA Grapalat"/>
        </w:rPr>
        <w:t>ներին</w:t>
      </w:r>
      <w:r>
        <w:rPr>
          <w:rFonts w:cs="Calibri"/>
        </w:rPr>
        <w:t> </w:t>
      </w:r>
      <w:r w:rsidRPr="00AB453C">
        <w:rPr>
          <w:rFonts w:ascii="GHEA Grapalat" w:hAnsi="GHEA Grapalat"/>
        </w:rPr>
        <w:t>տրամադրվող հավելումները</w:t>
      </w:r>
      <w:r>
        <w:rPr>
          <w:rFonts w:ascii="GHEA Grapalat" w:hAnsi="GHEA Grapalat"/>
          <w:color w:val="000000"/>
          <w:shd w:val="clear" w:color="auto" w:fill="FFFFFF"/>
        </w:rPr>
        <w:t xml:space="preserve"> Հայաստանի Հանրապետության 202</w:t>
      </w:r>
      <w:r w:rsidRPr="00AB453C">
        <w:rPr>
          <w:rFonts w:ascii="GHEA Grapalat" w:hAnsi="GHEA Grapalat"/>
          <w:color w:val="000000"/>
          <w:shd w:val="clear" w:color="auto" w:fill="FFFFFF"/>
        </w:rPr>
        <w:t>3</w:t>
      </w:r>
      <w:r>
        <w:rPr>
          <w:rFonts w:ascii="GHEA Grapalat" w:hAnsi="GHEA Grapalat"/>
          <w:color w:val="000000"/>
          <w:shd w:val="clear" w:color="auto" w:fill="FFFFFF"/>
        </w:rPr>
        <w:t xml:space="preserve"> թվականի պետական բյուջեի ծախսեր</w:t>
      </w:r>
      <w:r w:rsidRPr="00AB453C">
        <w:rPr>
          <w:rFonts w:ascii="GHEA Grapalat" w:hAnsi="GHEA Grapalat"/>
          <w:color w:val="000000"/>
          <w:shd w:val="clear" w:color="auto" w:fill="FFFFFF"/>
        </w:rPr>
        <w:t xml:space="preserve">ում արտացոլվելու նպատակով անհրաժեշտ է ապահովել Նախագծի </w:t>
      </w:r>
      <w:r w:rsidRPr="00AB453C">
        <w:rPr>
          <w:rFonts w:ascii="GHEA Grapalat" w:hAnsi="GHEA Grapalat"/>
          <w:color w:val="000000"/>
        </w:rPr>
        <w:t>ընդունումը</w:t>
      </w:r>
      <w:r w:rsidRPr="00AB453C">
        <w:rPr>
          <w:rFonts w:ascii="GHEA Grapalat" w:hAnsi="GHEA Grapalat"/>
          <w:color w:val="000000"/>
          <w:shd w:val="clear" w:color="auto" w:fill="FFFFFF"/>
        </w:rPr>
        <w:t xml:space="preserve"> մինչև պետական բյուջեի եկամուտները և ծախսերը արտացոլող՝ 2023</w:t>
      </w:r>
      <w:r>
        <w:rPr>
          <w:rFonts w:ascii="GHEA Grapalat" w:hAnsi="GHEA Grapalat"/>
          <w:color w:val="000000"/>
          <w:shd w:val="clear" w:color="auto" w:fill="FFFFFF"/>
        </w:rPr>
        <w:t xml:space="preserve"> տարվա պետական բյուջեի մասին օրենք</w:t>
      </w:r>
      <w:r w:rsidRPr="00AB453C">
        <w:rPr>
          <w:rFonts w:ascii="GHEA Grapalat" w:hAnsi="GHEA Grapalat"/>
          <w:color w:val="000000"/>
          <w:shd w:val="clear" w:color="auto" w:fill="FFFFFF"/>
        </w:rPr>
        <w:t>ի ընդունումը</w:t>
      </w:r>
      <w:r>
        <w:rPr>
          <w:rFonts w:ascii="GHEA Grapalat" w:hAnsi="GHEA Grapalat"/>
          <w:color w:val="000000"/>
          <w:shd w:val="clear" w:color="auto" w:fill="FFFFFF"/>
        </w:rPr>
        <w:t>:</w:t>
      </w:r>
    </w:p>
    <w:p w:rsidR="00AB453C" w:rsidRDefault="00AB453C" w:rsidP="00AB453C">
      <w:pPr>
        <w:widowControl w:val="0"/>
        <w:tabs>
          <w:tab w:val="left" w:pos="851"/>
          <w:tab w:val="left" w:pos="993"/>
        </w:tabs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/>
          <w:color w:val="000000"/>
          <w:highlight w:val="yellow"/>
          <w:shd w:val="clear" w:color="auto" w:fill="FFFFFF"/>
        </w:rPr>
      </w:pPr>
    </w:p>
    <w:p w:rsidR="00AB453C" w:rsidRDefault="00AB453C" w:rsidP="00AB453C">
      <w:pPr>
        <w:pStyle w:val="ListParagraph"/>
        <w:tabs>
          <w:tab w:val="left" w:pos="567"/>
          <w:tab w:val="left" w:pos="851"/>
          <w:tab w:val="left" w:pos="993"/>
        </w:tabs>
        <w:ind w:left="0" w:firstLine="720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3. Կարգավորման նպատակը, ակնկալվող արդյունքները.</w:t>
      </w:r>
    </w:p>
    <w:p w:rsidR="00AB453C" w:rsidRDefault="00AB453C" w:rsidP="00AB453C">
      <w:pPr>
        <w:pStyle w:val="ListParagraph"/>
        <w:widowControl w:val="0"/>
        <w:tabs>
          <w:tab w:val="left" w:pos="851"/>
          <w:tab w:val="left" w:pos="993"/>
        </w:tabs>
        <w:ind w:left="0" w:firstLine="851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Նախագծով առաջարկվող լրացումների պայմաններում օրենսդրորեն հստակ լուծում կստանա բարձրացված հարցը, որի արդյունքում Նախագծերի ընդունմամբ Վճռաբեկ դատարանի դատավորներին (այդ թվում՝ վճռաբեկ դատարանի նախագահին և վճռաբեկ դատարանի պալատի նախագահին) Օրենքով սահմանված կարգով պաշտոնային դրույքաչափի 50 տոկոսի չափով հավելում տրամադրելու մոտեցումը կկիրառվի նաև Բարձրագույն դատական խորհրդի նախագահի և անդամի</w:t>
      </w:r>
      <w:r>
        <w:rPr>
          <w:sz w:val="24"/>
          <w:szCs w:val="24"/>
          <w:lang w:val="hy-AM"/>
        </w:rPr>
        <w:t> </w:t>
      </w:r>
      <w:r>
        <w:rPr>
          <w:rFonts w:ascii="GHEA Grapalat" w:hAnsi="GHEA Grapalat"/>
          <w:sz w:val="24"/>
          <w:szCs w:val="24"/>
          <w:lang w:val="hy-AM"/>
        </w:rPr>
        <w:t xml:space="preserve">նկատմամբ, և այդպիսով կվերացվի Օրենքի կարգավորումների՝ Օրենսգրքի </w:t>
      </w:r>
      <w:r>
        <w:rPr>
          <w:rFonts w:ascii="GHEA Grapalat" w:hAnsi="GHEA Grapalat"/>
          <w:sz w:val="24"/>
          <w:szCs w:val="24"/>
          <w:lang w:val="hy-AM"/>
        </w:rPr>
        <w:lastRenderedPageBreak/>
        <w:t>83-րդ հոդվածի 2-րդ մասի կարգավորման հետ անհամապատասխանությունը:</w:t>
      </w:r>
    </w:p>
    <w:p w:rsidR="00AB453C" w:rsidRDefault="00AB453C" w:rsidP="00AB453C">
      <w:pPr>
        <w:widowControl w:val="0"/>
        <w:tabs>
          <w:tab w:val="left" w:pos="720"/>
          <w:tab w:val="left" w:pos="851"/>
          <w:tab w:val="left" w:pos="993"/>
        </w:tabs>
        <w:rPr>
          <w:rFonts w:ascii="GHEA Grapalat" w:hAnsi="GHEA Grapalat"/>
          <w:color w:val="000000"/>
          <w:highlight w:val="yellow"/>
          <w:shd w:val="clear" w:color="auto" w:fill="FFFFFF"/>
        </w:rPr>
      </w:pPr>
    </w:p>
    <w:p w:rsidR="00AB453C" w:rsidRDefault="00AB453C" w:rsidP="00AB453C">
      <w:pPr>
        <w:pStyle w:val="ListParagraph"/>
        <w:tabs>
          <w:tab w:val="left" w:pos="720"/>
          <w:tab w:val="left" w:pos="851"/>
          <w:tab w:val="left" w:pos="993"/>
        </w:tabs>
        <w:ind w:left="0" w:firstLine="72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 w:eastAsia="zh-CN"/>
        </w:rPr>
        <w:t>4. Իրավական</w:t>
      </w:r>
      <w:r>
        <w:rPr>
          <w:rFonts w:ascii="GHEA Grapalat" w:hAnsi="GHEA Grapalat"/>
          <w:b/>
          <w:sz w:val="24"/>
          <w:szCs w:val="24"/>
          <w:lang w:val="hy-AM" w:eastAsia="zh-CN"/>
        </w:rPr>
        <w:t xml:space="preserve"> ակտի նախագիծը մշակող պատասխանատու մարմինը, ինչպես նաև, անհրաժեշտության դեպքում, նախաձեռնողի, հեղինակների և մշակմանը մասնակցող անձանց մասին տեղեկություններ.</w:t>
      </w:r>
    </w:p>
    <w:p w:rsidR="00AB453C" w:rsidRDefault="00AB453C" w:rsidP="00AB453C">
      <w:pPr>
        <w:tabs>
          <w:tab w:val="left" w:pos="720"/>
          <w:tab w:val="left" w:pos="851"/>
          <w:tab w:val="left" w:pos="993"/>
        </w:tabs>
        <w:spacing w:line="360" w:lineRule="auto"/>
        <w:ind w:firstLine="720"/>
        <w:jc w:val="both"/>
        <w:rPr>
          <w:rFonts w:ascii="GHEA Grapalat" w:hAnsi="GHEA Grapalat"/>
        </w:rPr>
      </w:pPr>
      <w:r>
        <w:rPr>
          <w:rFonts w:ascii="GHEA Grapalat" w:hAnsi="GHEA Grapalat"/>
        </w:rPr>
        <w:t>Նախագիծը մշակվել է Արդարադատության նախարարության կողմից։</w:t>
      </w:r>
    </w:p>
    <w:p w:rsidR="00AB453C" w:rsidRDefault="00AB453C" w:rsidP="00AB453C">
      <w:pPr>
        <w:pStyle w:val="ListParagraph"/>
        <w:shd w:val="clear" w:color="auto" w:fill="FFFFFF"/>
        <w:tabs>
          <w:tab w:val="left" w:pos="851"/>
          <w:tab w:val="left" w:pos="993"/>
        </w:tabs>
        <w:ind w:left="0" w:firstLine="720"/>
        <w:rPr>
          <w:rFonts w:ascii="GHEA Grapalat" w:hAnsi="GHEA Grapalat" w:cs="Sylfaen"/>
          <w:b/>
          <w:sz w:val="24"/>
          <w:szCs w:val="24"/>
          <w:highlight w:val="yellow"/>
          <w:lang w:val="hy-AM"/>
        </w:rPr>
      </w:pPr>
    </w:p>
    <w:p w:rsidR="00AB453C" w:rsidRPr="00AB453C" w:rsidRDefault="00AB453C" w:rsidP="00AB453C">
      <w:pPr>
        <w:pStyle w:val="ListParagraph"/>
        <w:shd w:val="clear" w:color="auto" w:fill="FFFFFF"/>
        <w:tabs>
          <w:tab w:val="left" w:pos="851"/>
          <w:tab w:val="left" w:pos="993"/>
        </w:tabs>
        <w:ind w:left="0" w:firstLine="720"/>
        <w:rPr>
          <w:rStyle w:val="Strong"/>
          <w:bCs w:val="0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5. Նախագծի </w:t>
      </w:r>
      <w:r>
        <w:rPr>
          <w:rFonts w:ascii="GHEA Grapalat" w:hAnsi="GHEA Grapalat" w:cs="Arian AMU"/>
          <w:b/>
          <w:bCs/>
          <w:sz w:val="24"/>
          <w:szCs w:val="24"/>
          <w:bdr w:val="none" w:sz="0" w:space="0" w:color="auto" w:frame="1"/>
          <w:lang w:val="hy-AM" w:eastAsia="hy-AM"/>
        </w:rPr>
        <w:t xml:space="preserve">ընդունման </w:t>
      </w:r>
      <w:r>
        <w:rPr>
          <w:rStyle w:val="Strong"/>
          <w:rFonts w:ascii="GHEA Grapalat" w:hAnsi="GHEA Grapalat" w:cs="Arian AMU"/>
          <w:sz w:val="24"/>
          <w:szCs w:val="24"/>
          <w:bdr w:val="none" w:sz="0" w:space="0" w:color="auto" w:frame="1"/>
          <w:lang w:val="hy-AM"/>
        </w:rPr>
        <w:t>կապակցությամբ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լրացուցիչ ֆինանսական միջոցների անհրաժեշտության և պետական բյուջեի եկամուտներում և ծախսերում սպասվելիք փոփոխությունների մասին</w:t>
      </w:r>
      <w:r>
        <w:rPr>
          <w:rStyle w:val="Strong"/>
          <w:rFonts w:ascii="GHEA Grapalat" w:hAnsi="GHEA Grapalat" w:cs="Arian AMU"/>
          <w:sz w:val="24"/>
          <w:szCs w:val="24"/>
          <w:bdr w:val="none" w:sz="0" w:space="0" w:color="auto" w:frame="1"/>
          <w:lang w:val="hy-AM"/>
        </w:rPr>
        <w:t>.</w:t>
      </w:r>
    </w:p>
    <w:p w:rsidR="00AB453C" w:rsidRPr="00AB453C" w:rsidRDefault="00AB453C" w:rsidP="00AB453C">
      <w:pPr>
        <w:shd w:val="clear" w:color="auto" w:fill="FFFFFF"/>
        <w:tabs>
          <w:tab w:val="left" w:pos="851"/>
          <w:tab w:val="left" w:pos="993"/>
        </w:tabs>
        <w:spacing w:line="360" w:lineRule="auto"/>
        <w:ind w:firstLine="720"/>
        <w:jc w:val="both"/>
        <w:rPr>
          <w:color w:val="000000"/>
          <w:shd w:val="clear" w:color="auto" w:fill="FFFFFF"/>
        </w:rPr>
      </w:pPr>
      <w:r w:rsidRPr="00AB453C">
        <w:rPr>
          <w:rFonts w:ascii="GHEA Grapalat" w:hAnsi="GHEA Grapalat"/>
          <w:color w:val="000000"/>
          <w:shd w:val="clear" w:color="auto" w:fill="FFFFFF"/>
        </w:rPr>
        <w:t>Ն</w:t>
      </w:r>
      <w:r>
        <w:rPr>
          <w:rFonts w:ascii="GHEA Grapalat" w:hAnsi="GHEA Grapalat"/>
          <w:color w:val="000000"/>
          <w:shd w:val="clear" w:color="auto" w:fill="FFFFFF"/>
        </w:rPr>
        <w:t xml:space="preserve">ախագծի ընդունման արդյունքում </w:t>
      </w:r>
      <w:r w:rsidRPr="00AB453C">
        <w:rPr>
          <w:rFonts w:ascii="GHEA Grapalat" w:hAnsi="GHEA Grapalat"/>
          <w:color w:val="000000"/>
          <w:shd w:val="clear" w:color="auto" w:fill="FFFFFF"/>
        </w:rPr>
        <w:t>Հայաստանի Հանրապետության</w:t>
      </w:r>
      <w:r>
        <w:rPr>
          <w:rFonts w:ascii="GHEA Grapalat" w:hAnsi="GHEA Grapalat"/>
          <w:color w:val="000000"/>
          <w:shd w:val="clear" w:color="auto" w:fill="FFFFFF"/>
        </w:rPr>
        <w:t xml:space="preserve"> 2022 թվականի պետական բյուջեի եկամուտների և ծախսերի փոփոխության չի առաջանա</w:t>
      </w:r>
      <w:r w:rsidRPr="00AB453C">
        <w:rPr>
          <w:rFonts w:ascii="GHEA Grapalat" w:hAnsi="GHEA Grapalat"/>
          <w:color w:val="000000"/>
          <w:shd w:val="clear" w:color="auto" w:fill="FFFFFF"/>
        </w:rPr>
        <w:t>: Միևնույն ժամանակ, հարկ է նշել, որ Նախագծի ընդունման արդյունքում հաջորդ տարվա մասով հավելումների ընդհանուր գումարը կազմելու է 61.900.800 ՀՀ դրամ մեկ տարվա կտրվածքով:</w:t>
      </w:r>
    </w:p>
    <w:p w:rsidR="00AB453C" w:rsidRPr="00AB453C" w:rsidRDefault="00AB453C" w:rsidP="00AB453C">
      <w:pPr>
        <w:shd w:val="clear" w:color="auto" w:fill="FFFFFF"/>
        <w:tabs>
          <w:tab w:val="left" w:pos="851"/>
          <w:tab w:val="left" w:pos="993"/>
        </w:tabs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</w:rPr>
      </w:pPr>
      <w:r w:rsidRPr="00AB453C">
        <w:rPr>
          <w:rFonts w:ascii="GHEA Grapalat" w:hAnsi="GHEA Grapalat"/>
          <w:color w:val="000000"/>
          <w:shd w:val="clear" w:color="auto" w:fill="FFFFFF"/>
        </w:rPr>
        <w:t xml:space="preserve">Մասնավորապես, Բարձրագույն դատական խորհուրդը կազմված է տասն անդամից: Օրենքի 3-րդ հոդվածի 1-ին մասի 1-ին կետի ուժով հիմնական աշխատավարձ՝ պաշտոնային դրույքաչափը բազային աշխատավարձի և համապատասխան գործակցի արտադրյալն է: Բարձրագույն դատական խորհրդի նախագահի գործակիցը, համաձայն Օրենքի հավելվածի, 16 է, իսկ Բարձրագույն դատական խորհրդի անդամներինը՝ 12: Ստացվում է, որ Բարձրագույն դատական խորհրդի նախագահի մասով պաշտոնային դրույքաչափի (83.200x16=1.331.200) 50 տոկոսը կազմում է 665.600 ՀՀ դրամ (ամսական, իսկ տարեկան՝ 665.600x12=7.987.200 ՀՀ դրամ), Բարձրագույն դատական խորհրդի մեկ անդամի մասով պաշտոնային դրույքաչափի (83.200x12=998.400 ՀՀ դրամ) 50 տոկոսը՝ 499.200 ՀՀ դրամ (ամսական, իսկ տարեկան՝ 499.200x12=5.990.400 ՀՀ դրամ): </w:t>
      </w:r>
      <w:r w:rsidRPr="00AB453C">
        <w:rPr>
          <w:rFonts w:ascii="GHEA Grapalat" w:hAnsi="GHEA Grapalat"/>
          <w:color w:val="000000"/>
          <w:shd w:val="clear" w:color="auto" w:fill="FFFFFF"/>
        </w:rPr>
        <w:lastRenderedPageBreak/>
        <w:t>Արդյունքում, Բարձրագույն դատական խորհրդի նախագահի և 9 անդամի մասով հավելումների ընդհանուր գումարը կազմելու է 61.900.800 ՀՀ դրամ (53.913.600+7.987.200) մեկ տարվա կտրվածքով:</w:t>
      </w:r>
    </w:p>
    <w:p w:rsidR="00AB453C" w:rsidRPr="00AB453C" w:rsidRDefault="00AB453C" w:rsidP="00AB453C">
      <w:pPr>
        <w:shd w:val="clear" w:color="auto" w:fill="FFFFFF"/>
        <w:tabs>
          <w:tab w:val="left" w:pos="851"/>
          <w:tab w:val="left" w:pos="993"/>
        </w:tabs>
        <w:spacing w:line="360" w:lineRule="auto"/>
        <w:ind w:firstLine="720"/>
        <w:jc w:val="both"/>
        <w:rPr>
          <w:rFonts w:ascii="GHEA Grapalat" w:hAnsi="GHEA Grapalat" w:cs="Arian AMU"/>
          <w:b/>
          <w:bCs/>
          <w:highlight w:val="yellow"/>
          <w:bdr w:val="none" w:sz="0" w:space="0" w:color="auto" w:frame="1"/>
          <w:lang w:eastAsia="hy-AM"/>
        </w:rPr>
      </w:pPr>
    </w:p>
    <w:p w:rsidR="00AB453C" w:rsidRPr="00AB453C" w:rsidRDefault="00AB453C" w:rsidP="00AB453C">
      <w:pPr>
        <w:pStyle w:val="BodyText"/>
        <w:tabs>
          <w:tab w:val="left" w:pos="851"/>
          <w:tab w:val="left" w:pos="993"/>
        </w:tabs>
        <w:spacing w:line="360" w:lineRule="auto"/>
        <w:ind w:firstLine="720"/>
        <w:jc w:val="both"/>
        <w:rPr>
          <w:rFonts w:ascii="GHEA Grapalat" w:hAnsi="GHEA Grapalat"/>
          <w:b/>
        </w:rPr>
      </w:pPr>
      <w:r>
        <w:rPr>
          <w:rFonts w:ascii="GHEA Grapalat" w:hAnsi="GHEA Grapalat"/>
          <w:b/>
        </w:rPr>
        <w:t xml:space="preserve">6. Կապը ռազմավարական փաստաթղթերի հետ. Հայաստանի վերափոխման ռազմավարություն 2050, Կառավարության 2021-2026թթ. ծրագիր, ոլորտային և/կամ այլ ռազմավարություններ. </w:t>
      </w:r>
      <w:r>
        <w:rPr>
          <w:rFonts w:ascii="GHEA Grapalat" w:hAnsi="GHEA Grapalat"/>
          <w:b/>
          <w:color w:val="000000"/>
        </w:rPr>
        <w:tab/>
      </w:r>
    </w:p>
    <w:p w:rsidR="00AB453C" w:rsidRDefault="00AB453C" w:rsidP="00AB453C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</w:rPr>
      </w:pPr>
      <w:r w:rsidRPr="00AB453C">
        <w:rPr>
          <w:rFonts w:ascii="GHEA Grapalat" w:hAnsi="GHEA Grapalat"/>
        </w:rPr>
        <w:t>Նախագծի ընդունումը բխում է Կառավարության 2021-2026թթ. ծրագրի 6.3-րդ կետից։</w:t>
      </w:r>
      <w:r>
        <w:rPr>
          <w:rFonts w:ascii="GHEA Grapalat" w:hAnsi="GHEA Grapalat"/>
        </w:rPr>
        <w:t xml:space="preserve"> Մասնավորապես, </w:t>
      </w:r>
      <w:r>
        <w:rPr>
          <w:rFonts w:ascii="GHEA Grapalat" w:hAnsi="GHEA Grapalat" w:cs="GHEA Grapalat"/>
        </w:rPr>
        <w:t>«Հանրային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 w:cs="GHEA Grapalat"/>
        </w:rPr>
        <w:t>ծառայության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 w:cs="GHEA Grapalat"/>
        </w:rPr>
        <w:t>համակա</w:t>
      </w:r>
      <w:r>
        <w:rPr>
          <w:rFonts w:ascii="GHEA Grapalat" w:hAnsi="GHEA Grapalat"/>
        </w:rPr>
        <w:t>րգ և մարդկային ռեսուրսների կառավարում» վերտառությամբ 6</w:t>
      </w:r>
      <w:r>
        <w:rPr>
          <w:rFonts w:ascii="MS Gothic" w:eastAsia="MS Gothic" w:hAnsi="MS Gothic" w:cs="MS Gothic" w:hint="eastAsia"/>
        </w:rPr>
        <w:t>․</w:t>
      </w:r>
      <w:r>
        <w:rPr>
          <w:rFonts w:ascii="GHEA Grapalat" w:hAnsi="GHEA Grapalat"/>
        </w:rPr>
        <w:t>3-</w:t>
      </w:r>
      <w:r>
        <w:rPr>
          <w:rFonts w:ascii="GHEA Grapalat" w:hAnsi="GHEA Grapalat" w:cs="GHEA Grapalat"/>
        </w:rPr>
        <w:t>րդ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 w:cs="GHEA Grapalat"/>
        </w:rPr>
        <w:t>կետով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 w:cs="GHEA Grapalat"/>
        </w:rPr>
        <w:t>ի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 w:cs="GHEA Grapalat"/>
        </w:rPr>
        <w:t>թիվս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 w:cs="GHEA Grapalat"/>
        </w:rPr>
        <w:t>այլ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 w:cs="GHEA Grapalat"/>
        </w:rPr>
        <w:t>քայլերի՝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 w:cs="GHEA Grapalat"/>
        </w:rPr>
        <w:t>Կառավարության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 w:cs="GHEA Grapalat"/>
        </w:rPr>
        <w:t>կողմից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 w:cs="GHEA Grapalat"/>
        </w:rPr>
        <w:t>նախաձեռնման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 w:cs="GHEA Grapalat"/>
        </w:rPr>
        <w:t>ենթակա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 w:cs="GHEA Grapalat"/>
        </w:rPr>
        <w:t>քայլերից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 w:cs="GHEA Grapalat"/>
        </w:rPr>
        <w:t>է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 w:cs="Calibri"/>
        </w:rPr>
        <w:t>հանրային ծառայության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 w:cs="Calibri"/>
        </w:rPr>
        <w:t>գրավչությունը բարձրացնելու ուղղությամբ առանցքային բարեփոխումների իրականացումը, ներառյալ վարձատրության ու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 w:cs="Calibri"/>
        </w:rPr>
        <w:t>պարգևատրման համակարգերի վերանայումը, (…) գրավչությունը մեծացնող աշխատանքային միջավայրի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 w:cs="Calibri"/>
        </w:rPr>
        <w:t>ձևավորումն ու պայմանների ներդրումը (Հանրային ծառայության մասին օրենքի իմաստով Բարձրագույն դատական խորհրդի անդամի պաշտոնը՝ որպես անկախ պետական մարմնի անդամի պաշտոն, հանդիսանում է ինքնավար պաշտոն, որն էլ ընդգրկվում է հանրային ծառայության մաս կազմող հանրային պաշտոնների մեջ)։</w:t>
      </w:r>
    </w:p>
    <w:p w:rsidR="00AB453C" w:rsidRDefault="00AB453C" w:rsidP="00AB453C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</w:rPr>
      </w:pPr>
      <w:r>
        <w:rPr>
          <w:rFonts w:ascii="GHEA Grapalat" w:hAnsi="GHEA Grapalat"/>
        </w:rPr>
        <w:t>Բացի այդ, Նախագծի ընդունումը բխում է Օրենքի կարգավորումները Օրենսգրքի 83-րդ հոդվածի 2-րդ մասի կարգավորմանը համապատասխանեցնելու անհրաժեշտությունից։</w:t>
      </w:r>
    </w:p>
    <w:p w:rsidR="00AB453C" w:rsidRDefault="00AB453C" w:rsidP="00AB453C">
      <w:pPr>
        <w:spacing w:line="360" w:lineRule="auto"/>
        <w:ind w:firstLine="720"/>
        <w:jc w:val="both"/>
      </w:pPr>
    </w:p>
    <w:p w:rsidR="00662C5F" w:rsidRDefault="00662C5F">
      <w:bookmarkStart w:id="0" w:name="_GoBack"/>
      <w:bookmarkEnd w:id="0"/>
    </w:p>
    <w:sectPr w:rsidR="00662C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n AMU">
    <w:panose1 w:val="01000000000000000000"/>
    <w:charset w:val="00"/>
    <w:family w:val="auto"/>
    <w:pitch w:val="variable"/>
    <w:sig w:usb0="A1002EAF" w:usb1="5000000A" w:usb2="00000000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FA5085"/>
    <w:multiLevelType w:val="hybridMultilevel"/>
    <w:tmpl w:val="5D7A9E02"/>
    <w:lvl w:ilvl="0" w:tplc="FA7E64AA">
      <w:start w:val="1"/>
      <w:numFmt w:val="decimal"/>
      <w:lvlText w:val="%1."/>
      <w:lvlJc w:val="left"/>
      <w:pPr>
        <w:ind w:left="261" w:hanging="360"/>
      </w:pPr>
      <w:rPr>
        <w:rFonts w:cs="GHEA Mariam"/>
      </w:rPr>
    </w:lvl>
    <w:lvl w:ilvl="1" w:tplc="042B0019">
      <w:start w:val="1"/>
      <w:numFmt w:val="lowerLetter"/>
      <w:lvlText w:val="%2."/>
      <w:lvlJc w:val="left"/>
      <w:pPr>
        <w:ind w:left="981" w:hanging="360"/>
      </w:pPr>
    </w:lvl>
    <w:lvl w:ilvl="2" w:tplc="042B001B">
      <w:start w:val="1"/>
      <w:numFmt w:val="lowerRoman"/>
      <w:lvlText w:val="%3."/>
      <w:lvlJc w:val="right"/>
      <w:pPr>
        <w:ind w:left="1701" w:hanging="180"/>
      </w:pPr>
    </w:lvl>
    <w:lvl w:ilvl="3" w:tplc="042B000F">
      <w:start w:val="1"/>
      <w:numFmt w:val="decimal"/>
      <w:lvlText w:val="%4."/>
      <w:lvlJc w:val="left"/>
      <w:pPr>
        <w:ind w:left="2421" w:hanging="360"/>
      </w:pPr>
    </w:lvl>
    <w:lvl w:ilvl="4" w:tplc="042B0019">
      <w:start w:val="1"/>
      <w:numFmt w:val="lowerLetter"/>
      <w:lvlText w:val="%5."/>
      <w:lvlJc w:val="left"/>
      <w:pPr>
        <w:ind w:left="3141" w:hanging="360"/>
      </w:pPr>
    </w:lvl>
    <w:lvl w:ilvl="5" w:tplc="042B001B">
      <w:start w:val="1"/>
      <w:numFmt w:val="lowerRoman"/>
      <w:lvlText w:val="%6."/>
      <w:lvlJc w:val="right"/>
      <w:pPr>
        <w:ind w:left="3861" w:hanging="180"/>
      </w:pPr>
    </w:lvl>
    <w:lvl w:ilvl="6" w:tplc="042B000F">
      <w:start w:val="1"/>
      <w:numFmt w:val="decimal"/>
      <w:lvlText w:val="%7."/>
      <w:lvlJc w:val="left"/>
      <w:pPr>
        <w:ind w:left="4581" w:hanging="360"/>
      </w:pPr>
    </w:lvl>
    <w:lvl w:ilvl="7" w:tplc="042B0019">
      <w:start w:val="1"/>
      <w:numFmt w:val="lowerLetter"/>
      <w:lvlText w:val="%8."/>
      <w:lvlJc w:val="left"/>
      <w:pPr>
        <w:ind w:left="5301" w:hanging="360"/>
      </w:pPr>
    </w:lvl>
    <w:lvl w:ilvl="8" w:tplc="042B001B">
      <w:start w:val="1"/>
      <w:numFmt w:val="lowerRoman"/>
      <w:lvlText w:val="%9."/>
      <w:lvlJc w:val="right"/>
      <w:pPr>
        <w:ind w:left="602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2059"/>
    <w:rsid w:val="00003145"/>
    <w:rsid w:val="000036AE"/>
    <w:rsid w:val="00003BA9"/>
    <w:rsid w:val="00005CA1"/>
    <w:rsid w:val="00006237"/>
    <w:rsid w:val="0000684D"/>
    <w:rsid w:val="00006F83"/>
    <w:rsid w:val="00010189"/>
    <w:rsid w:val="0001224D"/>
    <w:rsid w:val="00013649"/>
    <w:rsid w:val="000137CD"/>
    <w:rsid w:val="00015965"/>
    <w:rsid w:val="00016167"/>
    <w:rsid w:val="00017B0E"/>
    <w:rsid w:val="00017F2B"/>
    <w:rsid w:val="00022C6E"/>
    <w:rsid w:val="000273F6"/>
    <w:rsid w:val="00030082"/>
    <w:rsid w:val="00030B29"/>
    <w:rsid w:val="000313E7"/>
    <w:rsid w:val="00031549"/>
    <w:rsid w:val="0003393C"/>
    <w:rsid w:val="00035CED"/>
    <w:rsid w:val="000363A6"/>
    <w:rsid w:val="000411AE"/>
    <w:rsid w:val="0004194A"/>
    <w:rsid w:val="00043A8D"/>
    <w:rsid w:val="000441E1"/>
    <w:rsid w:val="00045181"/>
    <w:rsid w:val="00045264"/>
    <w:rsid w:val="000463BF"/>
    <w:rsid w:val="00050BC6"/>
    <w:rsid w:val="000515E2"/>
    <w:rsid w:val="00053487"/>
    <w:rsid w:val="000621CB"/>
    <w:rsid w:val="00066D0A"/>
    <w:rsid w:val="00067DFF"/>
    <w:rsid w:val="000727EF"/>
    <w:rsid w:val="00073149"/>
    <w:rsid w:val="0007495C"/>
    <w:rsid w:val="00075DAC"/>
    <w:rsid w:val="00076591"/>
    <w:rsid w:val="000775AD"/>
    <w:rsid w:val="00077F9D"/>
    <w:rsid w:val="00081BC4"/>
    <w:rsid w:val="0008424F"/>
    <w:rsid w:val="00085EFA"/>
    <w:rsid w:val="0008769E"/>
    <w:rsid w:val="00087999"/>
    <w:rsid w:val="00090077"/>
    <w:rsid w:val="00090E70"/>
    <w:rsid w:val="00091B92"/>
    <w:rsid w:val="000929EC"/>
    <w:rsid w:val="00093C9A"/>
    <w:rsid w:val="00093E97"/>
    <w:rsid w:val="0009405C"/>
    <w:rsid w:val="000947EF"/>
    <w:rsid w:val="00095895"/>
    <w:rsid w:val="000A1DF7"/>
    <w:rsid w:val="000A23AB"/>
    <w:rsid w:val="000A3673"/>
    <w:rsid w:val="000A5D0A"/>
    <w:rsid w:val="000A6A2A"/>
    <w:rsid w:val="000A70BD"/>
    <w:rsid w:val="000B0957"/>
    <w:rsid w:val="000B0D81"/>
    <w:rsid w:val="000B1D9A"/>
    <w:rsid w:val="000B4C8C"/>
    <w:rsid w:val="000B4EF5"/>
    <w:rsid w:val="000B60CB"/>
    <w:rsid w:val="000B661C"/>
    <w:rsid w:val="000B7104"/>
    <w:rsid w:val="000C059E"/>
    <w:rsid w:val="000C1FE9"/>
    <w:rsid w:val="000C2D3B"/>
    <w:rsid w:val="000C3690"/>
    <w:rsid w:val="000D1405"/>
    <w:rsid w:val="000D3163"/>
    <w:rsid w:val="000D673D"/>
    <w:rsid w:val="000E2F7A"/>
    <w:rsid w:val="000E327E"/>
    <w:rsid w:val="000E34A6"/>
    <w:rsid w:val="000E625E"/>
    <w:rsid w:val="000E7BD9"/>
    <w:rsid w:val="000F0F80"/>
    <w:rsid w:val="000F43F0"/>
    <w:rsid w:val="000F4B6E"/>
    <w:rsid w:val="0010089B"/>
    <w:rsid w:val="0010222D"/>
    <w:rsid w:val="00102492"/>
    <w:rsid w:val="001033A9"/>
    <w:rsid w:val="00103797"/>
    <w:rsid w:val="00105805"/>
    <w:rsid w:val="0010759F"/>
    <w:rsid w:val="00107C53"/>
    <w:rsid w:val="0011135A"/>
    <w:rsid w:val="00111E99"/>
    <w:rsid w:val="00112F33"/>
    <w:rsid w:val="0011415B"/>
    <w:rsid w:val="0011537B"/>
    <w:rsid w:val="0012458E"/>
    <w:rsid w:val="0012613E"/>
    <w:rsid w:val="0012688A"/>
    <w:rsid w:val="00127274"/>
    <w:rsid w:val="00132DF6"/>
    <w:rsid w:val="00134AB3"/>
    <w:rsid w:val="00135991"/>
    <w:rsid w:val="00136BBD"/>
    <w:rsid w:val="00140D0B"/>
    <w:rsid w:val="00143A1F"/>
    <w:rsid w:val="00145DD6"/>
    <w:rsid w:val="00152410"/>
    <w:rsid w:val="001540FF"/>
    <w:rsid w:val="00155BDB"/>
    <w:rsid w:val="00155C9B"/>
    <w:rsid w:val="001575BE"/>
    <w:rsid w:val="00157B4F"/>
    <w:rsid w:val="00157D2D"/>
    <w:rsid w:val="00162B33"/>
    <w:rsid w:val="00163437"/>
    <w:rsid w:val="001649E8"/>
    <w:rsid w:val="00165025"/>
    <w:rsid w:val="00166003"/>
    <w:rsid w:val="001708EF"/>
    <w:rsid w:val="00170996"/>
    <w:rsid w:val="001748B2"/>
    <w:rsid w:val="00177A3C"/>
    <w:rsid w:val="00180100"/>
    <w:rsid w:val="001810D4"/>
    <w:rsid w:val="0018168E"/>
    <w:rsid w:val="00183047"/>
    <w:rsid w:val="0018373A"/>
    <w:rsid w:val="001840E0"/>
    <w:rsid w:val="0019049D"/>
    <w:rsid w:val="00190DE8"/>
    <w:rsid w:val="0019216F"/>
    <w:rsid w:val="00193A8D"/>
    <w:rsid w:val="001951D6"/>
    <w:rsid w:val="001959CF"/>
    <w:rsid w:val="001A1679"/>
    <w:rsid w:val="001A24FA"/>
    <w:rsid w:val="001A26C7"/>
    <w:rsid w:val="001A3128"/>
    <w:rsid w:val="001A57E4"/>
    <w:rsid w:val="001A6782"/>
    <w:rsid w:val="001A6E06"/>
    <w:rsid w:val="001A76FF"/>
    <w:rsid w:val="001B2474"/>
    <w:rsid w:val="001B2DD6"/>
    <w:rsid w:val="001B41F3"/>
    <w:rsid w:val="001B4B59"/>
    <w:rsid w:val="001B74FA"/>
    <w:rsid w:val="001C1353"/>
    <w:rsid w:val="001C1DA4"/>
    <w:rsid w:val="001C2480"/>
    <w:rsid w:val="001C39F0"/>
    <w:rsid w:val="001C7D93"/>
    <w:rsid w:val="001D0D30"/>
    <w:rsid w:val="001D267F"/>
    <w:rsid w:val="001D2ED4"/>
    <w:rsid w:val="001D3700"/>
    <w:rsid w:val="001D3A37"/>
    <w:rsid w:val="001D4FCB"/>
    <w:rsid w:val="001D781C"/>
    <w:rsid w:val="001E0216"/>
    <w:rsid w:val="001E2224"/>
    <w:rsid w:val="001E3510"/>
    <w:rsid w:val="001E3B2A"/>
    <w:rsid w:val="001E42C7"/>
    <w:rsid w:val="001E7986"/>
    <w:rsid w:val="001F020C"/>
    <w:rsid w:val="001F15C9"/>
    <w:rsid w:val="001F16ED"/>
    <w:rsid w:val="001F1C8F"/>
    <w:rsid w:val="001F3619"/>
    <w:rsid w:val="001F4CE7"/>
    <w:rsid w:val="001F52D6"/>
    <w:rsid w:val="001F543A"/>
    <w:rsid w:val="001F624F"/>
    <w:rsid w:val="001F64EC"/>
    <w:rsid w:val="001F72C8"/>
    <w:rsid w:val="001F7C62"/>
    <w:rsid w:val="00204211"/>
    <w:rsid w:val="002073F2"/>
    <w:rsid w:val="002101BD"/>
    <w:rsid w:val="00211342"/>
    <w:rsid w:val="00211774"/>
    <w:rsid w:val="0021281A"/>
    <w:rsid w:val="002166FA"/>
    <w:rsid w:val="00220CCA"/>
    <w:rsid w:val="00221C0C"/>
    <w:rsid w:val="00222D54"/>
    <w:rsid w:val="002240E9"/>
    <w:rsid w:val="00225056"/>
    <w:rsid w:val="0022548F"/>
    <w:rsid w:val="00226657"/>
    <w:rsid w:val="00227D25"/>
    <w:rsid w:val="00230996"/>
    <w:rsid w:val="00237999"/>
    <w:rsid w:val="002400CA"/>
    <w:rsid w:val="00241101"/>
    <w:rsid w:val="00242449"/>
    <w:rsid w:val="002432BE"/>
    <w:rsid w:val="002437D0"/>
    <w:rsid w:val="002439C2"/>
    <w:rsid w:val="0024430E"/>
    <w:rsid w:val="00244D14"/>
    <w:rsid w:val="00251C4C"/>
    <w:rsid w:val="00253086"/>
    <w:rsid w:val="002533C7"/>
    <w:rsid w:val="00253B1E"/>
    <w:rsid w:val="002549AF"/>
    <w:rsid w:val="00254EC7"/>
    <w:rsid w:val="00256831"/>
    <w:rsid w:val="00256E9C"/>
    <w:rsid w:val="00260A75"/>
    <w:rsid w:val="002621A5"/>
    <w:rsid w:val="00262399"/>
    <w:rsid w:val="00262B95"/>
    <w:rsid w:val="00262EB4"/>
    <w:rsid w:val="0027007C"/>
    <w:rsid w:val="002715A8"/>
    <w:rsid w:val="00273C76"/>
    <w:rsid w:val="002756E1"/>
    <w:rsid w:val="00275942"/>
    <w:rsid w:val="00275B52"/>
    <w:rsid w:val="0028058C"/>
    <w:rsid w:val="00280758"/>
    <w:rsid w:val="00280A25"/>
    <w:rsid w:val="002850BB"/>
    <w:rsid w:val="0028663D"/>
    <w:rsid w:val="00286BBA"/>
    <w:rsid w:val="00286E1E"/>
    <w:rsid w:val="00287B43"/>
    <w:rsid w:val="00291546"/>
    <w:rsid w:val="002915DD"/>
    <w:rsid w:val="00292D3C"/>
    <w:rsid w:val="00292FC1"/>
    <w:rsid w:val="002949E5"/>
    <w:rsid w:val="00295360"/>
    <w:rsid w:val="00296267"/>
    <w:rsid w:val="00296F75"/>
    <w:rsid w:val="002976E9"/>
    <w:rsid w:val="002A01F2"/>
    <w:rsid w:val="002A1D6B"/>
    <w:rsid w:val="002A2219"/>
    <w:rsid w:val="002A3471"/>
    <w:rsid w:val="002A737D"/>
    <w:rsid w:val="002A75D3"/>
    <w:rsid w:val="002B2BEB"/>
    <w:rsid w:val="002B32AB"/>
    <w:rsid w:val="002B3B33"/>
    <w:rsid w:val="002B3FE9"/>
    <w:rsid w:val="002B66BA"/>
    <w:rsid w:val="002B7800"/>
    <w:rsid w:val="002C359E"/>
    <w:rsid w:val="002C5A0C"/>
    <w:rsid w:val="002C7D81"/>
    <w:rsid w:val="002D11AE"/>
    <w:rsid w:val="002D33CE"/>
    <w:rsid w:val="002D3E62"/>
    <w:rsid w:val="002D4A67"/>
    <w:rsid w:val="002D4FCC"/>
    <w:rsid w:val="002D5304"/>
    <w:rsid w:val="002D5FC1"/>
    <w:rsid w:val="002D64E7"/>
    <w:rsid w:val="002E0170"/>
    <w:rsid w:val="002E0A5D"/>
    <w:rsid w:val="002E177F"/>
    <w:rsid w:val="002E2D65"/>
    <w:rsid w:val="002E5FE1"/>
    <w:rsid w:val="002E6004"/>
    <w:rsid w:val="002F0228"/>
    <w:rsid w:val="002F4AFB"/>
    <w:rsid w:val="002F6E16"/>
    <w:rsid w:val="002F6E9D"/>
    <w:rsid w:val="003007CB"/>
    <w:rsid w:val="003036B6"/>
    <w:rsid w:val="00303E0F"/>
    <w:rsid w:val="0030526B"/>
    <w:rsid w:val="00307022"/>
    <w:rsid w:val="00313275"/>
    <w:rsid w:val="00314BA3"/>
    <w:rsid w:val="003154BB"/>
    <w:rsid w:val="0031742B"/>
    <w:rsid w:val="00320138"/>
    <w:rsid w:val="00321C5D"/>
    <w:rsid w:val="00322BC8"/>
    <w:rsid w:val="00323C5F"/>
    <w:rsid w:val="00323CA4"/>
    <w:rsid w:val="00331179"/>
    <w:rsid w:val="00332A57"/>
    <w:rsid w:val="00334B59"/>
    <w:rsid w:val="00335855"/>
    <w:rsid w:val="0033656A"/>
    <w:rsid w:val="003366C6"/>
    <w:rsid w:val="0034132A"/>
    <w:rsid w:val="003417A7"/>
    <w:rsid w:val="00341C1B"/>
    <w:rsid w:val="003430C0"/>
    <w:rsid w:val="0034374F"/>
    <w:rsid w:val="003438B6"/>
    <w:rsid w:val="00346AC1"/>
    <w:rsid w:val="00346BC6"/>
    <w:rsid w:val="0035021C"/>
    <w:rsid w:val="003504E2"/>
    <w:rsid w:val="00353CBE"/>
    <w:rsid w:val="003552CE"/>
    <w:rsid w:val="003578D7"/>
    <w:rsid w:val="0036204E"/>
    <w:rsid w:val="00362714"/>
    <w:rsid w:val="003638CD"/>
    <w:rsid w:val="00364563"/>
    <w:rsid w:val="00365589"/>
    <w:rsid w:val="0036593D"/>
    <w:rsid w:val="00366C62"/>
    <w:rsid w:val="003748F9"/>
    <w:rsid w:val="00374E89"/>
    <w:rsid w:val="003750FC"/>
    <w:rsid w:val="0038304B"/>
    <w:rsid w:val="00386202"/>
    <w:rsid w:val="003862F5"/>
    <w:rsid w:val="00387FEF"/>
    <w:rsid w:val="0039158E"/>
    <w:rsid w:val="00394C7D"/>
    <w:rsid w:val="00394E9F"/>
    <w:rsid w:val="00396348"/>
    <w:rsid w:val="003A1914"/>
    <w:rsid w:val="003A2EA3"/>
    <w:rsid w:val="003A49EA"/>
    <w:rsid w:val="003A5807"/>
    <w:rsid w:val="003B1978"/>
    <w:rsid w:val="003B5506"/>
    <w:rsid w:val="003B6A21"/>
    <w:rsid w:val="003B6CBE"/>
    <w:rsid w:val="003B7058"/>
    <w:rsid w:val="003B75AA"/>
    <w:rsid w:val="003B7C96"/>
    <w:rsid w:val="003C0FEB"/>
    <w:rsid w:val="003C1801"/>
    <w:rsid w:val="003C193E"/>
    <w:rsid w:val="003C1940"/>
    <w:rsid w:val="003C4AD7"/>
    <w:rsid w:val="003C53B3"/>
    <w:rsid w:val="003C547A"/>
    <w:rsid w:val="003C5C77"/>
    <w:rsid w:val="003C6E1F"/>
    <w:rsid w:val="003C7D8F"/>
    <w:rsid w:val="003D3E87"/>
    <w:rsid w:val="003D475D"/>
    <w:rsid w:val="003D5DFE"/>
    <w:rsid w:val="003D6EC8"/>
    <w:rsid w:val="003D7D81"/>
    <w:rsid w:val="003E0A96"/>
    <w:rsid w:val="003E15A2"/>
    <w:rsid w:val="003E2CC3"/>
    <w:rsid w:val="003E4D02"/>
    <w:rsid w:val="003E669B"/>
    <w:rsid w:val="003F4390"/>
    <w:rsid w:val="003F4C48"/>
    <w:rsid w:val="003F5099"/>
    <w:rsid w:val="003F5421"/>
    <w:rsid w:val="003F6045"/>
    <w:rsid w:val="003F6F9C"/>
    <w:rsid w:val="003F7649"/>
    <w:rsid w:val="00404F73"/>
    <w:rsid w:val="004079A5"/>
    <w:rsid w:val="00411E2A"/>
    <w:rsid w:val="00417084"/>
    <w:rsid w:val="0042107F"/>
    <w:rsid w:val="004220B7"/>
    <w:rsid w:val="0042318F"/>
    <w:rsid w:val="00425E0D"/>
    <w:rsid w:val="004261D1"/>
    <w:rsid w:val="00426476"/>
    <w:rsid w:val="0042696A"/>
    <w:rsid w:val="0042711F"/>
    <w:rsid w:val="0042721F"/>
    <w:rsid w:val="004273AA"/>
    <w:rsid w:val="00427971"/>
    <w:rsid w:val="00430BEF"/>
    <w:rsid w:val="00433734"/>
    <w:rsid w:val="00436F4E"/>
    <w:rsid w:val="004435BF"/>
    <w:rsid w:val="0044529D"/>
    <w:rsid w:val="0045342D"/>
    <w:rsid w:val="00456053"/>
    <w:rsid w:val="00457870"/>
    <w:rsid w:val="00457BCE"/>
    <w:rsid w:val="0046038A"/>
    <w:rsid w:val="00461147"/>
    <w:rsid w:val="00463B6C"/>
    <w:rsid w:val="00463DEC"/>
    <w:rsid w:val="004641C9"/>
    <w:rsid w:val="004668DA"/>
    <w:rsid w:val="00467609"/>
    <w:rsid w:val="00471C3F"/>
    <w:rsid w:val="00472E97"/>
    <w:rsid w:val="004756CD"/>
    <w:rsid w:val="00475844"/>
    <w:rsid w:val="0048151B"/>
    <w:rsid w:val="004837C9"/>
    <w:rsid w:val="00485737"/>
    <w:rsid w:val="004860CA"/>
    <w:rsid w:val="0048638E"/>
    <w:rsid w:val="00487FC1"/>
    <w:rsid w:val="0049306E"/>
    <w:rsid w:val="00495A86"/>
    <w:rsid w:val="004961CA"/>
    <w:rsid w:val="00496A14"/>
    <w:rsid w:val="00497782"/>
    <w:rsid w:val="004978BB"/>
    <w:rsid w:val="00497A37"/>
    <w:rsid w:val="004A0931"/>
    <w:rsid w:val="004A1150"/>
    <w:rsid w:val="004A1C8C"/>
    <w:rsid w:val="004A32D6"/>
    <w:rsid w:val="004A67BA"/>
    <w:rsid w:val="004A6A2F"/>
    <w:rsid w:val="004A6B3E"/>
    <w:rsid w:val="004A6FBF"/>
    <w:rsid w:val="004B050D"/>
    <w:rsid w:val="004B1A11"/>
    <w:rsid w:val="004B1FDD"/>
    <w:rsid w:val="004C1BA9"/>
    <w:rsid w:val="004C246C"/>
    <w:rsid w:val="004C2CFB"/>
    <w:rsid w:val="004C4F0E"/>
    <w:rsid w:val="004C59CA"/>
    <w:rsid w:val="004C6CC6"/>
    <w:rsid w:val="004C7BA1"/>
    <w:rsid w:val="004C7BB3"/>
    <w:rsid w:val="004D43ED"/>
    <w:rsid w:val="004D5492"/>
    <w:rsid w:val="004D67E0"/>
    <w:rsid w:val="004D7776"/>
    <w:rsid w:val="004D7BF3"/>
    <w:rsid w:val="004D7FC7"/>
    <w:rsid w:val="004E1E5A"/>
    <w:rsid w:val="004E3DCC"/>
    <w:rsid w:val="004E4417"/>
    <w:rsid w:val="004E5277"/>
    <w:rsid w:val="004F102C"/>
    <w:rsid w:val="004F5F8C"/>
    <w:rsid w:val="004F6FE6"/>
    <w:rsid w:val="004F7EF5"/>
    <w:rsid w:val="005008B8"/>
    <w:rsid w:val="005032AE"/>
    <w:rsid w:val="00503577"/>
    <w:rsid w:val="00505397"/>
    <w:rsid w:val="005058F5"/>
    <w:rsid w:val="0050602F"/>
    <w:rsid w:val="00507F57"/>
    <w:rsid w:val="00511BB5"/>
    <w:rsid w:val="00512698"/>
    <w:rsid w:val="0051451D"/>
    <w:rsid w:val="00514BC8"/>
    <w:rsid w:val="00514DE4"/>
    <w:rsid w:val="00515281"/>
    <w:rsid w:val="00515418"/>
    <w:rsid w:val="00516B32"/>
    <w:rsid w:val="00517176"/>
    <w:rsid w:val="00520BA4"/>
    <w:rsid w:val="00520F4B"/>
    <w:rsid w:val="00522971"/>
    <w:rsid w:val="00522C81"/>
    <w:rsid w:val="00523851"/>
    <w:rsid w:val="00523975"/>
    <w:rsid w:val="0052448C"/>
    <w:rsid w:val="00531B6B"/>
    <w:rsid w:val="005351F9"/>
    <w:rsid w:val="00535512"/>
    <w:rsid w:val="0053598F"/>
    <w:rsid w:val="00540D63"/>
    <w:rsid w:val="005445B3"/>
    <w:rsid w:val="0054593B"/>
    <w:rsid w:val="0054596B"/>
    <w:rsid w:val="00550497"/>
    <w:rsid w:val="00551804"/>
    <w:rsid w:val="00551B91"/>
    <w:rsid w:val="0055424C"/>
    <w:rsid w:val="00557537"/>
    <w:rsid w:val="00557818"/>
    <w:rsid w:val="00562699"/>
    <w:rsid w:val="00562B44"/>
    <w:rsid w:val="00562E53"/>
    <w:rsid w:val="005649C2"/>
    <w:rsid w:val="005660B7"/>
    <w:rsid w:val="00570A61"/>
    <w:rsid w:val="00570DDE"/>
    <w:rsid w:val="00571A3F"/>
    <w:rsid w:val="00572467"/>
    <w:rsid w:val="00573AB5"/>
    <w:rsid w:val="00574AC3"/>
    <w:rsid w:val="005762F9"/>
    <w:rsid w:val="00576A67"/>
    <w:rsid w:val="00577A8D"/>
    <w:rsid w:val="005806A5"/>
    <w:rsid w:val="00580D31"/>
    <w:rsid w:val="00583497"/>
    <w:rsid w:val="0058536F"/>
    <w:rsid w:val="00585845"/>
    <w:rsid w:val="00587C55"/>
    <w:rsid w:val="00590254"/>
    <w:rsid w:val="00592998"/>
    <w:rsid w:val="00594489"/>
    <w:rsid w:val="0059540F"/>
    <w:rsid w:val="00595DEB"/>
    <w:rsid w:val="005A0663"/>
    <w:rsid w:val="005A1EBE"/>
    <w:rsid w:val="005A4A02"/>
    <w:rsid w:val="005A6845"/>
    <w:rsid w:val="005A7008"/>
    <w:rsid w:val="005B04F8"/>
    <w:rsid w:val="005B1EC9"/>
    <w:rsid w:val="005B3E72"/>
    <w:rsid w:val="005B6305"/>
    <w:rsid w:val="005B73D8"/>
    <w:rsid w:val="005C0DEA"/>
    <w:rsid w:val="005C4511"/>
    <w:rsid w:val="005D1339"/>
    <w:rsid w:val="005D15DF"/>
    <w:rsid w:val="005D65C9"/>
    <w:rsid w:val="005E3243"/>
    <w:rsid w:val="005E3463"/>
    <w:rsid w:val="005E36D1"/>
    <w:rsid w:val="005E4F35"/>
    <w:rsid w:val="005E5677"/>
    <w:rsid w:val="005E603F"/>
    <w:rsid w:val="005E671C"/>
    <w:rsid w:val="005E758D"/>
    <w:rsid w:val="005E7F06"/>
    <w:rsid w:val="005F0397"/>
    <w:rsid w:val="005F03F8"/>
    <w:rsid w:val="005F15F3"/>
    <w:rsid w:val="005F1707"/>
    <w:rsid w:val="005F4E22"/>
    <w:rsid w:val="005F667E"/>
    <w:rsid w:val="006012E2"/>
    <w:rsid w:val="00606581"/>
    <w:rsid w:val="006101F5"/>
    <w:rsid w:val="006168F1"/>
    <w:rsid w:val="00616C11"/>
    <w:rsid w:val="006200F9"/>
    <w:rsid w:val="006237A6"/>
    <w:rsid w:val="006265DA"/>
    <w:rsid w:val="0062679D"/>
    <w:rsid w:val="00630706"/>
    <w:rsid w:val="00632A72"/>
    <w:rsid w:val="00632AB7"/>
    <w:rsid w:val="00633DC0"/>
    <w:rsid w:val="00636C02"/>
    <w:rsid w:val="00636E71"/>
    <w:rsid w:val="00637FF8"/>
    <w:rsid w:val="00641D0F"/>
    <w:rsid w:val="00642CD4"/>
    <w:rsid w:val="00650F23"/>
    <w:rsid w:val="00651074"/>
    <w:rsid w:val="00652E4D"/>
    <w:rsid w:val="00653292"/>
    <w:rsid w:val="00654E85"/>
    <w:rsid w:val="00654EBB"/>
    <w:rsid w:val="00662C5F"/>
    <w:rsid w:val="00663DFF"/>
    <w:rsid w:val="00663F31"/>
    <w:rsid w:val="00665292"/>
    <w:rsid w:val="00675AC4"/>
    <w:rsid w:val="006762DF"/>
    <w:rsid w:val="00676E3A"/>
    <w:rsid w:val="006804C8"/>
    <w:rsid w:val="0068217F"/>
    <w:rsid w:val="00682A67"/>
    <w:rsid w:val="006832AA"/>
    <w:rsid w:val="006875DC"/>
    <w:rsid w:val="00687F98"/>
    <w:rsid w:val="00690238"/>
    <w:rsid w:val="00690C9D"/>
    <w:rsid w:val="00691CF2"/>
    <w:rsid w:val="00692797"/>
    <w:rsid w:val="006934C7"/>
    <w:rsid w:val="006937BA"/>
    <w:rsid w:val="006942AA"/>
    <w:rsid w:val="00695CE4"/>
    <w:rsid w:val="00696A14"/>
    <w:rsid w:val="006A1094"/>
    <w:rsid w:val="006A4ECE"/>
    <w:rsid w:val="006A58F5"/>
    <w:rsid w:val="006A5B79"/>
    <w:rsid w:val="006B2721"/>
    <w:rsid w:val="006B3710"/>
    <w:rsid w:val="006B5B87"/>
    <w:rsid w:val="006B69FF"/>
    <w:rsid w:val="006B79A5"/>
    <w:rsid w:val="006C16C9"/>
    <w:rsid w:val="006C64EC"/>
    <w:rsid w:val="006D0EE0"/>
    <w:rsid w:val="006D1ADE"/>
    <w:rsid w:val="006D5B76"/>
    <w:rsid w:val="006D6E42"/>
    <w:rsid w:val="006D74FB"/>
    <w:rsid w:val="006E16A0"/>
    <w:rsid w:val="006E17F5"/>
    <w:rsid w:val="006E27C8"/>
    <w:rsid w:val="006E5044"/>
    <w:rsid w:val="006E5BA2"/>
    <w:rsid w:val="006F0173"/>
    <w:rsid w:val="006F02F4"/>
    <w:rsid w:val="006F223F"/>
    <w:rsid w:val="006F2653"/>
    <w:rsid w:val="006F2E8F"/>
    <w:rsid w:val="006F2FA9"/>
    <w:rsid w:val="006F35E0"/>
    <w:rsid w:val="006F4A5B"/>
    <w:rsid w:val="006F7328"/>
    <w:rsid w:val="006F7F85"/>
    <w:rsid w:val="00703578"/>
    <w:rsid w:val="00705972"/>
    <w:rsid w:val="00705D31"/>
    <w:rsid w:val="0071029B"/>
    <w:rsid w:val="0071038D"/>
    <w:rsid w:val="00710F84"/>
    <w:rsid w:val="007122BD"/>
    <w:rsid w:val="00712E5A"/>
    <w:rsid w:val="00713FE0"/>
    <w:rsid w:val="00714B01"/>
    <w:rsid w:val="00717E9D"/>
    <w:rsid w:val="0072387E"/>
    <w:rsid w:val="00723F33"/>
    <w:rsid w:val="0072571D"/>
    <w:rsid w:val="007263FC"/>
    <w:rsid w:val="00726CFF"/>
    <w:rsid w:val="0073025A"/>
    <w:rsid w:val="00733022"/>
    <w:rsid w:val="00734485"/>
    <w:rsid w:val="0073495D"/>
    <w:rsid w:val="00740E80"/>
    <w:rsid w:val="007423F9"/>
    <w:rsid w:val="00743518"/>
    <w:rsid w:val="00743B33"/>
    <w:rsid w:val="0074537C"/>
    <w:rsid w:val="0074615E"/>
    <w:rsid w:val="0075038A"/>
    <w:rsid w:val="00751EB4"/>
    <w:rsid w:val="00751FEF"/>
    <w:rsid w:val="007528F2"/>
    <w:rsid w:val="00753E87"/>
    <w:rsid w:val="0075463A"/>
    <w:rsid w:val="00754E19"/>
    <w:rsid w:val="0075578B"/>
    <w:rsid w:val="00756AAD"/>
    <w:rsid w:val="00760E5C"/>
    <w:rsid w:val="00761318"/>
    <w:rsid w:val="007639AE"/>
    <w:rsid w:val="0076713E"/>
    <w:rsid w:val="007677EB"/>
    <w:rsid w:val="0077096E"/>
    <w:rsid w:val="00770BC5"/>
    <w:rsid w:val="007721DF"/>
    <w:rsid w:val="00773762"/>
    <w:rsid w:val="00776DB2"/>
    <w:rsid w:val="0078144C"/>
    <w:rsid w:val="007819AB"/>
    <w:rsid w:val="00785784"/>
    <w:rsid w:val="00794A1A"/>
    <w:rsid w:val="007971AD"/>
    <w:rsid w:val="007A26EE"/>
    <w:rsid w:val="007A29F5"/>
    <w:rsid w:val="007A42AB"/>
    <w:rsid w:val="007A684C"/>
    <w:rsid w:val="007A69C1"/>
    <w:rsid w:val="007B0866"/>
    <w:rsid w:val="007B0A60"/>
    <w:rsid w:val="007B11D7"/>
    <w:rsid w:val="007B30DE"/>
    <w:rsid w:val="007B424E"/>
    <w:rsid w:val="007B44F0"/>
    <w:rsid w:val="007B667F"/>
    <w:rsid w:val="007C0D09"/>
    <w:rsid w:val="007C12C7"/>
    <w:rsid w:val="007C16EB"/>
    <w:rsid w:val="007C344F"/>
    <w:rsid w:val="007C7759"/>
    <w:rsid w:val="007D0B0C"/>
    <w:rsid w:val="007D1847"/>
    <w:rsid w:val="007D271B"/>
    <w:rsid w:val="007D3D2C"/>
    <w:rsid w:val="007D4511"/>
    <w:rsid w:val="007E09B5"/>
    <w:rsid w:val="007E1236"/>
    <w:rsid w:val="007E5933"/>
    <w:rsid w:val="007E64E7"/>
    <w:rsid w:val="007E6DBE"/>
    <w:rsid w:val="007E73D9"/>
    <w:rsid w:val="007F16B9"/>
    <w:rsid w:val="007F216F"/>
    <w:rsid w:val="007F35E4"/>
    <w:rsid w:val="007F5F3F"/>
    <w:rsid w:val="0080564B"/>
    <w:rsid w:val="0080590D"/>
    <w:rsid w:val="00806BE5"/>
    <w:rsid w:val="008114DA"/>
    <w:rsid w:val="00811507"/>
    <w:rsid w:val="00811899"/>
    <w:rsid w:val="00812F55"/>
    <w:rsid w:val="00813759"/>
    <w:rsid w:val="0081444F"/>
    <w:rsid w:val="00815790"/>
    <w:rsid w:val="00816261"/>
    <w:rsid w:val="00822031"/>
    <w:rsid w:val="00824E73"/>
    <w:rsid w:val="00825950"/>
    <w:rsid w:val="00825A0B"/>
    <w:rsid w:val="00833552"/>
    <w:rsid w:val="00834301"/>
    <w:rsid w:val="00835BE5"/>
    <w:rsid w:val="0083750D"/>
    <w:rsid w:val="00837C5A"/>
    <w:rsid w:val="00843377"/>
    <w:rsid w:val="00844798"/>
    <w:rsid w:val="00844801"/>
    <w:rsid w:val="00844906"/>
    <w:rsid w:val="00844BDF"/>
    <w:rsid w:val="00850541"/>
    <w:rsid w:val="008537D0"/>
    <w:rsid w:val="0085459A"/>
    <w:rsid w:val="00854F0F"/>
    <w:rsid w:val="008564D2"/>
    <w:rsid w:val="00866965"/>
    <w:rsid w:val="00870D23"/>
    <w:rsid w:val="00874033"/>
    <w:rsid w:val="0087408D"/>
    <w:rsid w:val="0087480C"/>
    <w:rsid w:val="00874C74"/>
    <w:rsid w:val="008758B8"/>
    <w:rsid w:val="008812F2"/>
    <w:rsid w:val="00884B08"/>
    <w:rsid w:val="00885E0B"/>
    <w:rsid w:val="00887365"/>
    <w:rsid w:val="00890727"/>
    <w:rsid w:val="00893F27"/>
    <w:rsid w:val="00894372"/>
    <w:rsid w:val="00894E6B"/>
    <w:rsid w:val="00895F27"/>
    <w:rsid w:val="008A0912"/>
    <w:rsid w:val="008A3204"/>
    <w:rsid w:val="008A33EC"/>
    <w:rsid w:val="008A55F0"/>
    <w:rsid w:val="008B0683"/>
    <w:rsid w:val="008B30C1"/>
    <w:rsid w:val="008B4AA8"/>
    <w:rsid w:val="008B7F83"/>
    <w:rsid w:val="008C20D4"/>
    <w:rsid w:val="008C3DD9"/>
    <w:rsid w:val="008C3F5D"/>
    <w:rsid w:val="008C45AA"/>
    <w:rsid w:val="008C4C47"/>
    <w:rsid w:val="008C4F67"/>
    <w:rsid w:val="008C51A1"/>
    <w:rsid w:val="008C5219"/>
    <w:rsid w:val="008D23C9"/>
    <w:rsid w:val="008D27A8"/>
    <w:rsid w:val="008D2B86"/>
    <w:rsid w:val="008D5611"/>
    <w:rsid w:val="008D62AB"/>
    <w:rsid w:val="008D77B4"/>
    <w:rsid w:val="008D7A6C"/>
    <w:rsid w:val="008E2C06"/>
    <w:rsid w:val="008E2D8B"/>
    <w:rsid w:val="008E311B"/>
    <w:rsid w:val="008E31CA"/>
    <w:rsid w:val="008E4505"/>
    <w:rsid w:val="008E4B60"/>
    <w:rsid w:val="008E78D1"/>
    <w:rsid w:val="008F1474"/>
    <w:rsid w:val="008F56C3"/>
    <w:rsid w:val="008F607E"/>
    <w:rsid w:val="008F7794"/>
    <w:rsid w:val="00900178"/>
    <w:rsid w:val="009018BD"/>
    <w:rsid w:val="00906648"/>
    <w:rsid w:val="00906EB5"/>
    <w:rsid w:val="00910B35"/>
    <w:rsid w:val="00910E50"/>
    <w:rsid w:val="009112FA"/>
    <w:rsid w:val="009121A9"/>
    <w:rsid w:val="0092056B"/>
    <w:rsid w:val="00921C5E"/>
    <w:rsid w:val="00921DA5"/>
    <w:rsid w:val="00924797"/>
    <w:rsid w:val="00926244"/>
    <w:rsid w:val="00927A99"/>
    <w:rsid w:val="00930110"/>
    <w:rsid w:val="00932C39"/>
    <w:rsid w:val="00934C14"/>
    <w:rsid w:val="009372E9"/>
    <w:rsid w:val="00937586"/>
    <w:rsid w:val="00937634"/>
    <w:rsid w:val="009412A5"/>
    <w:rsid w:val="00942D1C"/>
    <w:rsid w:val="0095094B"/>
    <w:rsid w:val="00951920"/>
    <w:rsid w:val="009519BB"/>
    <w:rsid w:val="00952DD9"/>
    <w:rsid w:val="00954392"/>
    <w:rsid w:val="00960AC9"/>
    <w:rsid w:val="00960C94"/>
    <w:rsid w:val="0096393C"/>
    <w:rsid w:val="00965F8B"/>
    <w:rsid w:val="00972207"/>
    <w:rsid w:val="00972792"/>
    <w:rsid w:val="00972826"/>
    <w:rsid w:val="00972952"/>
    <w:rsid w:val="00972AB2"/>
    <w:rsid w:val="0097606C"/>
    <w:rsid w:val="009775E0"/>
    <w:rsid w:val="00977BF4"/>
    <w:rsid w:val="009800B3"/>
    <w:rsid w:val="0098125A"/>
    <w:rsid w:val="00983926"/>
    <w:rsid w:val="009863AF"/>
    <w:rsid w:val="00991879"/>
    <w:rsid w:val="00992389"/>
    <w:rsid w:val="009951F7"/>
    <w:rsid w:val="009959AF"/>
    <w:rsid w:val="00997D74"/>
    <w:rsid w:val="009A584A"/>
    <w:rsid w:val="009A5BDB"/>
    <w:rsid w:val="009A6E30"/>
    <w:rsid w:val="009A700A"/>
    <w:rsid w:val="009B16FB"/>
    <w:rsid w:val="009B254D"/>
    <w:rsid w:val="009B2E39"/>
    <w:rsid w:val="009B37B9"/>
    <w:rsid w:val="009B514E"/>
    <w:rsid w:val="009B60CB"/>
    <w:rsid w:val="009C2117"/>
    <w:rsid w:val="009C3FAA"/>
    <w:rsid w:val="009C5639"/>
    <w:rsid w:val="009C660E"/>
    <w:rsid w:val="009C701A"/>
    <w:rsid w:val="009D7D6A"/>
    <w:rsid w:val="009D7E53"/>
    <w:rsid w:val="009E043B"/>
    <w:rsid w:val="009E0BF6"/>
    <w:rsid w:val="009E1818"/>
    <w:rsid w:val="009E3616"/>
    <w:rsid w:val="009E4ADB"/>
    <w:rsid w:val="009E53B7"/>
    <w:rsid w:val="009E6246"/>
    <w:rsid w:val="009F0714"/>
    <w:rsid w:val="009F1637"/>
    <w:rsid w:val="009F22BE"/>
    <w:rsid w:val="009F3A1C"/>
    <w:rsid w:val="009F471E"/>
    <w:rsid w:val="009F6435"/>
    <w:rsid w:val="009F6610"/>
    <w:rsid w:val="00A0268A"/>
    <w:rsid w:val="00A0351E"/>
    <w:rsid w:val="00A05854"/>
    <w:rsid w:val="00A06042"/>
    <w:rsid w:val="00A125DC"/>
    <w:rsid w:val="00A13220"/>
    <w:rsid w:val="00A16009"/>
    <w:rsid w:val="00A17650"/>
    <w:rsid w:val="00A21C50"/>
    <w:rsid w:val="00A2296B"/>
    <w:rsid w:val="00A23750"/>
    <w:rsid w:val="00A23C2E"/>
    <w:rsid w:val="00A3044C"/>
    <w:rsid w:val="00A31F1B"/>
    <w:rsid w:val="00A33071"/>
    <w:rsid w:val="00A40134"/>
    <w:rsid w:val="00A4021D"/>
    <w:rsid w:val="00A45CDE"/>
    <w:rsid w:val="00A513DF"/>
    <w:rsid w:val="00A51CBB"/>
    <w:rsid w:val="00A52A4B"/>
    <w:rsid w:val="00A52A50"/>
    <w:rsid w:val="00A55048"/>
    <w:rsid w:val="00A56646"/>
    <w:rsid w:val="00A569A2"/>
    <w:rsid w:val="00A57BFF"/>
    <w:rsid w:val="00A605D3"/>
    <w:rsid w:val="00A60EAB"/>
    <w:rsid w:val="00A61F37"/>
    <w:rsid w:val="00A6324C"/>
    <w:rsid w:val="00A65545"/>
    <w:rsid w:val="00A6677C"/>
    <w:rsid w:val="00A67611"/>
    <w:rsid w:val="00A7096E"/>
    <w:rsid w:val="00A724D4"/>
    <w:rsid w:val="00A7360F"/>
    <w:rsid w:val="00A73860"/>
    <w:rsid w:val="00A73D93"/>
    <w:rsid w:val="00A74F1C"/>
    <w:rsid w:val="00A74F4C"/>
    <w:rsid w:val="00A7629D"/>
    <w:rsid w:val="00A76A8C"/>
    <w:rsid w:val="00A76FA0"/>
    <w:rsid w:val="00A84EA3"/>
    <w:rsid w:val="00A85FDB"/>
    <w:rsid w:val="00A877C5"/>
    <w:rsid w:val="00A92EF3"/>
    <w:rsid w:val="00A95B9D"/>
    <w:rsid w:val="00A971FE"/>
    <w:rsid w:val="00A97B9F"/>
    <w:rsid w:val="00AA04A2"/>
    <w:rsid w:val="00AA0A61"/>
    <w:rsid w:val="00AA0CA8"/>
    <w:rsid w:val="00AA3386"/>
    <w:rsid w:val="00AA3C1D"/>
    <w:rsid w:val="00AA5871"/>
    <w:rsid w:val="00AA58FC"/>
    <w:rsid w:val="00AA5F7E"/>
    <w:rsid w:val="00AA67B3"/>
    <w:rsid w:val="00AA70A6"/>
    <w:rsid w:val="00AA7EF9"/>
    <w:rsid w:val="00AA7F18"/>
    <w:rsid w:val="00AB2961"/>
    <w:rsid w:val="00AB38BF"/>
    <w:rsid w:val="00AB3F7B"/>
    <w:rsid w:val="00AB453C"/>
    <w:rsid w:val="00AB5B68"/>
    <w:rsid w:val="00AB77BC"/>
    <w:rsid w:val="00AC4337"/>
    <w:rsid w:val="00AD0473"/>
    <w:rsid w:val="00AD2E83"/>
    <w:rsid w:val="00AD511E"/>
    <w:rsid w:val="00AD55F7"/>
    <w:rsid w:val="00AD7B3E"/>
    <w:rsid w:val="00AD7C35"/>
    <w:rsid w:val="00AE25B2"/>
    <w:rsid w:val="00AE5133"/>
    <w:rsid w:val="00AE56C6"/>
    <w:rsid w:val="00AE5B03"/>
    <w:rsid w:val="00AF123E"/>
    <w:rsid w:val="00AF1D3B"/>
    <w:rsid w:val="00AF63C8"/>
    <w:rsid w:val="00AF6AA8"/>
    <w:rsid w:val="00AF6DED"/>
    <w:rsid w:val="00B02156"/>
    <w:rsid w:val="00B022AC"/>
    <w:rsid w:val="00B025AB"/>
    <w:rsid w:val="00B0275F"/>
    <w:rsid w:val="00B03F0C"/>
    <w:rsid w:val="00B05F0C"/>
    <w:rsid w:val="00B06260"/>
    <w:rsid w:val="00B0661B"/>
    <w:rsid w:val="00B10F54"/>
    <w:rsid w:val="00B137B0"/>
    <w:rsid w:val="00B140F6"/>
    <w:rsid w:val="00B14CE8"/>
    <w:rsid w:val="00B154CF"/>
    <w:rsid w:val="00B173F3"/>
    <w:rsid w:val="00B1751B"/>
    <w:rsid w:val="00B17D23"/>
    <w:rsid w:val="00B20590"/>
    <w:rsid w:val="00B2263A"/>
    <w:rsid w:val="00B23206"/>
    <w:rsid w:val="00B238CE"/>
    <w:rsid w:val="00B24340"/>
    <w:rsid w:val="00B301DB"/>
    <w:rsid w:val="00B336CF"/>
    <w:rsid w:val="00B34726"/>
    <w:rsid w:val="00B360B0"/>
    <w:rsid w:val="00B36F4A"/>
    <w:rsid w:val="00B41028"/>
    <w:rsid w:val="00B4152F"/>
    <w:rsid w:val="00B41898"/>
    <w:rsid w:val="00B41E19"/>
    <w:rsid w:val="00B44067"/>
    <w:rsid w:val="00B4514E"/>
    <w:rsid w:val="00B4571D"/>
    <w:rsid w:val="00B52CB7"/>
    <w:rsid w:val="00B534D8"/>
    <w:rsid w:val="00B54DAD"/>
    <w:rsid w:val="00B57390"/>
    <w:rsid w:val="00B62473"/>
    <w:rsid w:val="00B66520"/>
    <w:rsid w:val="00B66E32"/>
    <w:rsid w:val="00B67593"/>
    <w:rsid w:val="00B67986"/>
    <w:rsid w:val="00B71530"/>
    <w:rsid w:val="00B71720"/>
    <w:rsid w:val="00B740D6"/>
    <w:rsid w:val="00B7630E"/>
    <w:rsid w:val="00B7704C"/>
    <w:rsid w:val="00B804E3"/>
    <w:rsid w:val="00B81BAB"/>
    <w:rsid w:val="00B83D7A"/>
    <w:rsid w:val="00B83F9B"/>
    <w:rsid w:val="00B8402F"/>
    <w:rsid w:val="00B840C5"/>
    <w:rsid w:val="00B8650D"/>
    <w:rsid w:val="00B86D88"/>
    <w:rsid w:val="00B96A66"/>
    <w:rsid w:val="00B97D4C"/>
    <w:rsid w:val="00BA01E5"/>
    <w:rsid w:val="00BA28D5"/>
    <w:rsid w:val="00BA2A75"/>
    <w:rsid w:val="00BA453D"/>
    <w:rsid w:val="00BA5976"/>
    <w:rsid w:val="00BA64CC"/>
    <w:rsid w:val="00BB2589"/>
    <w:rsid w:val="00BB4624"/>
    <w:rsid w:val="00BB60C3"/>
    <w:rsid w:val="00BB7D17"/>
    <w:rsid w:val="00BC1E14"/>
    <w:rsid w:val="00BC3219"/>
    <w:rsid w:val="00BC4576"/>
    <w:rsid w:val="00BC6D28"/>
    <w:rsid w:val="00BD119A"/>
    <w:rsid w:val="00BD17F8"/>
    <w:rsid w:val="00BD2284"/>
    <w:rsid w:val="00BD239C"/>
    <w:rsid w:val="00BD2A4B"/>
    <w:rsid w:val="00BD2B79"/>
    <w:rsid w:val="00BD3797"/>
    <w:rsid w:val="00BD58FA"/>
    <w:rsid w:val="00BE1700"/>
    <w:rsid w:val="00BE4233"/>
    <w:rsid w:val="00BE5329"/>
    <w:rsid w:val="00BE5C4B"/>
    <w:rsid w:val="00BE5D93"/>
    <w:rsid w:val="00BE63CA"/>
    <w:rsid w:val="00BE6408"/>
    <w:rsid w:val="00BE6EAD"/>
    <w:rsid w:val="00BF0A39"/>
    <w:rsid w:val="00BF3382"/>
    <w:rsid w:val="00BF3FF5"/>
    <w:rsid w:val="00BF44B1"/>
    <w:rsid w:val="00BF4AB6"/>
    <w:rsid w:val="00BF51CC"/>
    <w:rsid w:val="00BF69BF"/>
    <w:rsid w:val="00BF6A1F"/>
    <w:rsid w:val="00BF6F8C"/>
    <w:rsid w:val="00C00312"/>
    <w:rsid w:val="00C01B29"/>
    <w:rsid w:val="00C02D5D"/>
    <w:rsid w:val="00C037F5"/>
    <w:rsid w:val="00C03EE8"/>
    <w:rsid w:val="00C04448"/>
    <w:rsid w:val="00C04D25"/>
    <w:rsid w:val="00C059B9"/>
    <w:rsid w:val="00C05BD8"/>
    <w:rsid w:val="00C11DDC"/>
    <w:rsid w:val="00C1354B"/>
    <w:rsid w:val="00C1378C"/>
    <w:rsid w:val="00C146D4"/>
    <w:rsid w:val="00C15BC0"/>
    <w:rsid w:val="00C1655B"/>
    <w:rsid w:val="00C17CFA"/>
    <w:rsid w:val="00C203F5"/>
    <w:rsid w:val="00C20BF5"/>
    <w:rsid w:val="00C21577"/>
    <w:rsid w:val="00C241D2"/>
    <w:rsid w:val="00C26458"/>
    <w:rsid w:val="00C271A9"/>
    <w:rsid w:val="00C27AD4"/>
    <w:rsid w:val="00C337D5"/>
    <w:rsid w:val="00C37CEF"/>
    <w:rsid w:val="00C40C98"/>
    <w:rsid w:val="00C42379"/>
    <w:rsid w:val="00C42BCD"/>
    <w:rsid w:val="00C42D8D"/>
    <w:rsid w:val="00C438F2"/>
    <w:rsid w:val="00C47204"/>
    <w:rsid w:val="00C478AC"/>
    <w:rsid w:val="00C50311"/>
    <w:rsid w:val="00C53103"/>
    <w:rsid w:val="00C53382"/>
    <w:rsid w:val="00C53B99"/>
    <w:rsid w:val="00C559FA"/>
    <w:rsid w:val="00C6121F"/>
    <w:rsid w:val="00C6185E"/>
    <w:rsid w:val="00C62764"/>
    <w:rsid w:val="00C62B16"/>
    <w:rsid w:val="00C62DFD"/>
    <w:rsid w:val="00C635FF"/>
    <w:rsid w:val="00C654C6"/>
    <w:rsid w:val="00C67C61"/>
    <w:rsid w:val="00C70CB2"/>
    <w:rsid w:val="00C7136C"/>
    <w:rsid w:val="00C72503"/>
    <w:rsid w:val="00C725F1"/>
    <w:rsid w:val="00C73551"/>
    <w:rsid w:val="00C73C05"/>
    <w:rsid w:val="00C74514"/>
    <w:rsid w:val="00C75428"/>
    <w:rsid w:val="00C76F66"/>
    <w:rsid w:val="00C76F7C"/>
    <w:rsid w:val="00C7704F"/>
    <w:rsid w:val="00C77113"/>
    <w:rsid w:val="00C810FA"/>
    <w:rsid w:val="00C8175B"/>
    <w:rsid w:val="00C84238"/>
    <w:rsid w:val="00C853C3"/>
    <w:rsid w:val="00C87975"/>
    <w:rsid w:val="00C87F50"/>
    <w:rsid w:val="00C90B0A"/>
    <w:rsid w:val="00C91FCC"/>
    <w:rsid w:val="00C93D47"/>
    <w:rsid w:val="00C94EF9"/>
    <w:rsid w:val="00C9681D"/>
    <w:rsid w:val="00C97BC0"/>
    <w:rsid w:val="00C97F74"/>
    <w:rsid w:val="00CA428E"/>
    <w:rsid w:val="00CB1CFA"/>
    <w:rsid w:val="00CB3B9A"/>
    <w:rsid w:val="00CB3D52"/>
    <w:rsid w:val="00CB4BFF"/>
    <w:rsid w:val="00CB5568"/>
    <w:rsid w:val="00CB5784"/>
    <w:rsid w:val="00CC48FB"/>
    <w:rsid w:val="00CC4C7F"/>
    <w:rsid w:val="00CC79C1"/>
    <w:rsid w:val="00CD2059"/>
    <w:rsid w:val="00CD339B"/>
    <w:rsid w:val="00CD3D6F"/>
    <w:rsid w:val="00CE13FD"/>
    <w:rsid w:val="00CE17B7"/>
    <w:rsid w:val="00CE27D4"/>
    <w:rsid w:val="00CE4FC3"/>
    <w:rsid w:val="00CE555A"/>
    <w:rsid w:val="00CF116C"/>
    <w:rsid w:val="00CF2F74"/>
    <w:rsid w:val="00CF4550"/>
    <w:rsid w:val="00D0126D"/>
    <w:rsid w:val="00D02F7A"/>
    <w:rsid w:val="00D0425A"/>
    <w:rsid w:val="00D0652B"/>
    <w:rsid w:val="00D111EC"/>
    <w:rsid w:val="00D15D1B"/>
    <w:rsid w:val="00D164F1"/>
    <w:rsid w:val="00D16B14"/>
    <w:rsid w:val="00D20769"/>
    <w:rsid w:val="00D21928"/>
    <w:rsid w:val="00D21E92"/>
    <w:rsid w:val="00D22EED"/>
    <w:rsid w:val="00D24480"/>
    <w:rsid w:val="00D2651C"/>
    <w:rsid w:val="00D26CA4"/>
    <w:rsid w:val="00D31830"/>
    <w:rsid w:val="00D3553C"/>
    <w:rsid w:val="00D41624"/>
    <w:rsid w:val="00D42E03"/>
    <w:rsid w:val="00D43566"/>
    <w:rsid w:val="00D46518"/>
    <w:rsid w:val="00D46E16"/>
    <w:rsid w:val="00D53638"/>
    <w:rsid w:val="00D57AEB"/>
    <w:rsid w:val="00D61F80"/>
    <w:rsid w:val="00D62E49"/>
    <w:rsid w:val="00D6556F"/>
    <w:rsid w:val="00D6672E"/>
    <w:rsid w:val="00D67CCC"/>
    <w:rsid w:val="00D67DBE"/>
    <w:rsid w:val="00D70018"/>
    <w:rsid w:val="00D70042"/>
    <w:rsid w:val="00D73F1B"/>
    <w:rsid w:val="00D74A0F"/>
    <w:rsid w:val="00D74E11"/>
    <w:rsid w:val="00D75FD2"/>
    <w:rsid w:val="00D763B1"/>
    <w:rsid w:val="00D8035F"/>
    <w:rsid w:val="00D83986"/>
    <w:rsid w:val="00D87E32"/>
    <w:rsid w:val="00D90444"/>
    <w:rsid w:val="00D9076A"/>
    <w:rsid w:val="00D9274C"/>
    <w:rsid w:val="00D938C9"/>
    <w:rsid w:val="00DA028F"/>
    <w:rsid w:val="00DA1B78"/>
    <w:rsid w:val="00DA4B4E"/>
    <w:rsid w:val="00DA4CA6"/>
    <w:rsid w:val="00DA7294"/>
    <w:rsid w:val="00DB19D3"/>
    <w:rsid w:val="00DB1FE1"/>
    <w:rsid w:val="00DB32CD"/>
    <w:rsid w:val="00DB4428"/>
    <w:rsid w:val="00DB4625"/>
    <w:rsid w:val="00DB4E9C"/>
    <w:rsid w:val="00DB6E2F"/>
    <w:rsid w:val="00DB72E9"/>
    <w:rsid w:val="00DC5FE0"/>
    <w:rsid w:val="00DC7EFB"/>
    <w:rsid w:val="00DD1831"/>
    <w:rsid w:val="00DD1A89"/>
    <w:rsid w:val="00DD2273"/>
    <w:rsid w:val="00DD2DAE"/>
    <w:rsid w:val="00DD3881"/>
    <w:rsid w:val="00DD4646"/>
    <w:rsid w:val="00DD4A7C"/>
    <w:rsid w:val="00DD5194"/>
    <w:rsid w:val="00DD581D"/>
    <w:rsid w:val="00DE12F8"/>
    <w:rsid w:val="00DE75A7"/>
    <w:rsid w:val="00DF21BB"/>
    <w:rsid w:val="00DF478C"/>
    <w:rsid w:val="00DF4FFC"/>
    <w:rsid w:val="00E030CB"/>
    <w:rsid w:val="00E03DD1"/>
    <w:rsid w:val="00E0615C"/>
    <w:rsid w:val="00E075F8"/>
    <w:rsid w:val="00E07760"/>
    <w:rsid w:val="00E10FDA"/>
    <w:rsid w:val="00E11B79"/>
    <w:rsid w:val="00E12CEE"/>
    <w:rsid w:val="00E146C8"/>
    <w:rsid w:val="00E14803"/>
    <w:rsid w:val="00E21DAC"/>
    <w:rsid w:val="00E2228D"/>
    <w:rsid w:val="00E245C0"/>
    <w:rsid w:val="00E32027"/>
    <w:rsid w:val="00E326BC"/>
    <w:rsid w:val="00E331D0"/>
    <w:rsid w:val="00E3356F"/>
    <w:rsid w:val="00E3496E"/>
    <w:rsid w:val="00E35740"/>
    <w:rsid w:val="00E37F5A"/>
    <w:rsid w:val="00E40207"/>
    <w:rsid w:val="00E41EEB"/>
    <w:rsid w:val="00E42606"/>
    <w:rsid w:val="00E4670B"/>
    <w:rsid w:val="00E4710D"/>
    <w:rsid w:val="00E524CB"/>
    <w:rsid w:val="00E539B2"/>
    <w:rsid w:val="00E61764"/>
    <w:rsid w:val="00E64488"/>
    <w:rsid w:val="00E64BDC"/>
    <w:rsid w:val="00E650AB"/>
    <w:rsid w:val="00E66461"/>
    <w:rsid w:val="00E67578"/>
    <w:rsid w:val="00E70E33"/>
    <w:rsid w:val="00E7170B"/>
    <w:rsid w:val="00E73488"/>
    <w:rsid w:val="00E73CE4"/>
    <w:rsid w:val="00E7415C"/>
    <w:rsid w:val="00E77B87"/>
    <w:rsid w:val="00E80D65"/>
    <w:rsid w:val="00E81C6B"/>
    <w:rsid w:val="00E81E4A"/>
    <w:rsid w:val="00E830B2"/>
    <w:rsid w:val="00E841A8"/>
    <w:rsid w:val="00E85ECB"/>
    <w:rsid w:val="00E87F33"/>
    <w:rsid w:val="00E92594"/>
    <w:rsid w:val="00E94935"/>
    <w:rsid w:val="00E95AD5"/>
    <w:rsid w:val="00EA2C1D"/>
    <w:rsid w:val="00EA337E"/>
    <w:rsid w:val="00EA3B1A"/>
    <w:rsid w:val="00EA4C17"/>
    <w:rsid w:val="00EA511B"/>
    <w:rsid w:val="00EA576B"/>
    <w:rsid w:val="00EA57F0"/>
    <w:rsid w:val="00EA582D"/>
    <w:rsid w:val="00EA606A"/>
    <w:rsid w:val="00EA7CC0"/>
    <w:rsid w:val="00EB18C8"/>
    <w:rsid w:val="00EB1920"/>
    <w:rsid w:val="00EB5304"/>
    <w:rsid w:val="00EB6770"/>
    <w:rsid w:val="00EC0160"/>
    <w:rsid w:val="00EC07E9"/>
    <w:rsid w:val="00EC15B3"/>
    <w:rsid w:val="00EC1BF7"/>
    <w:rsid w:val="00EC26B6"/>
    <w:rsid w:val="00EC2851"/>
    <w:rsid w:val="00EC2882"/>
    <w:rsid w:val="00EC3475"/>
    <w:rsid w:val="00EC36EE"/>
    <w:rsid w:val="00EC4AF1"/>
    <w:rsid w:val="00EC509B"/>
    <w:rsid w:val="00EC6183"/>
    <w:rsid w:val="00ED5233"/>
    <w:rsid w:val="00EE10BB"/>
    <w:rsid w:val="00EE172E"/>
    <w:rsid w:val="00EE7C14"/>
    <w:rsid w:val="00EF133D"/>
    <w:rsid w:val="00EF161B"/>
    <w:rsid w:val="00EF16A1"/>
    <w:rsid w:val="00EF17C7"/>
    <w:rsid w:val="00EF194C"/>
    <w:rsid w:val="00EF3538"/>
    <w:rsid w:val="00EF3FE9"/>
    <w:rsid w:val="00EF4E74"/>
    <w:rsid w:val="00EF561B"/>
    <w:rsid w:val="00EF77FB"/>
    <w:rsid w:val="00F0377D"/>
    <w:rsid w:val="00F04A6A"/>
    <w:rsid w:val="00F05802"/>
    <w:rsid w:val="00F059C4"/>
    <w:rsid w:val="00F059DE"/>
    <w:rsid w:val="00F06F7E"/>
    <w:rsid w:val="00F10AD6"/>
    <w:rsid w:val="00F1177C"/>
    <w:rsid w:val="00F1218D"/>
    <w:rsid w:val="00F125D8"/>
    <w:rsid w:val="00F14596"/>
    <w:rsid w:val="00F149A6"/>
    <w:rsid w:val="00F14B19"/>
    <w:rsid w:val="00F162FA"/>
    <w:rsid w:val="00F16D0D"/>
    <w:rsid w:val="00F17CE5"/>
    <w:rsid w:val="00F23747"/>
    <w:rsid w:val="00F25EAD"/>
    <w:rsid w:val="00F300BA"/>
    <w:rsid w:val="00F36E56"/>
    <w:rsid w:val="00F372AF"/>
    <w:rsid w:val="00F37466"/>
    <w:rsid w:val="00F37882"/>
    <w:rsid w:val="00F416CF"/>
    <w:rsid w:val="00F41A9F"/>
    <w:rsid w:val="00F4216B"/>
    <w:rsid w:val="00F51C2E"/>
    <w:rsid w:val="00F51F95"/>
    <w:rsid w:val="00F55AE5"/>
    <w:rsid w:val="00F56F21"/>
    <w:rsid w:val="00F57657"/>
    <w:rsid w:val="00F607E0"/>
    <w:rsid w:val="00F61A1B"/>
    <w:rsid w:val="00F62406"/>
    <w:rsid w:val="00F62B2D"/>
    <w:rsid w:val="00F63434"/>
    <w:rsid w:val="00F64FF8"/>
    <w:rsid w:val="00F66B84"/>
    <w:rsid w:val="00F67305"/>
    <w:rsid w:val="00F6763A"/>
    <w:rsid w:val="00F70589"/>
    <w:rsid w:val="00F709BB"/>
    <w:rsid w:val="00F720AB"/>
    <w:rsid w:val="00F73A66"/>
    <w:rsid w:val="00F760F5"/>
    <w:rsid w:val="00F76D50"/>
    <w:rsid w:val="00F76F3D"/>
    <w:rsid w:val="00F778A1"/>
    <w:rsid w:val="00F77B57"/>
    <w:rsid w:val="00F77E84"/>
    <w:rsid w:val="00F84934"/>
    <w:rsid w:val="00F84B77"/>
    <w:rsid w:val="00F861C6"/>
    <w:rsid w:val="00F86FAD"/>
    <w:rsid w:val="00F90855"/>
    <w:rsid w:val="00F939EF"/>
    <w:rsid w:val="00F93DC7"/>
    <w:rsid w:val="00F95332"/>
    <w:rsid w:val="00F9533F"/>
    <w:rsid w:val="00F95F90"/>
    <w:rsid w:val="00F964D7"/>
    <w:rsid w:val="00FA129F"/>
    <w:rsid w:val="00FA1BFD"/>
    <w:rsid w:val="00FA26C7"/>
    <w:rsid w:val="00FA294B"/>
    <w:rsid w:val="00FA37F3"/>
    <w:rsid w:val="00FA408E"/>
    <w:rsid w:val="00FA62D5"/>
    <w:rsid w:val="00FA6CBF"/>
    <w:rsid w:val="00FA6E85"/>
    <w:rsid w:val="00FB5C0E"/>
    <w:rsid w:val="00FB69EB"/>
    <w:rsid w:val="00FB6B9D"/>
    <w:rsid w:val="00FC01EB"/>
    <w:rsid w:val="00FC13BE"/>
    <w:rsid w:val="00FC6C70"/>
    <w:rsid w:val="00FD0983"/>
    <w:rsid w:val="00FD357E"/>
    <w:rsid w:val="00FD4637"/>
    <w:rsid w:val="00FE0729"/>
    <w:rsid w:val="00FE0FF6"/>
    <w:rsid w:val="00FE2F31"/>
    <w:rsid w:val="00FE4937"/>
    <w:rsid w:val="00FE53B5"/>
    <w:rsid w:val="00FE5DE9"/>
    <w:rsid w:val="00FF04BE"/>
    <w:rsid w:val="00FF13F2"/>
    <w:rsid w:val="00FF2A26"/>
    <w:rsid w:val="00FF4766"/>
    <w:rsid w:val="00FF6BC9"/>
    <w:rsid w:val="00FF7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DAEF7D-FD7D-4798-A5E5-06086C197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45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unhideWhenUsed/>
    <w:rsid w:val="00AB453C"/>
    <w:pPr>
      <w:jc w:val="center"/>
    </w:pPr>
    <w:rPr>
      <w:rFonts w:ascii="Times Armenian" w:hAnsi="Times Armenian"/>
      <w:bCs/>
    </w:rPr>
  </w:style>
  <w:style w:type="character" w:customStyle="1" w:styleId="BodyTextChar">
    <w:name w:val="Body Text Char"/>
    <w:basedOn w:val="DefaultParagraphFont"/>
    <w:link w:val="BodyText"/>
    <w:semiHidden/>
    <w:rsid w:val="00AB453C"/>
    <w:rPr>
      <w:rFonts w:ascii="Times Armenian" w:eastAsia="Times New Roman" w:hAnsi="Times Armenian" w:cs="Times New Roman"/>
      <w:bCs/>
      <w:sz w:val="24"/>
      <w:szCs w:val="24"/>
      <w:lang w:val="hy-AM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List Paragraph2 Char,3 Char"/>
    <w:link w:val="ListParagraph"/>
    <w:uiPriority w:val="34"/>
    <w:qFormat/>
    <w:locked/>
    <w:rsid w:val="00AB453C"/>
    <w:rPr>
      <w:rFonts w:ascii="Calibri" w:eastAsia="Calibri" w:hAnsi="Calibri" w:cs="Calibri"/>
      <w:lang w:val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List Paragraph2,List Paragraph3,Numbered List Paragraph,Bullet paras,Liste 1,3"/>
    <w:basedOn w:val="Normal"/>
    <w:link w:val="ListParagraphChar"/>
    <w:uiPriority w:val="34"/>
    <w:qFormat/>
    <w:rsid w:val="00AB453C"/>
    <w:pPr>
      <w:spacing w:line="360" w:lineRule="auto"/>
      <w:ind w:left="720" w:firstLine="709"/>
      <w:contextualSpacing/>
      <w:jc w:val="both"/>
    </w:pPr>
    <w:rPr>
      <w:rFonts w:ascii="Calibri" w:eastAsia="Calibri" w:hAnsi="Calibri" w:cs="Calibri"/>
      <w:sz w:val="22"/>
      <w:szCs w:val="22"/>
      <w:lang w:val="ru-RU"/>
    </w:rPr>
  </w:style>
  <w:style w:type="character" w:styleId="Strong">
    <w:name w:val="Strong"/>
    <w:basedOn w:val="DefaultParagraphFont"/>
    <w:uiPriority w:val="22"/>
    <w:qFormat/>
    <w:rsid w:val="00AB453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990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1310</Words>
  <Characters>7473</Characters>
  <Application>Microsoft Office Word</Application>
  <DocSecurity>0</DocSecurity>
  <Lines>62</Lines>
  <Paragraphs>17</Paragraphs>
  <ScaleCrop>false</ScaleCrop>
  <Company/>
  <LinksUpToDate>false</LinksUpToDate>
  <CharactersWithSpaces>8766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 Tashcyan</dc:creator>
  <cp:keywords/>
  <dc:description/>
  <cp:lastModifiedBy>Sergey Tashcyan</cp:lastModifiedBy>
  <cp:revision>2</cp:revision>
  <dcterms:created xsi:type="dcterms:W3CDTF">2022-11-22T12:32:00Z</dcterms:created>
  <dcterms:modified xsi:type="dcterms:W3CDTF">2022-11-22T12:32:00Z</dcterms:modified>
</cp:coreProperties>
</file>