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D3D" w:rsidRPr="00C03D3D" w:rsidRDefault="00C03D3D" w:rsidP="00C03D3D">
      <w:pPr>
        <w:spacing w:after="0" w:line="360" w:lineRule="auto"/>
        <w:rPr>
          <w:b/>
          <w:lang w:val="hy-AM"/>
        </w:rPr>
      </w:pPr>
    </w:p>
    <w:p w:rsidR="00C03D3D" w:rsidRPr="00C03D3D" w:rsidRDefault="00C03D3D" w:rsidP="00C03D3D">
      <w:pPr>
        <w:spacing w:after="0" w:line="360" w:lineRule="auto"/>
        <w:rPr>
          <w:b/>
          <w:lang w:val="hy-AM"/>
        </w:rPr>
      </w:pPr>
      <w:bookmarkStart w:id="0" w:name="_GoBack"/>
    </w:p>
    <w:bookmarkEnd w:id="0"/>
    <w:p w:rsidR="00C03D3D" w:rsidRPr="00C03D3D" w:rsidRDefault="00C03D3D" w:rsidP="00C03D3D">
      <w:pPr>
        <w:spacing w:after="0" w:line="360" w:lineRule="auto"/>
        <w:jc w:val="center"/>
        <w:rPr>
          <w:b/>
          <w:lang w:val="hy-AM"/>
        </w:rPr>
      </w:pPr>
      <w:r w:rsidRPr="00C03D3D">
        <w:rPr>
          <w:b/>
          <w:lang w:val="hy-AM"/>
        </w:rPr>
        <w:t>Ա Մ Փ Ո Փ Ա Թ Ե Ր Թ</w:t>
      </w:r>
    </w:p>
    <w:p w:rsidR="00C03D3D" w:rsidRPr="00C03D3D" w:rsidRDefault="00C03D3D" w:rsidP="00C03D3D">
      <w:pPr>
        <w:tabs>
          <w:tab w:val="left" w:pos="5253"/>
        </w:tabs>
        <w:spacing w:after="0" w:line="360" w:lineRule="auto"/>
        <w:jc w:val="center"/>
        <w:rPr>
          <w:b/>
          <w:bCs/>
          <w:lang w:val="hy-AM"/>
        </w:rPr>
      </w:pPr>
      <w:r w:rsidRPr="00C03D3D">
        <w:rPr>
          <w:b/>
          <w:bCs/>
          <w:lang w:val="hy-AM"/>
        </w:rPr>
        <w:t xml:space="preserve">«ՊԵՏԱԿԱՆ ՊԱՇՏՈՆՆԵՐ ԵՎ ՊԵՏԱԿԱՆ ԾԱՌԱՅՈՒԹՅԱՆ ՊԱՇՏՈՆՆԵՐ ԶԲԱՂԵՑՆՈՂ ԱՆՁԱՆՑ ՎԱՐՁԱՏՐՈՒԹՅԱՆ ՄԱՍԻՆ» ՕՐԵՆՔՈՒՄ ՓՈՓՈԽՈՒԹՅՈՒՆՆԵՐ ԿԱՏԱՐԵԼՈՒ ՄԱՍԻՆ» ՕՐԵՆՔԻ ՆԱԽԱԳԾԻ (ԱՅՍՈՒՀԵՏ՝ ՆԱԽԱԳԻԾ) </w:t>
      </w:r>
    </w:p>
    <w:tbl>
      <w:tblPr>
        <w:tblW w:w="47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0"/>
        <w:gridCol w:w="3827"/>
        <w:gridCol w:w="3239"/>
      </w:tblGrid>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rPr>
              <w:t>1</w:t>
            </w:r>
            <w:r w:rsidRPr="00C03D3D">
              <w:rPr>
                <w:rFonts w:cs="GHEA Grapalat"/>
                <w:b/>
                <w:bCs/>
                <w:lang w:val="hy-AM"/>
              </w:rPr>
              <w:t>. Արդարադատության նախարարություն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25.10.2022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/27.1/47130-2022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«Պետական պաշտոններ և պետական ծառայության պաշտոններ զբաղեցնող անձանց վարձատրության մասին» օրենքում փոփոխություններ կատարելու մասին» օրենքի նախագծի (այսուհետ՝ Նախագիծ) վերաբերյալ հարկ ենք համարում նշել, որ Նախագծի 5-րդ հոդվածը վերնագրված է որպես եզրափակիչ մաս և անցումային դրույթներ, մինչդեռ դրանով նախատեսվում է միայն եզրափակիչ մասին առնչվող կարգավորում, մասնավորապես՝ օրենքի ուժի մեջ մտնելու վերաբերյալ դրույթ: Ուստի, հաշվի առնելով վերոգրյալը և «Նորմատիվ իրավական ակտերի մասին» օրենքի 13-րդ հոդվածի 4-րդ մասի պահանջը, Նախագծի 5-րդ հոդվածի վերնագիրն անհրաժեշտ է խմբագրել:</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w:t>
            </w:r>
          </w:p>
          <w:p w:rsidR="00C03D3D" w:rsidRPr="00C03D3D" w:rsidRDefault="00C03D3D" w:rsidP="00C03D3D">
            <w:pPr>
              <w:tabs>
                <w:tab w:val="left" w:pos="5253"/>
              </w:tabs>
              <w:spacing w:after="0" w:line="360" w:lineRule="auto"/>
              <w:jc w:val="both"/>
              <w:rPr>
                <w:bCs/>
                <w:lang w:val="hy-AM"/>
              </w:rPr>
            </w:pPr>
            <w:r w:rsidRPr="00C03D3D">
              <w:rPr>
                <w:bCs/>
                <w:lang w:val="hy-AM"/>
              </w:rPr>
              <w:t>Նախագծի 5-րդ հոդվածի վերնագրից հանվել են «և անցումային դրույթներ» բառերը»։</w:t>
            </w: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rPr>
              <w:t xml:space="preserve">2. </w:t>
            </w:r>
            <w:r w:rsidRPr="00C03D3D">
              <w:rPr>
                <w:rFonts w:cs="GHEA Grapalat"/>
                <w:b/>
                <w:bCs/>
                <w:lang w:val="hy-AM"/>
              </w:rPr>
              <w:t>Սահմանադրական դատարան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26.10.2022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Ա/1036-2022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Նշված նախագծի 1-ին հոդվածով առաջարկվում է Սահմանադրական դատարանի նախագահին, փոխնախագահին և դատավորին վճարվող պաշտոնային դրույքա¬չափի 80 տոկոսի չափով հավելավճարը փոխարինել պաշտոնային դրույքաչափի 43 տոկոսի չափով հավելավճարով, իսկ ՀՀ 2023 թվականի պետական բյուջեի նախագծով կիրառվելու է պարգևատրման գումարների հաշվարկման 16% դրույքաչափ, որն առաջարկվում է հաշվարկել միայն հիմնական աշխատավարձի նկատմամբ (առանց հավելումների և հավելավճարների)։ Այսինքն, «Պետական պաշտոններ և պետական ծառայության պաշտոններ զբաղեցնող անձանց վարձատրության մասին» օրենքի 6-րդ հոդվածի 1-ին մասի իմաստով Սահմանադրական դատարանի դատավորի աշխատավարձի հաշվարկի արդյունքում (հիմնական աշխատավարձի, լրացուցիչ աշխատավարձի՝ հավելավճարների և պարգևավճարների հանրագումարը) կազմելու է 1.588.454 դրամ (հիմնական աշխատավարձի՝ 83200*12, հավելավճարի՝ 83200*12*43.1% և պարգևավճարի՝ 83200*12*43.1%0*0.16 հանրագումարը, առանց հարկերի և այլ պարտադիր վճարումների պահումների)։ Մինչդեռ, ներկայումս Սահմանադրական դատարանի դատավորի՝ «Պետական պաշտոններ և պետական ծառայության պաշտոններ զբաղեցնող անձանց վարձատրության մասին» օրենքի 6-րդ հոդվածի 1-ին մասի իմաստով աշխատավարձը կազմում է 1.857.211 դրամ (հիմնական աշխատավարձի՝ 66140*12, հավելավճարի՝ 66140*12*80% և պարգևավճարի՝ 66140*12*80%0*0.3 հանրագումարը, առանց հարկերի և այլ պարտադիր վճարումների պահումների)։ Այսինքն՝ առաջարկվող փոփոխությունների արդյունքում Սահմանադրական դատարանի դատավորների՝ «Պետական պաշտոններ և պետական ծառայության պաշտոններ զբաղեցնող անձանց վարձատրության մասին» օրենքի 6-րդ հոդվածի 1-ին մասի իմաստով աշխատավարձը նվազելու է 268.757 դրամով (1.857.211-1.588.454)։</w:t>
            </w:r>
          </w:p>
          <w:p w:rsidR="00C03D3D" w:rsidRPr="00C03D3D" w:rsidRDefault="00C03D3D" w:rsidP="00C03D3D">
            <w:pPr>
              <w:tabs>
                <w:tab w:val="left" w:pos="5253"/>
              </w:tabs>
              <w:spacing w:after="0" w:line="360" w:lineRule="auto"/>
              <w:jc w:val="both"/>
              <w:rPr>
                <w:bCs/>
                <w:lang w:val="hy-AM"/>
              </w:rPr>
            </w:pPr>
            <w:r w:rsidRPr="00C03D3D">
              <w:rPr>
                <w:bCs/>
                <w:lang w:val="hy-AM"/>
              </w:rPr>
              <w:t>Նույնը վերաբերում է նաև Սահմանադրական դատարանի նախագահի և նախագահի տեղակալի աշխատավարձերի համամասնորեն նվազեցմանը։</w:t>
            </w:r>
          </w:p>
          <w:p w:rsidR="00C03D3D" w:rsidRPr="00C03D3D" w:rsidRDefault="00C03D3D" w:rsidP="00C03D3D">
            <w:pPr>
              <w:tabs>
                <w:tab w:val="left" w:pos="5253"/>
              </w:tabs>
              <w:spacing w:after="0" w:line="360" w:lineRule="auto"/>
              <w:jc w:val="both"/>
              <w:rPr>
                <w:bCs/>
                <w:lang w:val="hy-AM"/>
              </w:rPr>
            </w:pPr>
            <w:r w:rsidRPr="00C03D3D">
              <w:rPr>
                <w:bCs/>
                <w:lang w:val="hy-AM"/>
              </w:rPr>
              <w:t>Աշխատավարձի այսպիսի շեշտակի փոփոխությունը ոչ միայն նշանակում է Սահմանադրական դատարանի դատավորի անկախության սոցիալական երաշխիքների շեշտակի նվազեցում, այլ նաև ուղղակիորեն հակասում է «Սահմանադրական դատարանի մասին» սահմանադրական օրենքի 10-րդ հոդվածի 4-րդ մասի և Սահմանադրության 164-րդ հոդվածի 10-րդ մասի պահանջներին։</w:t>
            </w:r>
          </w:p>
          <w:p w:rsidR="00C03D3D" w:rsidRPr="00C03D3D" w:rsidRDefault="00C03D3D" w:rsidP="00C03D3D">
            <w:pPr>
              <w:tabs>
                <w:tab w:val="left" w:pos="5253"/>
              </w:tabs>
              <w:spacing w:after="0" w:line="360" w:lineRule="auto"/>
              <w:jc w:val="both"/>
              <w:rPr>
                <w:bCs/>
                <w:lang w:val="hy-AM"/>
              </w:rPr>
            </w:pPr>
            <w:r w:rsidRPr="00C03D3D">
              <w:rPr>
                <w:bCs/>
                <w:lang w:val="hy-AM"/>
              </w:rPr>
              <w:t>Հետևաբար, առաջարկում ենք առաջարկվող փոփոխություններով մշակել այնպիսի բանաձև, որի կիրառումը չհանգեցնի մի կողմից Սահմանադրական դատարանի և դրա դատավորների անկախության երաշխիքների նվազեցման, մյուս կողմից զերծ լինի Սահմանադրության և «Սահմանադրական դատարանի մասին» սահմանադրական օրենքով նախատեսված իրավական երաշխիքներին առերեւույթ հակասությունից։</w:t>
            </w:r>
          </w:p>
          <w:p w:rsidR="00C03D3D" w:rsidRPr="00C03D3D" w:rsidRDefault="00C03D3D" w:rsidP="00C03D3D">
            <w:pPr>
              <w:tabs>
                <w:tab w:val="left" w:pos="5253"/>
              </w:tabs>
              <w:spacing w:after="0" w:line="360" w:lineRule="auto"/>
              <w:jc w:val="both"/>
              <w:rPr>
                <w:bCs/>
                <w:lang w:val="hy-AM"/>
              </w:rPr>
            </w:pPr>
            <w:r w:rsidRPr="00C03D3D">
              <w:rPr>
                <w:bCs/>
                <w:lang w:val="hy-AM"/>
              </w:rPr>
              <w:t>Միաժամանակ, մեր պատրաստակամությունն ենք արտահայտում նախագծի մշակման աշխատանքներին Սահմանադրական դատարանի աշխատակազմի մակարդակով մասնակցությունն ապահովելու հարցով՝ լավագույն ընդունելի տարբերակը մշակելու նպատակով։</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r w:rsidRPr="00C03D3D">
              <w:rPr>
                <w:bCs/>
                <w:lang w:val="hy-AM"/>
              </w:rPr>
              <w:t xml:space="preserve">Քաղաքացիական ծառայության գրասենյակի կողմից կատարված հաշվարկները աշխատանքային կարգով համաձայնեցվել է Սահմանադրական դատարանի աշխատակազմի հետ, որի արդյունքում Նախագծի 1-ին հոդվածում «43» թիվը փոխարինվել է «70» թվով։ </w:t>
            </w: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rPr>
              <w:t xml:space="preserve">3. </w:t>
            </w:r>
            <w:r w:rsidRPr="00C03D3D">
              <w:rPr>
                <w:rFonts w:cs="GHEA Grapalat"/>
                <w:b/>
                <w:bCs/>
                <w:lang w:val="hy-AM"/>
              </w:rPr>
              <w:t>Ֆինանսների նախարարություն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28.10.2022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01/8-2/18706-2022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Ի կատարումն ՀՀ վարչապետի 21</w:t>
            </w:r>
            <w:r w:rsidRPr="00C03D3D">
              <w:rPr>
                <w:rFonts w:ascii="MS Mincho" w:eastAsia="MS Mincho" w:hAnsi="MS Mincho" w:cs="MS Mincho" w:hint="eastAsia"/>
                <w:bCs/>
                <w:lang w:val="hy-AM"/>
              </w:rPr>
              <w:t>․</w:t>
            </w:r>
            <w:r w:rsidRPr="00C03D3D">
              <w:rPr>
                <w:bCs/>
                <w:lang w:val="hy-AM"/>
              </w:rPr>
              <w:t>10</w:t>
            </w:r>
            <w:r w:rsidRPr="00C03D3D">
              <w:rPr>
                <w:rFonts w:ascii="MS Mincho" w:eastAsia="MS Mincho" w:hAnsi="MS Mincho" w:cs="MS Mincho" w:hint="eastAsia"/>
                <w:bCs/>
                <w:lang w:val="hy-AM"/>
              </w:rPr>
              <w:t>․</w:t>
            </w:r>
            <w:r w:rsidRPr="00C03D3D">
              <w:rPr>
                <w:bCs/>
                <w:lang w:val="hy-AM"/>
              </w:rPr>
              <w:t xml:space="preserve">2022թ. N 02/46.3/32391-2022 հանձնարարականի ՀՀ ֆինանսների նախարարությունը հայտնում է, որ կողմ է «Պետական պաշտոններ և պետական ծառայության պաշտոններ զբաղեցնող անձանց վարձատրության մասին» օրենքում փոփոխություններ կատարելու մասին» օրենքի նախագծին (այսուհետ՝ Նախագիծ), որով առաջարկվում է 2023 թվականի հունվարի 1-ից բազային աշխատավարձի բարձրացմամբ պայմանավորված նվազեցնել առանձնակի ռիսկային և մասնագիտացում պահանջող պաշտոն զբաղեցնողների, ինչպես նաև Սահմանադրական դատարանի նախագահի, փոխնախագահի և դատավորի, Վճռաբեկ դատարանի դատավորի պաշտոն զբաղեցնող անձանց պաշտոնային դրույքաչափի նկատմամբ տոկոսային արտահայտությամբ հաշվարկվող հավելումների և հավելավճարի չափերը։ </w:t>
            </w:r>
          </w:p>
          <w:p w:rsidR="00C03D3D" w:rsidRPr="00C03D3D" w:rsidRDefault="00C03D3D" w:rsidP="00C03D3D">
            <w:pPr>
              <w:tabs>
                <w:tab w:val="left" w:pos="5253"/>
              </w:tabs>
              <w:spacing w:after="0" w:line="360" w:lineRule="auto"/>
              <w:jc w:val="both"/>
              <w:rPr>
                <w:bCs/>
                <w:lang w:val="hy-AM"/>
              </w:rPr>
            </w:pPr>
            <w:r w:rsidRPr="00C03D3D">
              <w:rPr>
                <w:bCs/>
                <w:lang w:val="hy-AM"/>
              </w:rPr>
              <w:t>Նախագծի ընդունումը կհանգեցնի ՀՀ պետական բյուջեի ծախսերի նվազեցման՝ տարեկան շուրջ 552.0 մլն դրամի չափով։</w:t>
            </w:r>
          </w:p>
          <w:p w:rsidR="00C03D3D" w:rsidRPr="00C03D3D" w:rsidRDefault="00C03D3D" w:rsidP="00C03D3D">
            <w:pPr>
              <w:tabs>
                <w:tab w:val="left" w:pos="5253"/>
              </w:tabs>
              <w:spacing w:after="0" w:line="360" w:lineRule="auto"/>
              <w:jc w:val="both"/>
              <w:rPr>
                <w:bCs/>
                <w:lang w:val="hy-AM"/>
              </w:rPr>
            </w:pPr>
            <w:r w:rsidRPr="00C03D3D">
              <w:rPr>
                <w:bCs/>
                <w:lang w:val="hy-AM"/>
              </w:rPr>
              <w:t>Տեղեկացնում ենք նաև, որ Նախագիծը դրական ընթացք ստանալու դեպքում անհրաժեշտություն կառաջանա փոփոխություններ կատարել նաև ՀՀ կառավարության 2022 թվականի ապրիլի 7-ի «Առանձնակի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N 446-Ն որոշման մեջ (ՀՀ գլխավոր դատախազության առանձին դատախազների պաշտոնային դրույքաչափի նկատմամբ վճարվող հավելումների չափի մասով)։</w:t>
            </w:r>
          </w:p>
          <w:p w:rsidR="00C03D3D" w:rsidRPr="00C03D3D" w:rsidRDefault="00C03D3D" w:rsidP="00C03D3D">
            <w:pPr>
              <w:tabs>
                <w:tab w:val="left" w:pos="5253"/>
              </w:tabs>
              <w:spacing w:after="0" w:line="360" w:lineRule="auto"/>
              <w:jc w:val="both"/>
              <w:rPr>
                <w:bCs/>
                <w:lang w:val="hy-AM"/>
              </w:rPr>
            </w:pPr>
            <w:r w:rsidRPr="00C03D3D">
              <w:rPr>
                <w:bCs/>
                <w:lang w:val="hy-AM"/>
              </w:rPr>
              <w:t>Դատախազներին վճարվող հավելումների չափի նվազեցումը նույն սկզբունքով կատարելու դեպքում ծախսերի տնտեսումը կկազմի ևս շուրջ 72.0 մլն դրամ։</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rPr>
              <w:t xml:space="preserve">4. </w:t>
            </w:r>
            <w:r w:rsidRPr="00C03D3D">
              <w:rPr>
                <w:rFonts w:cs="GHEA Grapalat"/>
                <w:b/>
                <w:bCs/>
                <w:lang w:val="hy-AM"/>
              </w:rPr>
              <w:t>Հակակոռուպցիոն կոմիտե</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27.10.2022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18-9868գ-22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«Պետական պաշտոններ և պետական ծառայության պաշտոններ զբաղեցնող անձանց վարձատրության մասին» օրենքում փոփոխություններ կատարելու մասին» օրենքի նախագծի վերաբերյալ ՀՀ հակակոռուպցիոն կոմիտեն դիտողություններ և առաջարկություններ չունի։</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rPr>
              <w:t xml:space="preserve">5. </w:t>
            </w:r>
            <w:r w:rsidRPr="00C03D3D">
              <w:rPr>
                <w:rFonts w:cs="GHEA Grapalat"/>
                <w:b/>
                <w:bCs/>
                <w:lang w:val="hy-AM"/>
              </w:rPr>
              <w:t>Բարձրագույն դատական խորհուրդ</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02.11.2022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ԴԴ/590-22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ՎՃՌԱԲԵԿ ԴԱՏԱՐԱՆԻ ԱՌԱՋԱՐԿՆԵՐ</w:t>
            </w:r>
          </w:p>
          <w:p w:rsidR="00C03D3D" w:rsidRPr="00C03D3D" w:rsidRDefault="00C03D3D" w:rsidP="00C03D3D">
            <w:pPr>
              <w:tabs>
                <w:tab w:val="left" w:pos="5253"/>
              </w:tabs>
              <w:spacing w:after="0" w:line="360" w:lineRule="auto"/>
              <w:jc w:val="both"/>
              <w:rPr>
                <w:bCs/>
                <w:lang w:val="hy-AM"/>
              </w:rPr>
            </w:pPr>
            <w:r w:rsidRPr="00C03D3D">
              <w:rPr>
                <w:bCs/>
                <w:lang w:val="hy-AM"/>
              </w:rPr>
              <w:t>Նախագծի 2-րդ հոդվածով նախատեսվում է փոփոխություններ կատարել  «Պետական պաշտոններ և պետական ծառայության պաշտոններ զբաղեցնող անձանց վարձատրության մասին»  օրենքի (այսուհետ Օրենք) 13-րդ հոդվածում որով առաջարկվում է նվազեցնել դատավորների աշխատավարձերը, այդ թվում՝ հավելումը: Նշված օրենսդրական նախաձեռնության կապակցությամբ անհրաժեշտ ենք համարում նշել հետևյալը:</w:t>
            </w:r>
          </w:p>
          <w:p w:rsidR="00C03D3D" w:rsidRPr="00C03D3D" w:rsidRDefault="00C03D3D" w:rsidP="00C03D3D">
            <w:pPr>
              <w:tabs>
                <w:tab w:val="left" w:pos="5253"/>
              </w:tabs>
              <w:spacing w:after="0" w:line="360" w:lineRule="auto"/>
              <w:jc w:val="both"/>
              <w:rPr>
                <w:bCs/>
                <w:lang w:val="hy-AM"/>
              </w:rPr>
            </w:pPr>
            <w:r w:rsidRPr="00C03D3D">
              <w:rPr>
                <w:bCs/>
                <w:lang w:val="hy-AM"/>
              </w:rPr>
              <w:t xml:space="preserve">ՀՀ Սահմանադրության 164-րդ հոդվածի 10-րդ մասի համաձայն՝ դատավորի համար սահմանվում է նրա բարձր կարգավիճակին և պատասխանատվությանը  համապատասխանող վարձատրություն: Դատավորի վարձատրության չափը սահմանվում է օրենքով: </w:t>
            </w:r>
          </w:p>
          <w:p w:rsidR="00C03D3D" w:rsidRPr="00C03D3D" w:rsidRDefault="00C03D3D" w:rsidP="00C03D3D">
            <w:pPr>
              <w:tabs>
                <w:tab w:val="left" w:pos="5253"/>
              </w:tabs>
              <w:spacing w:after="0" w:line="360" w:lineRule="auto"/>
              <w:jc w:val="both"/>
              <w:rPr>
                <w:bCs/>
                <w:lang w:val="hy-AM"/>
              </w:rPr>
            </w:pPr>
            <w:r w:rsidRPr="00C03D3D">
              <w:rPr>
                <w:bCs/>
                <w:lang w:val="hy-AM"/>
              </w:rPr>
              <w:t>«Հայաստանի Հանրապետության դատական օրենսգիրք» սահմանադրական օրենքի 57-րդ հոդվածի 1-ին մասի համաձայն՝ դատավորի վարձատրության, այդ թվում՝ հիմնական և լրացուցիչ աշխատավարձերի հաշվարկների և չափերի հետ կապված հարաբերությունները կարգավորվում են օրենքով:</w:t>
            </w:r>
          </w:p>
          <w:p w:rsidR="00C03D3D" w:rsidRPr="00C03D3D" w:rsidRDefault="00C03D3D" w:rsidP="00C03D3D">
            <w:pPr>
              <w:tabs>
                <w:tab w:val="left" w:pos="5253"/>
              </w:tabs>
              <w:spacing w:after="0" w:line="360" w:lineRule="auto"/>
              <w:jc w:val="both"/>
              <w:rPr>
                <w:bCs/>
                <w:lang w:val="hy-AM"/>
              </w:rPr>
            </w:pPr>
            <w:r w:rsidRPr="00C03D3D">
              <w:rPr>
                <w:bCs/>
                <w:lang w:val="hy-AM"/>
              </w:rPr>
              <w:t>«Հայաստանի Հանրապետության դատակամ օրենսգիրք» սահմանադրական  օրենքի 57-րդ հոդվածի 2-րդ մասի համաձայն՝ դատավորի աշխատավարձը և դրա նկատմամբ սահմանված հավելավճարները, կենսաթոծակի չափը չեն կարող պակասեցվել, բացառությամբ այն դեպքերի, երբ համարժեք պակասեցում կատարվում է բոլոր բարձրաստիճան պաշտոնատար անձնաց համար:</w:t>
            </w:r>
          </w:p>
          <w:p w:rsidR="00C03D3D" w:rsidRPr="00C03D3D" w:rsidRDefault="00C03D3D" w:rsidP="00C03D3D">
            <w:pPr>
              <w:tabs>
                <w:tab w:val="left" w:pos="5253"/>
              </w:tabs>
              <w:spacing w:after="0" w:line="360" w:lineRule="auto"/>
              <w:jc w:val="both"/>
              <w:rPr>
                <w:bCs/>
                <w:lang w:val="hy-AM"/>
              </w:rPr>
            </w:pPr>
            <w:r w:rsidRPr="00C03D3D">
              <w:rPr>
                <w:bCs/>
                <w:lang w:val="hy-AM"/>
              </w:rPr>
              <w:t>ՀՀ աշխատանքային օրենսգրքի 178-րդ հոդվածի 3-րդ մասի համաձայն՝ աշխատավարձը ներառում է հիմնական աշխատավարձը և գործատուի կողմից աշխատողին իր կատարած աշխատանքի համար տրված լրացուցիչ աշխատավարձը:</w:t>
            </w:r>
          </w:p>
          <w:p w:rsidR="00C03D3D" w:rsidRPr="00C03D3D" w:rsidRDefault="00C03D3D" w:rsidP="00C03D3D">
            <w:pPr>
              <w:tabs>
                <w:tab w:val="left" w:pos="5253"/>
              </w:tabs>
              <w:spacing w:after="0" w:line="360" w:lineRule="auto"/>
              <w:jc w:val="both"/>
              <w:rPr>
                <w:bCs/>
                <w:lang w:val="hy-AM"/>
              </w:rPr>
            </w:pPr>
            <w:r w:rsidRPr="00C03D3D">
              <w:rPr>
                <w:bCs/>
                <w:lang w:val="hy-AM"/>
              </w:rPr>
              <w:t>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w:t>
            </w:r>
          </w:p>
          <w:p w:rsidR="00C03D3D" w:rsidRPr="00C03D3D" w:rsidRDefault="00C03D3D" w:rsidP="00C03D3D">
            <w:pPr>
              <w:tabs>
                <w:tab w:val="left" w:pos="5253"/>
              </w:tabs>
              <w:spacing w:after="0" w:line="360" w:lineRule="auto"/>
              <w:jc w:val="both"/>
              <w:rPr>
                <w:bCs/>
                <w:lang w:val="hy-AM"/>
              </w:rPr>
            </w:pPr>
            <w:r w:rsidRPr="00C03D3D">
              <w:rPr>
                <w:bCs/>
                <w:lang w:val="hy-AM"/>
              </w:rPr>
              <w:t xml:space="preserve"> Լրացուցիչ աշխատավարձը սույն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w:t>
            </w:r>
          </w:p>
          <w:p w:rsidR="00C03D3D" w:rsidRPr="00C03D3D" w:rsidRDefault="00C03D3D" w:rsidP="00C03D3D">
            <w:pPr>
              <w:tabs>
                <w:tab w:val="left" w:pos="5253"/>
              </w:tabs>
              <w:spacing w:after="0" w:line="360" w:lineRule="auto"/>
              <w:jc w:val="both"/>
              <w:rPr>
                <w:bCs/>
                <w:lang w:val="hy-AM"/>
              </w:rPr>
            </w:pPr>
            <w:r w:rsidRPr="00C03D3D">
              <w:rPr>
                <w:bCs/>
                <w:lang w:val="hy-AM"/>
              </w:rPr>
              <w:t xml:space="preserve">Օրենքի 3-րդ հոդվածի 1-ին և 2-րդ մասերը համապատասխանաբար սահմանվում են՝ </w:t>
            </w:r>
          </w:p>
          <w:p w:rsidR="00C03D3D" w:rsidRPr="00C03D3D" w:rsidRDefault="00C03D3D" w:rsidP="00C03D3D">
            <w:pPr>
              <w:tabs>
                <w:tab w:val="left" w:pos="5253"/>
              </w:tabs>
              <w:spacing w:after="0" w:line="360" w:lineRule="auto"/>
              <w:jc w:val="both"/>
              <w:rPr>
                <w:bCs/>
                <w:lang w:val="hy-AM"/>
              </w:rPr>
            </w:pPr>
            <w:r w:rsidRPr="00C03D3D">
              <w:rPr>
                <w:bCs/>
                <w:lang w:val="hy-AM"/>
              </w:rPr>
              <w:t>1)հիմնական աշխատավարձ (այսուհետ նաև՝ պաշտոնային դրույքաչափ)՝ սույն հոդվածի 1-ին մասի 4-րդ կետով նախատեսված բազային  աշխատավարձի և սույն հոդվածի 1-ին մասի 5-րդ կետով նախատեսված գործակցի արտադրյալ.</w:t>
            </w:r>
          </w:p>
          <w:p w:rsidR="00C03D3D" w:rsidRPr="00C03D3D" w:rsidRDefault="00C03D3D" w:rsidP="00C03D3D">
            <w:pPr>
              <w:tabs>
                <w:tab w:val="left" w:pos="5253"/>
              </w:tabs>
              <w:spacing w:after="0" w:line="360" w:lineRule="auto"/>
              <w:jc w:val="both"/>
              <w:rPr>
                <w:bCs/>
                <w:lang w:val="hy-AM"/>
              </w:rPr>
            </w:pPr>
            <w:r w:rsidRPr="00C03D3D">
              <w:rPr>
                <w:bCs/>
                <w:lang w:val="hy-AM"/>
              </w:rPr>
              <w:t>2) լրացուցիչ աշխատավարձ՝ 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 (կամ) պայմանների առկայությամբ և ներառում է՝</w:t>
            </w:r>
          </w:p>
          <w:p w:rsidR="00C03D3D" w:rsidRPr="00C03D3D" w:rsidRDefault="00C03D3D" w:rsidP="00C03D3D">
            <w:pPr>
              <w:tabs>
                <w:tab w:val="left" w:pos="5253"/>
              </w:tabs>
              <w:spacing w:after="0" w:line="360" w:lineRule="auto"/>
              <w:jc w:val="both"/>
              <w:rPr>
                <w:bCs/>
                <w:lang w:val="hy-AM"/>
              </w:rPr>
            </w:pPr>
            <w:r w:rsidRPr="00C03D3D">
              <w:rPr>
                <w:bCs/>
                <w:lang w:val="hy-AM"/>
              </w:rPr>
              <w:t>1. հավելում` սույն ենթակետում նշված պայմաններից որևէ մեկի կամ դրանցից մի քանիսի, այն է` վճռաբեկ դատարանի դատավորի (այդ թվում` վճռաբեկ դատարանի նախագահի և վճռաբեկ դատարանի պալատի նախագահի) պաշտոն զբաղեցնելու,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C03D3D" w:rsidRPr="00C03D3D" w:rsidRDefault="00C03D3D" w:rsidP="00C03D3D">
            <w:pPr>
              <w:tabs>
                <w:tab w:val="left" w:pos="5253"/>
              </w:tabs>
              <w:spacing w:after="0" w:line="360" w:lineRule="auto"/>
              <w:jc w:val="both"/>
              <w:rPr>
                <w:bCs/>
                <w:lang w:val="hy-AM"/>
              </w:rPr>
            </w:pPr>
            <w:r w:rsidRPr="00C03D3D">
              <w:rPr>
                <w:bCs/>
                <w:lang w:val="hy-AM"/>
              </w:rPr>
              <w:t>2. հավելավճար` սույն ենթակետում նշված պայմաններից որևէ մեկի կամ դրանցից մի քանիսի, այն է` Սահմանադրական դատարանի նախագահի, փոխնախագահի և դատավորի պաշտոն զբաղեցնելու,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 ծառայության ստաժի, օտար լեզուների իմացության համար պաշտոնային դրույքաչափի նկատմամբ հաշվարկվող տոկոսային ավելացում.</w:t>
            </w:r>
          </w:p>
          <w:p w:rsidR="00C03D3D" w:rsidRPr="00C03D3D" w:rsidRDefault="00C03D3D" w:rsidP="00C03D3D">
            <w:pPr>
              <w:tabs>
                <w:tab w:val="left" w:pos="5253"/>
              </w:tabs>
              <w:spacing w:after="0" w:line="360" w:lineRule="auto"/>
              <w:jc w:val="both"/>
              <w:rPr>
                <w:bCs/>
                <w:lang w:val="hy-AM"/>
              </w:rPr>
            </w:pPr>
            <w:r w:rsidRPr="00C03D3D">
              <w:rPr>
                <w:bCs/>
                <w:lang w:val="hy-AM"/>
              </w:rPr>
              <w:t>Վերոգրյալ իրավակարգավորումների պահանջներից բխում է, որ սահմանադիրը սահմանադրական օրենքով կարևորել է դատավորի բարձր կարգավիճակին և պատասխանատվությանը համապատասխան վարձատրությունը: Միաժամանակ, նշված սահմանդրական նորմից բացառություն է սահմանվել այն դեպքերում, երբ համարժեք պակասեցում է կատարվում բոլոր բարձրաստիճան պաշտոնատար անձանց համար: Սակայն, խնդրո առարկա Նախագծի և դրան կից ներկայացված հիմնավորման ուսումնասիրությունից պարզ է դառնում, որ դրանով նախատեսված չէ բոլոր բարձրաստիճան պաշտոնատար անձանց աշխատավարձերի, ինչպես նաև դրանց նկատմամբ սահմանված հավելավճարների պակասեցումներ:</w:t>
            </w:r>
          </w:p>
          <w:p w:rsidR="00C03D3D" w:rsidRPr="00C03D3D" w:rsidRDefault="00C03D3D" w:rsidP="00C03D3D">
            <w:pPr>
              <w:tabs>
                <w:tab w:val="left" w:pos="5253"/>
              </w:tabs>
              <w:spacing w:after="0" w:line="360" w:lineRule="auto"/>
              <w:jc w:val="both"/>
              <w:rPr>
                <w:bCs/>
                <w:lang w:val="hy-AM"/>
              </w:rPr>
            </w:pPr>
            <w:r w:rsidRPr="00C03D3D">
              <w:rPr>
                <w:bCs/>
                <w:lang w:val="hy-AM"/>
              </w:rPr>
              <w:t>Ավելին, «Ժողովրդավարություն՝ իրավունքի միջոցով» եվրոպական հանձնաժողովը (Վենետիկի հանձնաժողով) 2009 թվականի հունիսի 4-ի «Դատական համակարգի անկախությունը. Մաս 1. Դատավորների անկախությունը» զեկույցի շրջանակներում նծել է, որ. «Դատավորների վարձատրությունը պետք է համապատասխանի նրանց մասնագիտական արժանապատվությանը և այդ համարժեք վարձատրությունը անփոխարինելի է դատավորներին արտաքին անհարկի միջամտությունից պաշտպանելու համար; (...)Վարձատրությունը պետք է հիմնված լինի ընդհանուր ստանդարտների վրա և համապատասխանի օբյեկտիվության, թափանցիկության չափանիշներին և չհիմնվի դատավորի անհատական գործունեության վրա»:</w:t>
            </w:r>
          </w:p>
          <w:p w:rsidR="00C03D3D" w:rsidRPr="00C03D3D" w:rsidRDefault="00C03D3D" w:rsidP="00C03D3D">
            <w:pPr>
              <w:tabs>
                <w:tab w:val="left" w:pos="5253"/>
              </w:tabs>
              <w:spacing w:after="0" w:line="360" w:lineRule="auto"/>
              <w:jc w:val="both"/>
              <w:rPr>
                <w:bCs/>
                <w:lang w:val="hy-AM"/>
              </w:rPr>
            </w:pPr>
            <w:r w:rsidRPr="00C03D3D">
              <w:rPr>
                <w:bCs/>
                <w:lang w:val="hy-AM"/>
              </w:rPr>
              <w:t>Վենետիկի Հանձնաժողովը 2019 թվականի դեկտեմբերի 11-ին «Դատարանների և դատավորների մասին Վենետիկի հանձնաժողովի կարծիքներ և զեկույցներ» ժողովածուի շրջանակներում  նշել է. «Դատավորի վարձատրությունը պետք է սահմանվի օրենքով և պետք է հավասար լինի նույն պարտականությունները կատարող դատավորների համար: Տարբերություններ կարող են լինել ավագության, դատարանի աստիճանի կամ օրենքով հստակորեն սահմանված այլ չափանիշների հիման վրա(...)»:</w:t>
            </w:r>
          </w:p>
          <w:p w:rsidR="00C03D3D" w:rsidRPr="00C03D3D" w:rsidRDefault="00C03D3D" w:rsidP="00C03D3D">
            <w:pPr>
              <w:tabs>
                <w:tab w:val="left" w:pos="5253"/>
              </w:tabs>
              <w:spacing w:after="0" w:line="360" w:lineRule="auto"/>
              <w:jc w:val="both"/>
              <w:rPr>
                <w:bCs/>
                <w:lang w:val="hy-AM"/>
              </w:rPr>
            </w:pPr>
            <w:r w:rsidRPr="00C03D3D">
              <w:rPr>
                <w:bCs/>
                <w:lang w:val="hy-AM"/>
              </w:rPr>
              <w:t>Եվրոպայի խորհրդի նախարարների կոմիտեի «Դատավորներ. Անկախություն, արդյունավետություն և պատասխանատվություն» հանձնարարականի համաձայն՝ «Դատավորների վարձատրությունը պետք է համաչափ լինի իրենց մասնագիտությանն ու պարտականություններին, և պետք է հանդիսանա նրանց  որոշումների կայացման վրա ազդեցություն գործելու նպատակ հետապնդող ազդակներից պաշտպանության արդյունավետ միջոց»:</w:t>
            </w:r>
          </w:p>
          <w:p w:rsidR="00C03D3D" w:rsidRPr="00C03D3D" w:rsidRDefault="00C03D3D" w:rsidP="00C03D3D">
            <w:pPr>
              <w:tabs>
                <w:tab w:val="left" w:pos="5253"/>
              </w:tabs>
              <w:spacing w:after="0" w:line="360" w:lineRule="auto"/>
              <w:jc w:val="both"/>
              <w:rPr>
                <w:bCs/>
                <w:lang w:val="hy-AM"/>
              </w:rPr>
            </w:pPr>
            <w:r w:rsidRPr="00C03D3D">
              <w:rPr>
                <w:bCs/>
                <w:lang w:val="hy-AM"/>
              </w:rPr>
              <w:t>Եվրոպայի խորհրդի շրջանակներում 1998 թվականին ընդունված «Դատավորների կարգավի-ակի մասին» եվրոպական խարտիայի 6.2-րդ կետի համաձայն՝ դատավորի վարձատրության չափը մյուս տատավորների վարձատրության համեմատությամբ կարող է փոփոխվել  կախված ծառայության տևողությունից, իրենց կողմից կատարվող պարտականությունների բնույթից և իրենց վրա դրված առաջադրանքների կարևորությունից:</w:t>
            </w:r>
          </w:p>
          <w:p w:rsidR="00C03D3D" w:rsidRPr="00C03D3D" w:rsidRDefault="00C03D3D" w:rsidP="00C03D3D">
            <w:pPr>
              <w:tabs>
                <w:tab w:val="left" w:pos="5253"/>
              </w:tabs>
              <w:spacing w:after="0" w:line="360" w:lineRule="auto"/>
              <w:jc w:val="both"/>
              <w:rPr>
                <w:bCs/>
                <w:lang w:val="hy-AM"/>
              </w:rPr>
            </w:pPr>
            <w:r w:rsidRPr="00C03D3D">
              <w:rPr>
                <w:bCs/>
                <w:lang w:val="hy-AM"/>
              </w:rPr>
              <w:t>Դատավորի կարգավիճակին վերաբերող վերը նշված  միջազգային փոստաթղթերից հետևում է, որ ելնելով դատավորի բարձր կարգավիճակից և պատասխանատվությունից՝ դատավորները պետք է ունենան օրենսդրությամբ սահմանված նյութական և սոցիալական հատուկ երաշխիքներ: Այդ առումով՝ նրանց վարձատրության փոփթոխությունները պետք է համապատասխանեն կայունության սկզբունքին և կատարվեն՝ հիմք ընդունելով վերը ներկայացված փաստաթղթերում առկա միջազգային չափանիշները:</w:t>
            </w:r>
          </w:p>
          <w:p w:rsidR="00C03D3D" w:rsidRPr="00C03D3D" w:rsidRDefault="00C03D3D" w:rsidP="00C03D3D">
            <w:pPr>
              <w:tabs>
                <w:tab w:val="left" w:pos="5253"/>
              </w:tabs>
              <w:spacing w:after="0" w:line="360" w:lineRule="auto"/>
              <w:jc w:val="both"/>
              <w:rPr>
                <w:bCs/>
                <w:lang w:val="hy-AM"/>
              </w:rPr>
            </w:pPr>
            <w:r w:rsidRPr="00C03D3D">
              <w:rPr>
                <w:bCs/>
                <w:lang w:val="hy-AM"/>
              </w:rPr>
              <w:t xml:space="preserve">Հիմք ընդունելով վերոգրյալը, գտնում ենք, որ </w:t>
            </w:r>
            <w:r w:rsidRPr="00C03D3D">
              <w:rPr>
                <w:bCs/>
                <w:lang w:val="hy-AM"/>
              </w:rPr>
              <w:tab/>
              <w:t>Նախագծի 2-րդ հոդվածով առաջարկվող կարգավորումները խնդրահարույց է ՀՀ Սահմանադրությամբ և «Հայաստանի Հանրապետության դատական օրենսգիրք» սահմանադրական օրենքով սահմանված կարգավորումների, միջազգային չափանիշների համատեքստում՝ հաշվի առնելով, որ դրա ընդունումը չի համապատասխանում դատավորի վարձատրության կայունության սկզբունքին և առանց ծանրակշիռ հիմնավորուների նվազեցնում է դատավորների սոցիալական երաշխիքների գործող նշաձողը:</w:t>
            </w: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r w:rsidRPr="00C03D3D">
              <w:rPr>
                <w:bCs/>
                <w:lang w:val="hy-AM"/>
              </w:rPr>
              <w:t>ՎՃՌԱԲԵԿ ԴԱՏԱՐԱՆԻ ՀԱԿԱԿՈՌՈՒՊՑԻՈՆ ՊԱԼԱՏԻ ԱՌԱՆՁԻՆ ԿԱՐԾԻՔ</w:t>
            </w: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r w:rsidRPr="00C03D3D">
              <w:rPr>
                <w:bCs/>
                <w:lang w:val="hy-AM"/>
              </w:rPr>
              <w:t>Նախագծի 2-րդ հոդվածով նախատեսվում է փոփոխություններ կատարել  «Պետական պաշտոններ և պետական ծառայության պաշտոններ զբաղեցնող անձանց վարձատրության մասին» օրենքի (այսուհետ՝ Օրենք) 13-րդ հոդվածում որի արդյունքում նվազեցվում է դատավորների աշխատավարձերը, այդ թվում՝ հավելումը:</w:t>
            </w:r>
          </w:p>
          <w:p w:rsidR="00C03D3D" w:rsidRPr="00C03D3D" w:rsidRDefault="00C03D3D" w:rsidP="00C03D3D">
            <w:pPr>
              <w:tabs>
                <w:tab w:val="left" w:pos="5253"/>
              </w:tabs>
              <w:spacing w:after="0" w:line="360" w:lineRule="auto"/>
              <w:jc w:val="both"/>
              <w:rPr>
                <w:bCs/>
                <w:lang w:val="hy-AM"/>
              </w:rPr>
            </w:pPr>
            <w:r w:rsidRPr="00C03D3D">
              <w:rPr>
                <w:bCs/>
                <w:lang w:val="hy-AM"/>
              </w:rPr>
              <w:t xml:space="preserve">ՀՀ Սահմանադրության 164-րդ հոդվածի 10-րդ մասի համաձայն՝ դատավորի համար սահմանվում է նրա բարձր կարգավիճակին և պատասխանատվությանը  համապատասխանող վարձատրություն: Դատավորի վարձատրության չափը սահմանվում է օրենքով: </w:t>
            </w:r>
          </w:p>
          <w:p w:rsidR="00C03D3D" w:rsidRPr="00C03D3D" w:rsidRDefault="00C03D3D" w:rsidP="00C03D3D">
            <w:pPr>
              <w:tabs>
                <w:tab w:val="left" w:pos="5253"/>
              </w:tabs>
              <w:spacing w:after="0" w:line="360" w:lineRule="auto"/>
              <w:jc w:val="both"/>
              <w:rPr>
                <w:bCs/>
                <w:lang w:val="hy-AM"/>
              </w:rPr>
            </w:pPr>
            <w:r w:rsidRPr="00C03D3D">
              <w:rPr>
                <w:bCs/>
                <w:lang w:val="hy-AM"/>
              </w:rPr>
              <w:t>«Հայաստանի Հանրապետության դատական օրենսգիրք» սահմանադրական օրենքի 57-րդ հոդվածի 1-ին և 2-րդ մասերը համապատասխանաբար սահմանում են՝ 1)Դատավորի համար, Սահմանադրության 164-րդ հոդվածի 10-րդ մասի համաձայն, սահմանվում է նրա բարձր կարգավիճակին և պատասխանատվությանը համապատասխանող վարձատրություն: Դատավորի վարձատրության, այդ թվում՝ հիմնական և լրացուցիչ աշխատավարձերի հաշվարկների և չափերի հետ կապված հարաբերությունները կարգավորվում են օրենքով: 2)Դատավորի աշխատավարձը և դրա նկատմամբ սահմանված հավելավճարները, կենսաթոշակի չափը չեն կարող պակասեցվել, բացառությամբ այն դեպքերի, երբ համարժեք պակասեցում կատարվում է բոլոր բարձրաստիճան պաշտոնատար անձանց համար:</w:t>
            </w:r>
          </w:p>
          <w:p w:rsidR="00C03D3D" w:rsidRPr="00C03D3D" w:rsidRDefault="00C03D3D" w:rsidP="00C03D3D">
            <w:pPr>
              <w:tabs>
                <w:tab w:val="left" w:pos="5253"/>
              </w:tabs>
              <w:spacing w:after="0" w:line="360" w:lineRule="auto"/>
              <w:jc w:val="both"/>
              <w:rPr>
                <w:bCs/>
                <w:lang w:val="hy-AM"/>
              </w:rPr>
            </w:pPr>
            <w:r w:rsidRPr="00C03D3D">
              <w:rPr>
                <w:bCs/>
                <w:lang w:val="hy-AM"/>
              </w:rPr>
              <w:t xml:space="preserve">ՀՀ աշխատանքային օրենսգրքի 178-րդ հոդվածի 3-րդ մասի համաձայն՝ </w:t>
            </w:r>
          </w:p>
          <w:p w:rsidR="00C03D3D" w:rsidRPr="00C03D3D" w:rsidRDefault="00C03D3D" w:rsidP="00C03D3D">
            <w:pPr>
              <w:tabs>
                <w:tab w:val="left" w:pos="5253"/>
              </w:tabs>
              <w:spacing w:after="0" w:line="360" w:lineRule="auto"/>
              <w:jc w:val="both"/>
              <w:rPr>
                <w:bCs/>
                <w:lang w:val="hy-AM"/>
              </w:rPr>
            </w:pPr>
            <w:r w:rsidRPr="00C03D3D">
              <w:rPr>
                <w:bCs/>
                <w:lang w:val="hy-AM"/>
              </w:rPr>
              <w:t>Աշխատավարձը ներառում է հիմնական աշխատավարձը և գործատուի կողմից աշխատողին իր կատարած աշխատանքի համար տրված լրացուցիչ աշխատավարձը:</w:t>
            </w:r>
          </w:p>
          <w:p w:rsidR="00C03D3D" w:rsidRPr="00C03D3D" w:rsidRDefault="00C03D3D" w:rsidP="00C03D3D">
            <w:pPr>
              <w:tabs>
                <w:tab w:val="left" w:pos="5253"/>
              </w:tabs>
              <w:spacing w:after="0" w:line="360" w:lineRule="auto"/>
              <w:jc w:val="both"/>
              <w:rPr>
                <w:bCs/>
                <w:lang w:val="hy-AM"/>
              </w:rPr>
            </w:pPr>
            <w:r w:rsidRPr="00C03D3D">
              <w:rPr>
                <w:bCs/>
                <w:lang w:val="hy-AM"/>
              </w:rPr>
              <w:t>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w:t>
            </w:r>
          </w:p>
          <w:p w:rsidR="00C03D3D" w:rsidRPr="00C03D3D" w:rsidRDefault="00C03D3D" w:rsidP="00C03D3D">
            <w:pPr>
              <w:tabs>
                <w:tab w:val="left" w:pos="5253"/>
              </w:tabs>
              <w:spacing w:after="0" w:line="360" w:lineRule="auto"/>
              <w:jc w:val="both"/>
              <w:rPr>
                <w:bCs/>
                <w:lang w:val="hy-AM"/>
              </w:rPr>
            </w:pPr>
            <w:r w:rsidRPr="00C03D3D">
              <w:rPr>
                <w:bCs/>
                <w:lang w:val="hy-AM"/>
              </w:rPr>
              <w:t>Լրացուցիչ աշխատավարձը սույն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w:t>
            </w:r>
          </w:p>
          <w:p w:rsidR="00C03D3D" w:rsidRPr="00C03D3D" w:rsidRDefault="00C03D3D" w:rsidP="00C03D3D">
            <w:pPr>
              <w:tabs>
                <w:tab w:val="left" w:pos="5253"/>
              </w:tabs>
              <w:spacing w:after="0" w:line="360" w:lineRule="auto"/>
              <w:jc w:val="both"/>
              <w:rPr>
                <w:bCs/>
                <w:lang w:val="hy-AM"/>
              </w:rPr>
            </w:pPr>
            <w:r w:rsidRPr="00C03D3D">
              <w:rPr>
                <w:bCs/>
                <w:lang w:val="hy-AM"/>
              </w:rPr>
              <w:t>Օրենքի 3-րդ հոդվածի 1-ին և 2-րդ մասերը համապատասխանաբար սահմանվում են՝ 1)հիմնական աշխատավարձ (այսուհետ նաև՝ պաշտոնային դրույքաչափ)՝ սույն հոդվածի 1-ին մասի 4-րդ կետով նախատեսված բազային  աշխատավարձի և սույն հոդվածի 1-ին մասի 5-րդ կետով նախատեսված գործակցի արտադրյալ.</w:t>
            </w:r>
          </w:p>
          <w:p w:rsidR="00C03D3D" w:rsidRPr="00C03D3D" w:rsidRDefault="00C03D3D" w:rsidP="00C03D3D">
            <w:pPr>
              <w:tabs>
                <w:tab w:val="left" w:pos="5253"/>
              </w:tabs>
              <w:spacing w:after="0" w:line="360" w:lineRule="auto"/>
              <w:jc w:val="both"/>
              <w:rPr>
                <w:bCs/>
                <w:lang w:val="hy-AM"/>
              </w:rPr>
            </w:pPr>
            <w:r w:rsidRPr="00C03D3D">
              <w:rPr>
                <w:bCs/>
                <w:lang w:val="hy-AM"/>
              </w:rPr>
              <w:t>2)լրացուցիչ աշխատավարձ՝ 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 (կամ) պայմանների առկայությամբ և ներառում է՝</w:t>
            </w:r>
          </w:p>
          <w:p w:rsidR="00C03D3D" w:rsidRPr="00C03D3D" w:rsidRDefault="00C03D3D" w:rsidP="00C03D3D">
            <w:pPr>
              <w:tabs>
                <w:tab w:val="left" w:pos="5253"/>
              </w:tabs>
              <w:spacing w:after="0" w:line="360" w:lineRule="auto"/>
              <w:jc w:val="both"/>
              <w:rPr>
                <w:bCs/>
                <w:lang w:val="hy-AM"/>
              </w:rPr>
            </w:pPr>
            <w:r w:rsidRPr="00C03D3D">
              <w:rPr>
                <w:bCs/>
                <w:lang w:val="hy-AM"/>
              </w:rPr>
              <w:t>ա. հավելում` սույն ենթակետում նշված պայմաններից որևէ մեկի կամ դրանցից մի քանիսի, այն է` վճռաբեկ դատարանի դատավորի (այդ թվում` վճռաբեկ դատարանի նախագահի և վճռաբեկ դատարանի պալատի նախագահի) պաշտոն զբաղեցնելու,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C03D3D" w:rsidRPr="00C03D3D" w:rsidRDefault="00C03D3D" w:rsidP="00C03D3D">
            <w:pPr>
              <w:tabs>
                <w:tab w:val="left" w:pos="5253"/>
              </w:tabs>
              <w:spacing w:after="0" w:line="360" w:lineRule="auto"/>
              <w:jc w:val="both"/>
              <w:rPr>
                <w:bCs/>
                <w:lang w:val="hy-AM"/>
              </w:rPr>
            </w:pPr>
            <w:r w:rsidRPr="00C03D3D">
              <w:rPr>
                <w:bCs/>
                <w:lang w:val="hy-AM"/>
              </w:rPr>
              <w:t>բ. հավելավճար` սույն ենթակետում նշված պայմաններից որևէ մեկի կամ դրանցից մի քանիսի, այն է` Սահմանադրական դատարանի նախագահի, փոխնախագահի և դատավորի պաշտոն զբաղեցնելու,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 ծառայության ստաժի, օտար լեզուների իմացության համար պաշտոնային դրույքաչափի նկատմամբ հաշվարկվող տոկոսային ավելացում.</w:t>
            </w:r>
          </w:p>
          <w:p w:rsidR="00C03D3D" w:rsidRPr="00C03D3D" w:rsidRDefault="00C03D3D" w:rsidP="00C03D3D">
            <w:pPr>
              <w:tabs>
                <w:tab w:val="left" w:pos="5253"/>
              </w:tabs>
              <w:spacing w:after="0" w:line="360" w:lineRule="auto"/>
              <w:jc w:val="both"/>
              <w:rPr>
                <w:bCs/>
                <w:lang w:val="hy-AM"/>
              </w:rPr>
            </w:pPr>
            <w:r w:rsidRPr="00C03D3D">
              <w:rPr>
                <w:bCs/>
                <w:lang w:val="hy-AM"/>
              </w:rPr>
              <w:t>Վերոգրյալ իրավակարգավորումների պահանջներից բխում է, որ սահմանադիրը սահմանադրական օրենքով արգելք է սահմանել դատավորների աշխատավարձերի նվազեցման վերաբերյալ, և միակ բացառությունն այն դեպքն է, երբ բոլոր բարձրաստիճան պաշտոնատար աձանց աշխատավարձի համարժեք պակասեցում է կատարվում: Նախագծի և դրան կից ներկայացված հիմնավորման ուսումնասիրությունից պարզ է դառնում, որ դրանով նախատեսված չէ բոլոր բարձրաստիճան պաշտոնատար անձանց աշխատավարձերի, ինչպես նաև դրանց նկատմամբ սահմանված հավելավճարների պակասեցումներ:</w:t>
            </w:r>
          </w:p>
          <w:p w:rsidR="00C03D3D" w:rsidRPr="00C03D3D" w:rsidRDefault="00C03D3D" w:rsidP="00C03D3D">
            <w:pPr>
              <w:tabs>
                <w:tab w:val="left" w:pos="5253"/>
              </w:tabs>
              <w:spacing w:after="0" w:line="360" w:lineRule="auto"/>
              <w:jc w:val="both"/>
              <w:rPr>
                <w:bCs/>
                <w:lang w:val="hy-AM"/>
              </w:rPr>
            </w:pPr>
            <w:r w:rsidRPr="00C03D3D">
              <w:rPr>
                <w:bCs/>
                <w:lang w:val="hy-AM"/>
              </w:rPr>
              <w:t>Հիմք ընդունելով վերոգրյալը՝ գտնում ենք, որ Նախագծի 2-րդ հոդվածով առաջարկվող կարգավորումն ուղղակիորեն հակասում է սահմանադրական օրենքի և դրանից բխող այլ նորմատիվ իրավական ակտերի իրավակարգավորմանն ու նպատակին, ուստի առաջարկում ենք զերծ մնալ բոլոր այն օրենսդրական նախաձեռնություններից, որոնց արդյունքում կարող են նվազել դատավորների անկախությունը:</w:t>
            </w:r>
          </w:p>
          <w:p w:rsidR="00C03D3D" w:rsidRPr="00C03D3D" w:rsidRDefault="00C03D3D" w:rsidP="00C03D3D">
            <w:pPr>
              <w:tabs>
                <w:tab w:val="left" w:pos="5253"/>
              </w:tabs>
              <w:spacing w:after="0" w:line="360" w:lineRule="auto"/>
              <w:jc w:val="both"/>
              <w:rPr>
                <w:bCs/>
                <w:lang w:val="hy-AM"/>
              </w:rPr>
            </w:pPr>
            <w:r w:rsidRPr="00C03D3D">
              <w:rPr>
                <w:bCs/>
                <w:lang w:val="hy-AM"/>
              </w:rPr>
              <w:t>Բացի այդ, «Ժողովրդավարություն՝ իրավունքի միջոցով» եվրոպական հանձնաժողովը (Վենետիկի հանձնաժողով) 2009 թվականի հունիսի 4-ի «Դատական համակարգի անկախությունը. Մաս 1. Դատավորների անկախությունը» զեկույցի շրջանակներում նշել է, որ. «Դատավորների վարձատրությունը պետք է համապատասխանի նրանց մասնագիտական արժանապատվությանը և այդ համարժեք վարձատրությունը անփոխարինելի է դատավորներին արտաքին անհարկի միջամտությունից պաշտպանելու համար: (...) Վարձատրությունը պետք է հիմնված լինի ընդհանուր ստանդարտների վրա և համապատասխանի օբյեկտիվության, թափանցիկության չափանիշներին և չհիմնվի դատավորի անհատական գործունեության գնահատման վրա:» :</w:t>
            </w:r>
          </w:p>
          <w:p w:rsidR="00C03D3D" w:rsidRPr="00C03D3D" w:rsidRDefault="00C03D3D" w:rsidP="00C03D3D">
            <w:pPr>
              <w:tabs>
                <w:tab w:val="left" w:pos="5253"/>
              </w:tabs>
              <w:spacing w:after="0" w:line="360" w:lineRule="auto"/>
              <w:jc w:val="both"/>
              <w:rPr>
                <w:bCs/>
                <w:lang w:val="hy-AM"/>
              </w:rPr>
            </w:pPr>
            <w:r w:rsidRPr="00C03D3D">
              <w:rPr>
                <w:bCs/>
                <w:lang w:val="hy-AM"/>
              </w:rPr>
              <w:t>Վենետիկի հանձնաժողովը 2019 թվականի դեկտեմբերի 11-ին «Դատարանների և դատավորների մասին Վենետիկի հանձնաժողովի կարծիքներ և զեկույցներ» ժողովածուի  շրջանակներում նշել է. «Դատավորի վարձատրությունը պետք է սահմանվի օրենքով և պետք է հավասար լինի նույն պարտականությունները կատարող դատավորների համար: Տարբերություններ կարող են լինել ավագության, դատարանի աստիճանի կամ օրենքով հստակորեն սահմանված այլ չափանիշների հիման վրա (...)»:</w:t>
            </w:r>
          </w:p>
          <w:p w:rsidR="00C03D3D" w:rsidRPr="00C03D3D" w:rsidRDefault="00C03D3D" w:rsidP="00C03D3D">
            <w:pPr>
              <w:tabs>
                <w:tab w:val="left" w:pos="5253"/>
              </w:tabs>
              <w:spacing w:after="0" w:line="360" w:lineRule="auto"/>
              <w:jc w:val="both"/>
              <w:rPr>
                <w:bCs/>
                <w:lang w:val="hy-AM"/>
              </w:rPr>
            </w:pPr>
            <w:r w:rsidRPr="00C03D3D">
              <w:rPr>
                <w:bCs/>
                <w:lang w:val="hy-AM"/>
              </w:rPr>
              <w:t>Եվրոպայի խորհրդի նախարարների կոմիտեի CM/Rec(2010)12 «Դատավորներ. անկախություն, արդյունավետություն և պատասխանատվություն» հանձնարարականի համաձայն՝ «Դատավորների վարձատրությունը պետք է համաչափ լինի իրենց մասնագիտությանն ու պարտականություններին, և պետք է հանդիսանա նրանց  որոշումների կայացման վրա ազդեցություն գործելու նպատակ հետապնդող ազդակներից պաշտպանության արդյունավետ միջոց:»:</w:t>
            </w:r>
          </w:p>
          <w:p w:rsidR="00C03D3D" w:rsidRPr="00C03D3D" w:rsidRDefault="00C03D3D" w:rsidP="00C03D3D">
            <w:pPr>
              <w:tabs>
                <w:tab w:val="left" w:pos="5253"/>
              </w:tabs>
              <w:spacing w:after="0" w:line="360" w:lineRule="auto"/>
              <w:jc w:val="both"/>
              <w:rPr>
                <w:bCs/>
                <w:lang w:val="hy-AM"/>
              </w:rPr>
            </w:pPr>
            <w:r w:rsidRPr="00C03D3D">
              <w:rPr>
                <w:bCs/>
                <w:lang w:val="hy-AM"/>
              </w:rPr>
              <w:t>Եվրոպայի խորհրդի շրջանակներում 1998 թվականին ընդունված «Դատավորների կարգավիճակի մասին» եվրոպական խարտիայի 6.2-րդ կետի համաձայն՝ դատավորի վարձատրության չափը մյուս դատավորի վարձատրության համեմատությամբ կարող է փոփոխվել  կախված ծառայության տևողությունից, իրենց կողմից կատարվող պարտականությունների բնույթից և իրենց վրա դրված առաջադրանքների կարևորությունից:</w:t>
            </w:r>
          </w:p>
          <w:p w:rsidR="00C03D3D" w:rsidRPr="00C03D3D" w:rsidRDefault="00C03D3D" w:rsidP="00C03D3D">
            <w:pPr>
              <w:tabs>
                <w:tab w:val="left" w:pos="5253"/>
              </w:tabs>
              <w:spacing w:after="0" w:line="360" w:lineRule="auto"/>
              <w:jc w:val="both"/>
              <w:rPr>
                <w:bCs/>
                <w:lang w:val="hy-AM"/>
              </w:rPr>
            </w:pPr>
            <w:r w:rsidRPr="00C03D3D">
              <w:rPr>
                <w:bCs/>
                <w:lang w:val="hy-AM"/>
              </w:rPr>
              <w:t>Դատավորի կարգավիճակին վերաբերող վերը նշված միջազգային փաստաթղթերի հետևում է, որ.</w:t>
            </w:r>
          </w:p>
          <w:p w:rsidR="00C03D3D" w:rsidRPr="00C03D3D" w:rsidRDefault="00C03D3D" w:rsidP="00C03D3D">
            <w:pPr>
              <w:tabs>
                <w:tab w:val="left" w:pos="5253"/>
              </w:tabs>
              <w:spacing w:after="0" w:line="360" w:lineRule="auto"/>
              <w:jc w:val="both"/>
              <w:rPr>
                <w:bCs/>
                <w:lang w:val="hy-AM"/>
              </w:rPr>
            </w:pPr>
            <w:r w:rsidRPr="00C03D3D">
              <w:rPr>
                <w:bCs/>
                <w:lang w:val="hy-AM"/>
              </w:rPr>
              <w:t>Դատավորների վարձատրությունը պետք է հանդիսանա նրանց որոշումների կայացման վրա ազդեցություն գործելու նպատակ հետապնդող ազդակներից պաշտպանության արդյունավետը միջոց:</w:t>
            </w:r>
          </w:p>
          <w:p w:rsidR="00C03D3D" w:rsidRPr="00C03D3D" w:rsidRDefault="00C03D3D" w:rsidP="00C03D3D">
            <w:pPr>
              <w:tabs>
                <w:tab w:val="left" w:pos="5253"/>
              </w:tabs>
              <w:spacing w:after="0" w:line="360" w:lineRule="auto"/>
              <w:jc w:val="both"/>
              <w:rPr>
                <w:bCs/>
                <w:lang w:val="hy-AM"/>
              </w:rPr>
            </w:pPr>
            <w:r w:rsidRPr="00C03D3D">
              <w:rPr>
                <w:bCs/>
                <w:lang w:val="hy-AM"/>
              </w:rPr>
              <w:t>Դատավորների վարձատրությունը պետք է հավասար լինի նույն պարտականությունները կատարող դատավորների համար:</w:t>
            </w:r>
          </w:p>
          <w:p w:rsidR="00C03D3D" w:rsidRPr="00C03D3D" w:rsidRDefault="00C03D3D" w:rsidP="00C03D3D">
            <w:pPr>
              <w:tabs>
                <w:tab w:val="left" w:pos="5253"/>
              </w:tabs>
              <w:spacing w:after="0" w:line="360" w:lineRule="auto"/>
              <w:jc w:val="both"/>
              <w:rPr>
                <w:bCs/>
                <w:lang w:val="hy-AM"/>
              </w:rPr>
            </w:pPr>
            <w:r w:rsidRPr="00C03D3D">
              <w:rPr>
                <w:bCs/>
                <w:lang w:val="hy-AM"/>
              </w:rPr>
              <w:t>Դատավորների վարձատրության տարբերություններ կարող են լինել ավագության, դատարանի աստիճանի կամ օրենքով հստակորեն սահմանված այլ չափանիշների հիման վրա:</w:t>
            </w:r>
          </w:p>
          <w:p w:rsidR="00C03D3D" w:rsidRPr="00C03D3D" w:rsidRDefault="00C03D3D" w:rsidP="00C03D3D">
            <w:pPr>
              <w:tabs>
                <w:tab w:val="left" w:pos="5253"/>
              </w:tabs>
              <w:spacing w:after="0" w:line="360" w:lineRule="auto"/>
              <w:jc w:val="both"/>
              <w:rPr>
                <w:bCs/>
                <w:lang w:val="hy-AM"/>
              </w:rPr>
            </w:pPr>
            <w:r w:rsidRPr="00C03D3D">
              <w:rPr>
                <w:bCs/>
                <w:lang w:val="hy-AM"/>
              </w:rPr>
              <w:t xml:space="preserve">Դատավորի վարձատրության չափը մյուս դատավորի վարձատրության համեմատությամբ կարող է փոփոխվել՝ կախված ծառայության տևողությունից, իրենց կողմից կատարովող պարտականությունների բնույթից և իրենց վրա դրված առաջադրանքների կարևորությունից: </w:t>
            </w:r>
          </w:p>
          <w:p w:rsidR="00C03D3D" w:rsidRPr="00C03D3D" w:rsidRDefault="00C03D3D" w:rsidP="00C03D3D">
            <w:pPr>
              <w:tabs>
                <w:tab w:val="left" w:pos="5253"/>
              </w:tabs>
              <w:spacing w:after="0" w:line="360" w:lineRule="auto"/>
              <w:jc w:val="both"/>
              <w:rPr>
                <w:bCs/>
                <w:lang w:val="hy-AM"/>
              </w:rPr>
            </w:pPr>
            <w:r w:rsidRPr="00C03D3D">
              <w:rPr>
                <w:bCs/>
                <w:lang w:val="hy-AM"/>
              </w:rPr>
              <w:t>Վերոգրյալի համատեքստում պետք է արձանագրել, որ.</w:t>
            </w:r>
          </w:p>
          <w:p w:rsidR="00C03D3D" w:rsidRPr="00C03D3D" w:rsidRDefault="00C03D3D" w:rsidP="00C03D3D">
            <w:pPr>
              <w:tabs>
                <w:tab w:val="left" w:pos="5253"/>
              </w:tabs>
              <w:spacing w:after="0" w:line="360" w:lineRule="auto"/>
              <w:jc w:val="both"/>
              <w:rPr>
                <w:bCs/>
                <w:lang w:val="hy-AM"/>
              </w:rPr>
            </w:pPr>
            <w:r w:rsidRPr="00C03D3D">
              <w:rPr>
                <w:bCs/>
                <w:lang w:val="hy-AM"/>
              </w:rPr>
              <w:t>Նախ գործող օրենսդրության  պայմաններում, պայմանավորված Հակակոռուպցիոն դատարանի և Վերաքննիչ դատարանի հակակոռուպցիոն դատարանի և Վերաքննիչ դատարանի հակակոռուպցիոն մասնագիտացման դատավորների մասնագիտացումից բխող ռիսկայնությամբ, նախատեսվել են հավելումներ՝ համապատասխանաբար 70 և 60 տոկոս չափերով: Մինչդեռ, ՀՀ վճռաբեկ դատարանի հակակոռուպցիոն պալատի դատավորների համար նշված երաշխիքը վերաբերում է ՀՀ վճռաբեկ դատարանի բոլոր դատավորներին: Սակայն, գտնում ենք, որ նման մոտեցումն արդարացված չե , քանզի այն խտրական , չի համապատասխանում բարձրագույն դատական մարմնի մասնագիտացված դատավորների որոշումների կայացման վրա ազդեցություն գործելու նպատակ հետապնդող ազդակներից պաշտպանության արդյունավետ միջոցի միջազգայնորեն ընդունված չափանիշին: Բացի այդ, կախված դատական ատյանի գործառույթներից, ըստ վերադասության ոչ թե նվազում, այլ աճում է դատավորի պատասխանատվությունը և բարձրանում նրա որոծումների կայացման վրա ազդեցություն գործելու նպատակ հետապնդող ազդակների հավանականությունը, ուստի տրամաբանական չենք համարում ինչպես Օրենքում, այնպես էլ Նախագծում առկա մոտեցումը, ըստ որի՝ հավելումների չափերը վերընթաց նվազում են, մինչդեռ պետք է լիներ հակառակը:</w:t>
            </w:r>
          </w:p>
          <w:p w:rsidR="00C03D3D" w:rsidRPr="00C03D3D" w:rsidRDefault="00C03D3D" w:rsidP="00C03D3D">
            <w:pPr>
              <w:tabs>
                <w:tab w:val="left" w:pos="5253"/>
              </w:tabs>
              <w:spacing w:after="0" w:line="360" w:lineRule="auto"/>
              <w:jc w:val="both"/>
              <w:rPr>
                <w:bCs/>
                <w:lang w:val="hy-AM"/>
              </w:rPr>
            </w:pPr>
            <w:r w:rsidRPr="00C03D3D">
              <w:rPr>
                <w:bCs/>
                <w:lang w:val="hy-AM"/>
              </w:rPr>
              <w:t>Երկրորդ՝ Նախագծի 2-րդ հոդվածով առաջարկվող փոփոխությունների անհրաժեշտությունը բացառապես հիմնավորվել է հակակոռուպցիոն մասնագիտացման և մյուս դատավորների աշխատավարձերի միջև էական տարբերությունը վերացնելու անհրաժեշտությամբ, մինչդեռ դատավորի կարգավիճակի վերաբերյալ միջազգային փաստաթղթերից հետևում է, որ կախված իրենց կողմից կատարվող պարտականությունների բնույթից և իրենց վրա դրված առաջադրանքների կարևորությունից, դատավորի վարձատրության չափը մյուս դատավորի վարձատրության համեմատությամբ կարող է տարբերվել:</w:t>
            </w:r>
          </w:p>
          <w:p w:rsidR="00C03D3D" w:rsidRPr="00C03D3D" w:rsidRDefault="00C03D3D" w:rsidP="00C03D3D">
            <w:pPr>
              <w:tabs>
                <w:tab w:val="left" w:pos="5253"/>
              </w:tabs>
              <w:spacing w:after="0" w:line="360" w:lineRule="auto"/>
              <w:jc w:val="both"/>
              <w:rPr>
                <w:bCs/>
                <w:lang w:val="hy-AM"/>
              </w:rPr>
            </w:pPr>
            <w:r w:rsidRPr="00C03D3D">
              <w:rPr>
                <w:bCs/>
                <w:lang w:val="hy-AM"/>
              </w:rPr>
              <w:t>Երրորդ՝ դատարանի աստիճանից, իրենց կողմից կատարվող պարտականությւոնների բնույթից և իրենց վրա դրված առաջադրանքների կարևորությունից, դատավորի վարձատրության հավելումները դատավորի անկախության հավելյալ երաշխիքներ են, որոնք նվազեցնելը չի բխում դատավորների որոշումների կայացման վրա ազդեցություն գործելու նպատակ հետապնդող ազդակներից պաշտպանության արդյունավետ միջոցի միջազգայնորեն ընդունված չափանիշից: Այս համատեքստում հակակշռող գործոնի նշանակություն չի կարող ունենալ այն հանգամանքը, որ դատավորի վարձատրության ընդհանուր չափի նվազում տեղի չի ունենալու  բազային աշխատավարձի բարձրացման հաշվին, քանզի  վերջինը չի վերաբերում բացառապես դատավորին և չի բխում դատավորի կարգավիճակից: Ըստ այդմ ընդունելի չենք համարում բազային աշխատավարձի բարձրացման հանգամանքով  պայմանավորված, դատավորի վարձատրության հավելյալ երաշխքիքի նվազեցման մոտեցումը:</w:t>
            </w:r>
          </w:p>
          <w:p w:rsidR="00C03D3D" w:rsidRPr="00C03D3D" w:rsidRDefault="00C03D3D" w:rsidP="00C03D3D">
            <w:pPr>
              <w:tabs>
                <w:tab w:val="left" w:pos="5253"/>
              </w:tabs>
              <w:spacing w:after="0" w:line="360" w:lineRule="auto"/>
              <w:jc w:val="both"/>
              <w:rPr>
                <w:bCs/>
                <w:lang w:val="hy-AM"/>
              </w:rPr>
            </w:pPr>
            <w:r w:rsidRPr="00C03D3D">
              <w:rPr>
                <w:bCs/>
                <w:lang w:val="hy-AM"/>
              </w:rPr>
              <w:t>Հիմք ընդունելով վերոգրյալը՝ առաջարկում ենք Նախագծում կատարել փոփոխություն, որի արդյունքում  չեն նվազի դատավորների վարձատրության հավելումների ներկա տոկոսային չափերը, այդ թվում՝ Վճռաբեկ դատարանի հակակոռուպցիոն պալատի դատավորների համար սահմանել հավելման նոր տոկոսային չափ, որը կգերազանցի 50 տոկոսն այնպես, որ վերընթաց աճի սկզբունքով տրամաբանական կապ կստեղծվի հակակոռուպցիոն  դատարանի, վերաքննիչ դատարանի հակակոռուպցիոն քաղաքացիական և կոռուպցիոն հանցագործությունների վերաբերյալ քրեական գործեր քննող դատավորների և Վճռաբեկ դատարանի (հակակոռուպցիոն պալատի) դատավորների վարձատրությունների միջև, մասնավորապես, որ Վճռաբեկ դատարանի դատավորի վարձատրությունը կլինի ավելի քան Վերաքննիչ   դատարանի հակակոռուպցիոն քաղաքացիական և կոռուպցիոն հանցագործությունների վերաբերյալ քրեական գործեր քննող դատավորի վարձատրությունն է, իսկ վերջիններիս վարձատրությունն էլ կգերազանցի հակակոռուպցիոն դատարանի  դատավորների վարձատրության չափը, միաժամանակ Վճռաբեկ դատարանի հակակոռուպցիոն պալատի դատավորի վարձատրությունը կլինի ավելին, քան Վճռաբեկ դատարանի այլ պալատների դատավորների վարձատրությունը:</w:t>
            </w: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p w:rsidR="00C03D3D" w:rsidRPr="00C03D3D" w:rsidRDefault="00C03D3D" w:rsidP="00C03D3D">
            <w:pPr>
              <w:tabs>
                <w:tab w:val="left" w:pos="5253"/>
              </w:tabs>
              <w:spacing w:after="0" w:line="360" w:lineRule="auto"/>
              <w:jc w:val="both"/>
              <w:rPr>
                <w:bCs/>
                <w:lang w:val="hy-AM"/>
              </w:rPr>
            </w:pP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bCs/>
                <w:lang w:val="hy-AM"/>
              </w:rPr>
            </w:pPr>
            <w:r w:rsidRPr="00C03D3D">
              <w:rPr>
                <w:bCs/>
                <w:lang w:val="hy-AM"/>
              </w:rPr>
              <w:t>Ընդունվել է։</w:t>
            </w:r>
          </w:p>
          <w:p w:rsidR="00C03D3D" w:rsidRPr="00C03D3D" w:rsidRDefault="00C03D3D" w:rsidP="00C03D3D">
            <w:pPr>
              <w:tabs>
                <w:tab w:val="left" w:pos="5253"/>
              </w:tabs>
              <w:spacing w:after="0" w:line="360" w:lineRule="auto"/>
              <w:jc w:val="both"/>
              <w:rPr>
                <w:bCs/>
                <w:lang w:val="hy-AM"/>
              </w:rPr>
            </w:pPr>
            <w:r w:rsidRPr="00C03D3D">
              <w:rPr>
                <w:bCs/>
                <w:lang w:val="hy-AM"/>
              </w:rPr>
              <w:t>Նախագծով առաջարկվող փոփոխություններով նախատեսվում է դատավորների համար սահմանված հավելումները նվազեցնել հիմնական աշխատավարձի բարձրացման չափով։ Ընդ որում, Նախագծի լրամշակված տարբերակում վերանայվել է հավելումների նվազեցման բանաձևը՝ դատավորների աշխատավարձի ընդհանուր չափի մեջ հաշվի առնելով նաև պարգևատրումների չափը, միջին հաշվով պաշտոնային դրույքաչափի 30 տոկոսի չափով։ Ուստի հաշվի առնելով նաև ՀՀ Դատական օրենսգիրք սահմանադրական օրենքի 57-րդ հոդվածի պահանջը Նախագծով առաջարկվող փոփոխությունները նախատեսվել են այն տրամաբանությամբ, որ դատավորների զուտ եկամուտը չնվազի։ Ինչ վերաբերում է նույն հոդվածի այն դրույթին, որով թույլատրվում է դատավորների աշխատավարձը և հավելավճարը նվազեցնել միայն այն դեպքում, երբ համարժեք պակասեցում է կատարվում բոլոր բարձրաստիճան պաշտոնատար անձանց համար, ապա պետք է նկատել, որ Նախագծով առաջարկվում է վերանայել  բոլոր այն բարձրաստիճան պաշտոնատար անձանց աշխատավարձերը, որոնց համար սահմանված են համապատասխան հավելումներ։</w:t>
            </w:r>
          </w:p>
          <w:p w:rsidR="00C03D3D" w:rsidRPr="00C03D3D" w:rsidRDefault="00C03D3D" w:rsidP="00C03D3D">
            <w:pPr>
              <w:tabs>
                <w:tab w:val="left" w:pos="5253"/>
              </w:tabs>
              <w:spacing w:after="0" w:line="360" w:lineRule="auto"/>
              <w:jc w:val="both"/>
              <w:rPr>
                <w:bCs/>
                <w:lang w:val="hy-AM"/>
              </w:rPr>
            </w:pPr>
            <w:r w:rsidRPr="00C03D3D">
              <w:rPr>
                <w:bCs/>
                <w:lang w:val="hy-AM"/>
              </w:rPr>
              <w:t>Նախագծից հանվել է նաև Վճռաբեկ դատարանի դատավորի պաշտոն զբաղեցնող անձանց համար նախատեսված հավելումների նվազեցմանը վերաբերող դրույթը։</w:t>
            </w: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6. Վարչապետի աշխատակազմի ծրագրերի փորձաքննության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10.11.2022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Նախագծի վերաբերյալ դիտողություններ և առաջարկություններ չկան։</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7. Վարչապետի աշխատակազմի ֆինանսական և հաշվապահական հաշվառման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10.11.2022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Նախագծի վերաբերյալ դիտողություններ և առաջարկություններ չկան։</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8. Վարչապետի աշխատակազմի Ֆինանսատնտեսագիտական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10.11.2022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Նախագծի վերաբերյալ դիտողություններ և առաջարկություններ չկան։</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9. Վարչապետի աշխատակազմի Ազգային ժողովի հետ կապերի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08.11.2022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Նախագծի վերաբերյալ դիտողություններ և առաջարկություններ չկան։</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10. Վարչապետի աշխատակազմի իրավաբանական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10.11.2022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Նախագծի վերաբերյալ դիտողություններ և առաջարկություններ չկան։</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11. Վարչապետի աշխատակազմի սոցիալական հարցերի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09.11.2022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Նախագծի վերաբերյալ դիտողություններ և առաջարկություններ չկան։</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bCs/>
                <w:lang w:val="hy-AM"/>
              </w:rPr>
            </w:pPr>
          </w:p>
        </w:tc>
      </w:tr>
      <w:tr w:rsidR="00C03D3D" w:rsidRPr="00C03D3D" w:rsidTr="005904E5">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jc w:val="center"/>
              <w:rPr>
                <w:b/>
                <w:bCs/>
                <w:lang w:val="hy-AM"/>
              </w:rPr>
            </w:pPr>
            <w:r w:rsidRPr="00C03D3D">
              <w:rPr>
                <w:rFonts w:cs="GHEA Grapalat"/>
                <w:b/>
                <w:bCs/>
                <w:lang w:val="hy-AM"/>
              </w:rPr>
              <w:t>12. Վարչապետի աշխատակազմի պետաիրավական վարչություն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i/>
                <w:lang w:val="hy-AM"/>
              </w:rPr>
            </w:pPr>
            <w:r w:rsidRPr="00C03D3D">
              <w:rPr>
                <w:b/>
                <w:bCs/>
                <w:lang w:val="hy-AM"/>
              </w:rPr>
              <w:t>10.11.2022</w:t>
            </w:r>
          </w:p>
        </w:tc>
      </w:tr>
      <w:tr w:rsidR="00C03D3D" w:rsidRPr="00C03D3D" w:rsidTr="005904E5">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3D3D" w:rsidRPr="00C03D3D" w:rsidRDefault="00C03D3D" w:rsidP="00C03D3D">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03D3D" w:rsidRPr="00C03D3D" w:rsidRDefault="00C03D3D" w:rsidP="00C03D3D">
            <w:pPr>
              <w:tabs>
                <w:tab w:val="left" w:pos="5253"/>
              </w:tabs>
              <w:spacing w:after="0" w:line="360" w:lineRule="auto"/>
              <w:rPr>
                <w:b/>
                <w:bCs/>
                <w:lang w:val="hy-AM"/>
              </w:rPr>
            </w:pPr>
            <w:r w:rsidRPr="00C03D3D">
              <w:rPr>
                <w:b/>
                <w:bCs/>
                <w:lang w:val="hy-AM"/>
              </w:rPr>
              <w:t>N 02/46.3/36703-2022</w:t>
            </w:r>
          </w:p>
        </w:tc>
      </w:tr>
      <w:tr w:rsidR="00C03D3D" w:rsidRPr="00C03D3D" w:rsidTr="005904E5">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both"/>
              <w:rPr>
                <w:bCs/>
                <w:lang w:val="hy-AM"/>
              </w:rPr>
            </w:pPr>
            <w:r w:rsidRPr="00C03D3D">
              <w:rPr>
                <w:bCs/>
                <w:lang w:val="hy-AM"/>
              </w:rPr>
              <w:t>Պետաիրավական վարչության իրավասության շրջանակներում դիտարկումներ չկան, սակայն, հաշվի առնելով հատկապես նախագծի ընդունման հիմնավորումը, ըստ ամենայնի, անհրաժեշտ է վերանայել նաև Հայաստանի Հանրապետության կառավարության 2022 թվականի ապրիլի 7-ի N 446-Ն որոշումը։</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03D3D" w:rsidRPr="00C03D3D" w:rsidRDefault="00C03D3D" w:rsidP="00C03D3D">
            <w:pPr>
              <w:tabs>
                <w:tab w:val="left" w:pos="5253"/>
              </w:tabs>
              <w:spacing w:after="0" w:line="360" w:lineRule="auto"/>
              <w:jc w:val="center"/>
              <w:rPr>
                <w:rFonts w:cs="Courier New"/>
                <w:bCs/>
                <w:lang w:val="hy-AM"/>
              </w:rPr>
            </w:pPr>
            <w:r w:rsidRPr="00C03D3D">
              <w:rPr>
                <w:rFonts w:cs="Courier New"/>
                <w:bCs/>
                <w:lang w:val="hy-AM"/>
              </w:rPr>
              <w:t>Ընդունվել է ի գիտություն:</w:t>
            </w:r>
          </w:p>
          <w:p w:rsidR="00C03D3D" w:rsidRPr="00C03D3D" w:rsidRDefault="00C03D3D" w:rsidP="00C03D3D">
            <w:pPr>
              <w:tabs>
                <w:tab w:val="left" w:pos="5253"/>
              </w:tabs>
              <w:spacing w:after="0" w:line="360" w:lineRule="auto"/>
              <w:jc w:val="both"/>
              <w:rPr>
                <w:rFonts w:cs="Courier New"/>
                <w:bCs/>
                <w:lang w:val="hy-AM"/>
              </w:rPr>
            </w:pPr>
            <w:r w:rsidRPr="00C03D3D">
              <w:rPr>
                <w:rFonts w:cs="Courier New"/>
                <w:bCs/>
                <w:lang w:val="hy-AM"/>
              </w:rPr>
              <w:t>«Հայաստանի Հանրապետության կառավարության 2022 թվականի ապրիլի 7-ի N 446-Ն որոշման մեջ փոփոխություններ կատարելու մասին» Կառավարության որոշման նախագիծը աշխատանքային կարգով արդեն իսկ քննարկվել է Դատախազության և Ֆինանսների նախարարության ներկայացուցիչների հետ, որը նախատեսվում է դնել շրջանառության մեջ։</w:t>
            </w:r>
          </w:p>
          <w:p w:rsidR="00C03D3D" w:rsidRPr="00C03D3D" w:rsidRDefault="00C03D3D" w:rsidP="00C03D3D">
            <w:pPr>
              <w:tabs>
                <w:tab w:val="left" w:pos="5253"/>
              </w:tabs>
              <w:spacing w:after="0" w:line="360" w:lineRule="auto"/>
              <w:jc w:val="both"/>
              <w:rPr>
                <w:bCs/>
                <w:lang w:val="hy-AM"/>
              </w:rPr>
            </w:pPr>
          </w:p>
        </w:tc>
      </w:tr>
    </w:tbl>
    <w:p w:rsidR="00C03D3D" w:rsidRPr="00C03D3D" w:rsidRDefault="00C03D3D" w:rsidP="00C03D3D">
      <w:pPr>
        <w:tabs>
          <w:tab w:val="left" w:pos="5253"/>
        </w:tabs>
        <w:spacing w:after="0" w:line="360" w:lineRule="auto"/>
        <w:rPr>
          <w:b/>
          <w:bCs/>
          <w:lang w:val="hy-AM"/>
        </w:rPr>
      </w:pPr>
    </w:p>
    <w:p w:rsidR="00C03D3D" w:rsidRPr="00C03D3D" w:rsidRDefault="00C03D3D" w:rsidP="00C03D3D">
      <w:pPr>
        <w:tabs>
          <w:tab w:val="left" w:pos="5253"/>
        </w:tabs>
        <w:spacing w:after="0" w:line="360" w:lineRule="auto"/>
        <w:rPr>
          <w:b/>
          <w:bCs/>
          <w:lang w:val="hy-AM"/>
        </w:rPr>
      </w:pPr>
    </w:p>
    <w:p w:rsidR="00C03D3D" w:rsidRPr="00C03D3D" w:rsidRDefault="00C03D3D" w:rsidP="00C03D3D">
      <w:pPr>
        <w:tabs>
          <w:tab w:val="left" w:pos="5253"/>
        </w:tabs>
        <w:spacing w:after="0" w:line="360" w:lineRule="auto"/>
        <w:rPr>
          <w:b/>
          <w:bCs/>
          <w:lang w:val="hy-AM"/>
        </w:rPr>
      </w:pPr>
    </w:p>
    <w:p w:rsidR="009B1A90" w:rsidRPr="00C03D3D" w:rsidRDefault="009B1A90" w:rsidP="00C03D3D">
      <w:pPr>
        <w:rPr>
          <w:lang w:val="hy-AM"/>
        </w:rPr>
      </w:pPr>
    </w:p>
    <w:sectPr w:rsidR="009B1A90" w:rsidRPr="00C03D3D"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EE5" w:rsidRDefault="00296EE5" w:rsidP="00966809">
      <w:pPr>
        <w:spacing w:after="0" w:line="240" w:lineRule="auto"/>
      </w:pPr>
      <w:r>
        <w:separator/>
      </w:r>
    </w:p>
  </w:endnote>
  <w:endnote w:type="continuationSeparator" w:id="0">
    <w:p w:rsidR="00296EE5" w:rsidRDefault="00296EE5"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50" w:rsidRDefault="00A10E77">
    <w:pPr>
      <w:pStyle w:val="Footer"/>
      <w:jc w:val="right"/>
    </w:pPr>
    <w:r>
      <w:fldChar w:fldCharType="begin"/>
    </w:r>
    <w:r w:rsidR="00F42F01">
      <w:instrText xml:space="preserve"> PAGE   \* MERGEFORMAT </w:instrText>
    </w:r>
    <w:r>
      <w:fldChar w:fldCharType="separate"/>
    </w:r>
    <w:r w:rsidR="00C03D3D">
      <w:rPr>
        <w:noProof/>
      </w:rPr>
      <w:t>2</w:t>
    </w:r>
    <w:r>
      <w:rPr>
        <w:noProof/>
      </w:rPr>
      <w:fldChar w:fldCharType="end"/>
    </w:r>
  </w:p>
  <w:p w:rsidR="00724A50" w:rsidRDefault="00724A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EE5" w:rsidRDefault="00296EE5" w:rsidP="00966809">
      <w:pPr>
        <w:spacing w:after="0" w:line="240" w:lineRule="auto"/>
      </w:pPr>
      <w:r>
        <w:separator/>
      </w:r>
    </w:p>
  </w:footnote>
  <w:footnote w:type="continuationSeparator" w:id="0">
    <w:p w:rsidR="00296EE5" w:rsidRDefault="00296EE5"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50" w:rsidRDefault="00724A50">
    <w:pPr>
      <w:pStyle w:val="Header"/>
    </w:pPr>
  </w:p>
  <w:p w:rsidR="00724A50" w:rsidRDefault="00724A50"/>
  <w:p w:rsidR="00724A50" w:rsidRDefault="00724A50"/>
  <w:p w:rsidR="00724A50" w:rsidRDefault="00724A5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6"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12"/>
  </w:num>
  <w:num w:numId="4">
    <w:abstractNumId w:val="11"/>
  </w:num>
  <w:num w:numId="5">
    <w:abstractNumId w:val="8"/>
  </w:num>
  <w:num w:numId="6">
    <w:abstractNumId w:val="9"/>
  </w:num>
  <w:num w:numId="7">
    <w:abstractNumId w:val="28"/>
  </w:num>
  <w:num w:numId="8">
    <w:abstractNumId w:val="5"/>
  </w:num>
  <w:num w:numId="9">
    <w:abstractNumId w:val="13"/>
  </w:num>
  <w:num w:numId="10">
    <w:abstractNumId w:val="7"/>
  </w:num>
  <w:num w:numId="11">
    <w:abstractNumId w:val="4"/>
  </w:num>
  <w:num w:numId="12">
    <w:abstractNumId w:val="29"/>
  </w:num>
  <w:num w:numId="13">
    <w:abstractNumId w:val="22"/>
  </w:num>
  <w:num w:numId="14">
    <w:abstractNumId w:val="24"/>
  </w:num>
  <w:num w:numId="15">
    <w:abstractNumId w:val="2"/>
  </w:num>
  <w:num w:numId="16">
    <w:abstractNumId w:val="18"/>
  </w:num>
  <w:num w:numId="17">
    <w:abstractNumId w:val="21"/>
  </w:num>
  <w:num w:numId="18">
    <w:abstractNumId w:val="6"/>
  </w:num>
  <w:num w:numId="19">
    <w:abstractNumId w:val="16"/>
  </w:num>
  <w:num w:numId="20">
    <w:abstractNumId w:val="25"/>
  </w:num>
  <w:num w:numId="21">
    <w:abstractNumId w:val="23"/>
  </w:num>
  <w:num w:numId="22">
    <w:abstractNumId w:val="26"/>
  </w:num>
  <w:num w:numId="23">
    <w:abstractNumId w:val="27"/>
  </w:num>
  <w:num w:numId="24">
    <w:abstractNumId w:val="19"/>
  </w:num>
  <w:num w:numId="25">
    <w:abstractNumId w:val="14"/>
  </w:num>
  <w:num w:numId="26">
    <w:abstractNumId w:val="1"/>
  </w:num>
  <w:num w:numId="27">
    <w:abstractNumId w:val="0"/>
  </w:num>
  <w:num w:numId="28">
    <w:abstractNumId w:val="10"/>
  </w:num>
  <w:num w:numId="29">
    <w:abstractNumId w:val="3"/>
  </w:num>
  <w:num w:numId="3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1172C"/>
    <w:rsid w:val="00013539"/>
    <w:rsid w:val="00013B9B"/>
    <w:rsid w:val="000143DA"/>
    <w:rsid w:val="000169BC"/>
    <w:rsid w:val="000228B4"/>
    <w:rsid w:val="00022FD4"/>
    <w:rsid w:val="000267A6"/>
    <w:rsid w:val="0003057E"/>
    <w:rsid w:val="00032071"/>
    <w:rsid w:val="00033B22"/>
    <w:rsid w:val="00034DBB"/>
    <w:rsid w:val="00035797"/>
    <w:rsid w:val="00036969"/>
    <w:rsid w:val="00047780"/>
    <w:rsid w:val="00050256"/>
    <w:rsid w:val="00050B4B"/>
    <w:rsid w:val="00050F84"/>
    <w:rsid w:val="00052029"/>
    <w:rsid w:val="00053C65"/>
    <w:rsid w:val="0005475C"/>
    <w:rsid w:val="0005669E"/>
    <w:rsid w:val="00056F3E"/>
    <w:rsid w:val="00065FB5"/>
    <w:rsid w:val="00070183"/>
    <w:rsid w:val="000701BD"/>
    <w:rsid w:val="000717E2"/>
    <w:rsid w:val="0007472A"/>
    <w:rsid w:val="00075E06"/>
    <w:rsid w:val="000764DB"/>
    <w:rsid w:val="00076B0E"/>
    <w:rsid w:val="00076DB5"/>
    <w:rsid w:val="00083072"/>
    <w:rsid w:val="000847EC"/>
    <w:rsid w:val="00084A69"/>
    <w:rsid w:val="000853EA"/>
    <w:rsid w:val="000901E8"/>
    <w:rsid w:val="00090E26"/>
    <w:rsid w:val="0009240E"/>
    <w:rsid w:val="00093349"/>
    <w:rsid w:val="00096425"/>
    <w:rsid w:val="000A377E"/>
    <w:rsid w:val="000A3D09"/>
    <w:rsid w:val="000B0E59"/>
    <w:rsid w:val="000B5082"/>
    <w:rsid w:val="000B6B73"/>
    <w:rsid w:val="000B7085"/>
    <w:rsid w:val="000C20CC"/>
    <w:rsid w:val="000C2B00"/>
    <w:rsid w:val="000C6F9E"/>
    <w:rsid w:val="000D1781"/>
    <w:rsid w:val="000D1926"/>
    <w:rsid w:val="000E0E8F"/>
    <w:rsid w:val="000E5CA8"/>
    <w:rsid w:val="000F3A9D"/>
    <w:rsid w:val="000F4D9E"/>
    <w:rsid w:val="000F712F"/>
    <w:rsid w:val="000F7B11"/>
    <w:rsid w:val="00100065"/>
    <w:rsid w:val="00101FB9"/>
    <w:rsid w:val="00103189"/>
    <w:rsid w:val="00104371"/>
    <w:rsid w:val="00106034"/>
    <w:rsid w:val="0010609A"/>
    <w:rsid w:val="00111942"/>
    <w:rsid w:val="00112148"/>
    <w:rsid w:val="0011677D"/>
    <w:rsid w:val="001168CE"/>
    <w:rsid w:val="001269FB"/>
    <w:rsid w:val="00127D4F"/>
    <w:rsid w:val="00137C95"/>
    <w:rsid w:val="00142989"/>
    <w:rsid w:val="001432A0"/>
    <w:rsid w:val="00152A70"/>
    <w:rsid w:val="0015404D"/>
    <w:rsid w:val="00154437"/>
    <w:rsid w:val="00154AD5"/>
    <w:rsid w:val="00154FC7"/>
    <w:rsid w:val="001550B2"/>
    <w:rsid w:val="00162201"/>
    <w:rsid w:val="00166790"/>
    <w:rsid w:val="00171473"/>
    <w:rsid w:val="0017594B"/>
    <w:rsid w:val="00175FCF"/>
    <w:rsid w:val="0017642A"/>
    <w:rsid w:val="001777B2"/>
    <w:rsid w:val="00182C82"/>
    <w:rsid w:val="00182ED5"/>
    <w:rsid w:val="00182F38"/>
    <w:rsid w:val="001851DF"/>
    <w:rsid w:val="0018550C"/>
    <w:rsid w:val="0018693C"/>
    <w:rsid w:val="00186B77"/>
    <w:rsid w:val="00190CA3"/>
    <w:rsid w:val="00191E93"/>
    <w:rsid w:val="00192C33"/>
    <w:rsid w:val="00196AF3"/>
    <w:rsid w:val="00196E65"/>
    <w:rsid w:val="001A1E91"/>
    <w:rsid w:val="001A6FAB"/>
    <w:rsid w:val="001A71C9"/>
    <w:rsid w:val="001B025A"/>
    <w:rsid w:val="001B1C3E"/>
    <w:rsid w:val="001B23AA"/>
    <w:rsid w:val="001B37A1"/>
    <w:rsid w:val="001B59AD"/>
    <w:rsid w:val="001B5BFD"/>
    <w:rsid w:val="001B7112"/>
    <w:rsid w:val="001B7141"/>
    <w:rsid w:val="001C0EC2"/>
    <w:rsid w:val="001C3BC8"/>
    <w:rsid w:val="001C3C26"/>
    <w:rsid w:val="001C5EC5"/>
    <w:rsid w:val="001D1B6F"/>
    <w:rsid w:val="001D25EC"/>
    <w:rsid w:val="001E1E1B"/>
    <w:rsid w:val="001E1EFB"/>
    <w:rsid w:val="001E6665"/>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18C4"/>
    <w:rsid w:val="00213429"/>
    <w:rsid w:val="00213FB8"/>
    <w:rsid w:val="00220CF0"/>
    <w:rsid w:val="00222F2A"/>
    <w:rsid w:val="00225593"/>
    <w:rsid w:val="00226DEE"/>
    <w:rsid w:val="00227919"/>
    <w:rsid w:val="00227A86"/>
    <w:rsid w:val="00230565"/>
    <w:rsid w:val="00231F19"/>
    <w:rsid w:val="00242C11"/>
    <w:rsid w:val="00245EF5"/>
    <w:rsid w:val="00250B94"/>
    <w:rsid w:val="00252173"/>
    <w:rsid w:val="0025306C"/>
    <w:rsid w:val="00253B6C"/>
    <w:rsid w:val="00256F36"/>
    <w:rsid w:val="00261CAE"/>
    <w:rsid w:val="002622F4"/>
    <w:rsid w:val="0026243F"/>
    <w:rsid w:val="00264306"/>
    <w:rsid w:val="00274539"/>
    <w:rsid w:val="0028082E"/>
    <w:rsid w:val="002812B5"/>
    <w:rsid w:val="00282C7D"/>
    <w:rsid w:val="0028562F"/>
    <w:rsid w:val="002906A2"/>
    <w:rsid w:val="0029469B"/>
    <w:rsid w:val="002948B2"/>
    <w:rsid w:val="002960A2"/>
    <w:rsid w:val="00296EE5"/>
    <w:rsid w:val="002A2B3A"/>
    <w:rsid w:val="002B258F"/>
    <w:rsid w:val="002B2C6B"/>
    <w:rsid w:val="002B4F0B"/>
    <w:rsid w:val="002B5308"/>
    <w:rsid w:val="002B683A"/>
    <w:rsid w:val="002B7CE4"/>
    <w:rsid w:val="002C03F0"/>
    <w:rsid w:val="002C0C4C"/>
    <w:rsid w:val="002C123B"/>
    <w:rsid w:val="002D277B"/>
    <w:rsid w:val="002D4490"/>
    <w:rsid w:val="002E0529"/>
    <w:rsid w:val="002E1A64"/>
    <w:rsid w:val="002E2376"/>
    <w:rsid w:val="002E41F5"/>
    <w:rsid w:val="002E4B78"/>
    <w:rsid w:val="002E50CD"/>
    <w:rsid w:val="002E5B33"/>
    <w:rsid w:val="002F10E0"/>
    <w:rsid w:val="002F1699"/>
    <w:rsid w:val="002F1C1C"/>
    <w:rsid w:val="002F4286"/>
    <w:rsid w:val="002F4CF2"/>
    <w:rsid w:val="0030098D"/>
    <w:rsid w:val="00300E0E"/>
    <w:rsid w:val="00311202"/>
    <w:rsid w:val="003121E2"/>
    <w:rsid w:val="0031453D"/>
    <w:rsid w:val="003145B7"/>
    <w:rsid w:val="003172EF"/>
    <w:rsid w:val="0032304A"/>
    <w:rsid w:val="00326861"/>
    <w:rsid w:val="0033282A"/>
    <w:rsid w:val="00344751"/>
    <w:rsid w:val="00357541"/>
    <w:rsid w:val="00360828"/>
    <w:rsid w:val="00367AE4"/>
    <w:rsid w:val="0037225B"/>
    <w:rsid w:val="0037281A"/>
    <w:rsid w:val="0037459C"/>
    <w:rsid w:val="00377692"/>
    <w:rsid w:val="00382763"/>
    <w:rsid w:val="00383681"/>
    <w:rsid w:val="00385FF4"/>
    <w:rsid w:val="00391749"/>
    <w:rsid w:val="00391C79"/>
    <w:rsid w:val="00393209"/>
    <w:rsid w:val="003933F0"/>
    <w:rsid w:val="00396053"/>
    <w:rsid w:val="003A16D4"/>
    <w:rsid w:val="003A5DEA"/>
    <w:rsid w:val="003A78FB"/>
    <w:rsid w:val="003A7B3E"/>
    <w:rsid w:val="003B489C"/>
    <w:rsid w:val="003B4D9E"/>
    <w:rsid w:val="003C2656"/>
    <w:rsid w:val="003C3011"/>
    <w:rsid w:val="003C5248"/>
    <w:rsid w:val="003C52E3"/>
    <w:rsid w:val="003D31FC"/>
    <w:rsid w:val="003D7D10"/>
    <w:rsid w:val="003E2628"/>
    <w:rsid w:val="003E7046"/>
    <w:rsid w:val="003E73C2"/>
    <w:rsid w:val="003E7EC8"/>
    <w:rsid w:val="003F49D7"/>
    <w:rsid w:val="003F53B7"/>
    <w:rsid w:val="003F6F95"/>
    <w:rsid w:val="003F7132"/>
    <w:rsid w:val="003F7E91"/>
    <w:rsid w:val="00401D50"/>
    <w:rsid w:val="004033FA"/>
    <w:rsid w:val="00404113"/>
    <w:rsid w:val="0040797C"/>
    <w:rsid w:val="00410529"/>
    <w:rsid w:val="00415507"/>
    <w:rsid w:val="00415C56"/>
    <w:rsid w:val="00420132"/>
    <w:rsid w:val="004225BF"/>
    <w:rsid w:val="004234D2"/>
    <w:rsid w:val="004305F7"/>
    <w:rsid w:val="00431583"/>
    <w:rsid w:val="00434756"/>
    <w:rsid w:val="00443256"/>
    <w:rsid w:val="00443933"/>
    <w:rsid w:val="00447FD0"/>
    <w:rsid w:val="004504F9"/>
    <w:rsid w:val="00452FCA"/>
    <w:rsid w:val="00454995"/>
    <w:rsid w:val="00455AFD"/>
    <w:rsid w:val="00465551"/>
    <w:rsid w:val="00467049"/>
    <w:rsid w:val="0047032C"/>
    <w:rsid w:val="004712B7"/>
    <w:rsid w:val="004712C4"/>
    <w:rsid w:val="00471305"/>
    <w:rsid w:val="004735CA"/>
    <w:rsid w:val="00475D99"/>
    <w:rsid w:val="00476384"/>
    <w:rsid w:val="00482786"/>
    <w:rsid w:val="004839F9"/>
    <w:rsid w:val="00485379"/>
    <w:rsid w:val="00485A8D"/>
    <w:rsid w:val="00486869"/>
    <w:rsid w:val="00490F7C"/>
    <w:rsid w:val="004912B6"/>
    <w:rsid w:val="004A25E8"/>
    <w:rsid w:val="004A378D"/>
    <w:rsid w:val="004A56E8"/>
    <w:rsid w:val="004A7FAD"/>
    <w:rsid w:val="004B0ADB"/>
    <w:rsid w:val="004B0E95"/>
    <w:rsid w:val="004B1AEC"/>
    <w:rsid w:val="004B2191"/>
    <w:rsid w:val="004B2204"/>
    <w:rsid w:val="004B7423"/>
    <w:rsid w:val="004C6DAA"/>
    <w:rsid w:val="004D1031"/>
    <w:rsid w:val="004D53DC"/>
    <w:rsid w:val="004D5BF6"/>
    <w:rsid w:val="004E01CF"/>
    <w:rsid w:val="004E1139"/>
    <w:rsid w:val="004E16CD"/>
    <w:rsid w:val="004E2D86"/>
    <w:rsid w:val="004F5E31"/>
    <w:rsid w:val="00500619"/>
    <w:rsid w:val="0050217D"/>
    <w:rsid w:val="00505AFB"/>
    <w:rsid w:val="00506175"/>
    <w:rsid w:val="00511166"/>
    <w:rsid w:val="0051180C"/>
    <w:rsid w:val="00516EC6"/>
    <w:rsid w:val="0052281D"/>
    <w:rsid w:val="005256B6"/>
    <w:rsid w:val="005260CE"/>
    <w:rsid w:val="005262A3"/>
    <w:rsid w:val="005268DA"/>
    <w:rsid w:val="00530F6F"/>
    <w:rsid w:val="00533966"/>
    <w:rsid w:val="00536BFA"/>
    <w:rsid w:val="00537831"/>
    <w:rsid w:val="00542E3B"/>
    <w:rsid w:val="00542ED4"/>
    <w:rsid w:val="00545E04"/>
    <w:rsid w:val="00552149"/>
    <w:rsid w:val="00553282"/>
    <w:rsid w:val="00555B32"/>
    <w:rsid w:val="00562970"/>
    <w:rsid w:val="00565A12"/>
    <w:rsid w:val="0057030B"/>
    <w:rsid w:val="00573928"/>
    <w:rsid w:val="005746D4"/>
    <w:rsid w:val="00576ABA"/>
    <w:rsid w:val="00577CAA"/>
    <w:rsid w:val="00580268"/>
    <w:rsid w:val="00584909"/>
    <w:rsid w:val="005857A6"/>
    <w:rsid w:val="0058713C"/>
    <w:rsid w:val="0058771B"/>
    <w:rsid w:val="00592305"/>
    <w:rsid w:val="00593653"/>
    <w:rsid w:val="00594A3B"/>
    <w:rsid w:val="005A7897"/>
    <w:rsid w:val="005B0966"/>
    <w:rsid w:val="005B39F6"/>
    <w:rsid w:val="005B5871"/>
    <w:rsid w:val="005C2B6D"/>
    <w:rsid w:val="005D0074"/>
    <w:rsid w:val="005D46B4"/>
    <w:rsid w:val="005D5E73"/>
    <w:rsid w:val="005D6957"/>
    <w:rsid w:val="005E0374"/>
    <w:rsid w:val="005E16DA"/>
    <w:rsid w:val="005E1F9A"/>
    <w:rsid w:val="005E45CB"/>
    <w:rsid w:val="005E5A61"/>
    <w:rsid w:val="005E7048"/>
    <w:rsid w:val="005E7EE5"/>
    <w:rsid w:val="005F0D9C"/>
    <w:rsid w:val="005F3D81"/>
    <w:rsid w:val="006020A5"/>
    <w:rsid w:val="006021FD"/>
    <w:rsid w:val="00602F3B"/>
    <w:rsid w:val="00603D68"/>
    <w:rsid w:val="00603EC5"/>
    <w:rsid w:val="00603F9E"/>
    <w:rsid w:val="006063F8"/>
    <w:rsid w:val="00606563"/>
    <w:rsid w:val="00606592"/>
    <w:rsid w:val="006068AD"/>
    <w:rsid w:val="00613B79"/>
    <w:rsid w:val="00616D07"/>
    <w:rsid w:val="00617698"/>
    <w:rsid w:val="00620EA9"/>
    <w:rsid w:val="00620F20"/>
    <w:rsid w:val="006212D1"/>
    <w:rsid w:val="00621835"/>
    <w:rsid w:val="00622FE7"/>
    <w:rsid w:val="006244F0"/>
    <w:rsid w:val="00630851"/>
    <w:rsid w:val="00631DD3"/>
    <w:rsid w:val="0063266F"/>
    <w:rsid w:val="0063306E"/>
    <w:rsid w:val="00637708"/>
    <w:rsid w:val="00644A9E"/>
    <w:rsid w:val="00646ADD"/>
    <w:rsid w:val="00651066"/>
    <w:rsid w:val="006566E5"/>
    <w:rsid w:val="006645CD"/>
    <w:rsid w:val="006645F1"/>
    <w:rsid w:val="0066546A"/>
    <w:rsid w:val="00666682"/>
    <w:rsid w:val="00671DF3"/>
    <w:rsid w:val="00672AE6"/>
    <w:rsid w:val="00674415"/>
    <w:rsid w:val="00684F60"/>
    <w:rsid w:val="00685853"/>
    <w:rsid w:val="00687808"/>
    <w:rsid w:val="00694CD2"/>
    <w:rsid w:val="006A19BB"/>
    <w:rsid w:val="006A47D4"/>
    <w:rsid w:val="006A498B"/>
    <w:rsid w:val="006A54B2"/>
    <w:rsid w:val="006A721C"/>
    <w:rsid w:val="006B1B17"/>
    <w:rsid w:val="006B405F"/>
    <w:rsid w:val="006B4205"/>
    <w:rsid w:val="006B5A8B"/>
    <w:rsid w:val="006C038B"/>
    <w:rsid w:val="006C4361"/>
    <w:rsid w:val="006C796F"/>
    <w:rsid w:val="006D6CF1"/>
    <w:rsid w:val="006D76C8"/>
    <w:rsid w:val="006D7946"/>
    <w:rsid w:val="006D79D8"/>
    <w:rsid w:val="006E0EA5"/>
    <w:rsid w:val="006E124B"/>
    <w:rsid w:val="006E4529"/>
    <w:rsid w:val="006E55A4"/>
    <w:rsid w:val="006E6772"/>
    <w:rsid w:val="006E7CA0"/>
    <w:rsid w:val="006F2013"/>
    <w:rsid w:val="006F6F2A"/>
    <w:rsid w:val="0070016D"/>
    <w:rsid w:val="0070165D"/>
    <w:rsid w:val="0070322A"/>
    <w:rsid w:val="00703EBA"/>
    <w:rsid w:val="007045C8"/>
    <w:rsid w:val="007068DA"/>
    <w:rsid w:val="00711D10"/>
    <w:rsid w:val="00717135"/>
    <w:rsid w:val="007223EE"/>
    <w:rsid w:val="00724A50"/>
    <w:rsid w:val="00726AD9"/>
    <w:rsid w:val="007272AD"/>
    <w:rsid w:val="0073074D"/>
    <w:rsid w:val="0073446E"/>
    <w:rsid w:val="0073519F"/>
    <w:rsid w:val="00735D6F"/>
    <w:rsid w:val="00736013"/>
    <w:rsid w:val="00736EF3"/>
    <w:rsid w:val="00737BBF"/>
    <w:rsid w:val="0074012E"/>
    <w:rsid w:val="00740B67"/>
    <w:rsid w:val="00740F61"/>
    <w:rsid w:val="00742776"/>
    <w:rsid w:val="00742D1F"/>
    <w:rsid w:val="0074533E"/>
    <w:rsid w:val="00747B98"/>
    <w:rsid w:val="00750585"/>
    <w:rsid w:val="00753814"/>
    <w:rsid w:val="00753DEE"/>
    <w:rsid w:val="00753EAC"/>
    <w:rsid w:val="0076081C"/>
    <w:rsid w:val="007614BE"/>
    <w:rsid w:val="00762BBD"/>
    <w:rsid w:val="00762DA9"/>
    <w:rsid w:val="00763B10"/>
    <w:rsid w:val="00764D94"/>
    <w:rsid w:val="007665D9"/>
    <w:rsid w:val="00766998"/>
    <w:rsid w:val="007711A2"/>
    <w:rsid w:val="00771229"/>
    <w:rsid w:val="00771D75"/>
    <w:rsid w:val="0077226D"/>
    <w:rsid w:val="00773C61"/>
    <w:rsid w:val="00776E06"/>
    <w:rsid w:val="0077784F"/>
    <w:rsid w:val="00780473"/>
    <w:rsid w:val="007831E3"/>
    <w:rsid w:val="00783786"/>
    <w:rsid w:val="00785A2F"/>
    <w:rsid w:val="00791C04"/>
    <w:rsid w:val="00792A22"/>
    <w:rsid w:val="0079690D"/>
    <w:rsid w:val="007970CE"/>
    <w:rsid w:val="007A0EEE"/>
    <w:rsid w:val="007A1040"/>
    <w:rsid w:val="007A7764"/>
    <w:rsid w:val="007B22F3"/>
    <w:rsid w:val="007B3BEB"/>
    <w:rsid w:val="007B3CAD"/>
    <w:rsid w:val="007B5FC0"/>
    <w:rsid w:val="007C1BBF"/>
    <w:rsid w:val="007E0595"/>
    <w:rsid w:val="007E33B1"/>
    <w:rsid w:val="007E6207"/>
    <w:rsid w:val="007E6C84"/>
    <w:rsid w:val="007F0FFB"/>
    <w:rsid w:val="007F1572"/>
    <w:rsid w:val="007F246B"/>
    <w:rsid w:val="007F3CB2"/>
    <w:rsid w:val="0080127C"/>
    <w:rsid w:val="00803993"/>
    <w:rsid w:val="008040FA"/>
    <w:rsid w:val="00810054"/>
    <w:rsid w:val="00813E75"/>
    <w:rsid w:val="0081778B"/>
    <w:rsid w:val="008204C7"/>
    <w:rsid w:val="00821C30"/>
    <w:rsid w:val="00827466"/>
    <w:rsid w:val="00830DEA"/>
    <w:rsid w:val="00842741"/>
    <w:rsid w:val="00842D5C"/>
    <w:rsid w:val="0084490A"/>
    <w:rsid w:val="0084588D"/>
    <w:rsid w:val="008459B0"/>
    <w:rsid w:val="008461E9"/>
    <w:rsid w:val="00846558"/>
    <w:rsid w:val="008504FF"/>
    <w:rsid w:val="00854135"/>
    <w:rsid w:val="00855691"/>
    <w:rsid w:val="0086081C"/>
    <w:rsid w:val="00860E83"/>
    <w:rsid w:val="00861D2A"/>
    <w:rsid w:val="0086228C"/>
    <w:rsid w:val="00865943"/>
    <w:rsid w:val="008660E0"/>
    <w:rsid w:val="00866EEC"/>
    <w:rsid w:val="00867536"/>
    <w:rsid w:val="0087234C"/>
    <w:rsid w:val="008736AB"/>
    <w:rsid w:val="0087646C"/>
    <w:rsid w:val="008808DA"/>
    <w:rsid w:val="00880993"/>
    <w:rsid w:val="00882025"/>
    <w:rsid w:val="0088244B"/>
    <w:rsid w:val="00884C4A"/>
    <w:rsid w:val="00886511"/>
    <w:rsid w:val="00891AA3"/>
    <w:rsid w:val="008943EF"/>
    <w:rsid w:val="0089445E"/>
    <w:rsid w:val="0089480D"/>
    <w:rsid w:val="0089520A"/>
    <w:rsid w:val="00897A28"/>
    <w:rsid w:val="008A3F62"/>
    <w:rsid w:val="008A4A83"/>
    <w:rsid w:val="008A61D6"/>
    <w:rsid w:val="008B088E"/>
    <w:rsid w:val="008B2A0F"/>
    <w:rsid w:val="008B7A39"/>
    <w:rsid w:val="008C0CB0"/>
    <w:rsid w:val="008C0E8C"/>
    <w:rsid w:val="008C228B"/>
    <w:rsid w:val="008C3C83"/>
    <w:rsid w:val="008C585D"/>
    <w:rsid w:val="008D0A67"/>
    <w:rsid w:val="008D4CED"/>
    <w:rsid w:val="008D6F6A"/>
    <w:rsid w:val="008E0C7F"/>
    <w:rsid w:val="008E0E79"/>
    <w:rsid w:val="008E178C"/>
    <w:rsid w:val="008E21F6"/>
    <w:rsid w:val="008E5635"/>
    <w:rsid w:val="008F0498"/>
    <w:rsid w:val="008F0DEC"/>
    <w:rsid w:val="008F1102"/>
    <w:rsid w:val="008F14AE"/>
    <w:rsid w:val="008F2701"/>
    <w:rsid w:val="008F30FC"/>
    <w:rsid w:val="00900969"/>
    <w:rsid w:val="009073A7"/>
    <w:rsid w:val="00912AFD"/>
    <w:rsid w:val="00912B42"/>
    <w:rsid w:val="0091362A"/>
    <w:rsid w:val="00914007"/>
    <w:rsid w:val="009142AA"/>
    <w:rsid w:val="009153F2"/>
    <w:rsid w:val="0091760D"/>
    <w:rsid w:val="0091793F"/>
    <w:rsid w:val="009205A8"/>
    <w:rsid w:val="009206E4"/>
    <w:rsid w:val="00921C65"/>
    <w:rsid w:val="00923A22"/>
    <w:rsid w:val="00927E70"/>
    <w:rsid w:val="0093166C"/>
    <w:rsid w:val="00931F37"/>
    <w:rsid w:val="009364BA"/>
    <w:rsid w:val="00936D2A"/>
    <w:rsid w:val="00940B66"/>
    <w:rsid w:val="00944911"/>
    <w:rsid w:val="009500E9"/>
    <w:rsid w:val="0095043A"/>
    <w:rsid w:val="009542D6"/>
    <w:rsid w:val="00955308"/>
    <w:rsid w:val="00955904"/>
    <w:rsid w:val="00955E74"/>
    <w:rsid w:val="00956DC0"/>
    <w:rsid w:val="00957D76"/>
    <w:rsid w:val="00962998"/>
    <w:rsid w:val="00964669"/>
    <w:rsid w:val="0096495C"/>
    <w:rsid w:val="0096525D"/>
    <w:rsid w:val="0096595C"/>
    <w:rsid w:val="00966343"/>
    <w:rsid w:val="00966809"/>
    <w:rsid w:val="00967DE3"/>
    <w:rsid w:val="009712C1"/>
    <w:rsid w:val="00971B33"/>
    <w:rsid w:val="00974F20"/>
    <w:rsid w:val="00975436"/>
    <w:rsid w:val="00976CE2"/>
    <w:rsid w:val="00977691"/>
    <w:rsid w:val="00980949"/>
    <w:rsid w:val="00983226"/>
    <w:rsid w:val="0099263C"/>
    <w:rsid w:val="009926FA"/>
    <w:rsid w:val="00994BB8"/>
    <w:rsid w:val="00997B5D"/>
    <w:rsid w:val="009A298D"/>
    <w:rsid w:val="009A329C"/>
    <w:rsid w:val="009A3C8A"/>
    <w:rsid w:val="009A490E"/>
    <w:rsid w:val="009A5D96"/>
    <w:rsid w:val="009A70ED"/>
    <w:rsid w:val="009A7A8C"/>
    <w:rsid w:val="009B1A65"/>
    <w:rsid w:val="009B1A90"/>
    <w:rsid w:val="009B2578"/>
    <w:rsid w:val="009B3D58"/>
    <w:rsid w:val="009B4DFC"/>
    <w:rsid w:val="009B6EE0"/>
    <w:rsid w:val="009C0493"/>
    <w:rsid w:val="009C1AEC"/>
    <w:rsid w:val="009C5169"/>
    <w:rsid w:val="009C6C5D"/>
    <w:rsid w:val="009D42C2"/>
    <w:rsid w:val="009D6128"/>
    <w:rsid w:val="009E19F7"/>
    <w:rsid w:val="009E27E5"/>
    <w:rsid w:val="009E5AAC"/>
    <w:rsid w:val="009E7D3E"/>
    <w:rsid w:val="009F5CD4"/>
    <w:rsid w:val="009F5D2E"/>
    <w:rsid w:val="009F670F"/>
    <w:rsid w:val="009F70AE"/>
    <w:rsid w:val="009F7848"/>
    <w:rsid w:val="00A0053C"/>
    <w:rsid w:val="00A02ED1"/>
    <w:rsid w:val="00A03816"/>
    <w:rsid w:val="00A10E77"/>
    <w:rsid w:val="00A13E21"/>
    <w:rsid w:val="00A13E2B"/>
    <w:rsid w:val="00A209A0"/>
    <w:rsid w:val="00A2235C"/>
    <w:rsid w:val="00A26A61"/>
    <w:rsid w:val="00A31101"/>
    <w:rsid w:val="00A350C6"/>
    <w:rsid w:val="00A35BE1"/>
    <w:rsid w:val="00A36769"/>
    <w:rsid w:val="00A3703D"/>
    <w:rsid w:val="00A371F8"/>
    <w:rsid w:val="00A4359F"/>
    <w:rsid w:val="00A46ACA"/>
    <w:rsid w:val="00A47362"/>
    <w:rsid w:val="00A4759D"/>
    <w:rsid w:val="00A505A9"/>
    <w:rsid w:val="00A51F24"/>
    <w:rsid w:val="00A57924"/>
    <w:rsid w:val="00A60E8F"/>
    <w:rsid w:val="00A61DFB"/>
    <w:rsid w:val="00A643FD"/>
    <w:rsid w:val="00A64AB9"/>
    <w:rsid w:val="00A64C02"/>
    <w:rsid w:val="00A65820"/>
    <w:rsid w:val="00A6613D"/>
    <w:rsid w:val="00A700B5"/>
    <w:rsid w:val="00A70211"/>
    <w:rsid w:val="00A70E3A"/>
    <w:rsid w:val="00A74B98"/>
    <w:rsid w:val="00A77EE9"/>
    <w:rsid w:val="00A82474"/>
    <w:rsid w:val="00A86EDC"/>
    <w:rsid w:val="00A875EF"/>
    <w:rsid w:val="00A91F51"/>
    <w:rsid w:val="00A94FA2"/>
    <w:rsid w:val="00A95E9E"/>
    <w:rsid w:val="00A96589"/>
    <w:rsid w:val="00AA3652"/>
    <w:rsid w:val="00AA36E7"/>
    <w:rsid w:val="00AA570C"/>
    <w:rsid w:val="00AA5B6B"/>
    <w:rsid w:val="00AB010F"/>
    <w:rsid w:val="00AB11AB"/>
    <w:rsid w:val="00AB1CF6"/>
    <w:rsid w:val="00AB5244"/>
    <w:rsid w:val="00AB5CCA"/>
    <w:rsid w:val="00AB64E9"/>
    <w:rsid w:val="00AB6778"/>
    <w:rsid w:val="00AB764A"/>
    <w:rsid w:val="00AC0A32"/>
    <w:rsid w:val="00AC36B9"/>
    <w:rsid w:val="00AC4361"/>
    <w:rsid w:val="00AC7526"/>
    <w:rsid w:val="00AC7B4C"/>
    <w:rsid w:val="00AD194C"/>
    <w:rsid w:val="00AD2A48"/>
    <w:rsid w:val="00AD450C"/>
    <w:rsid w:val="00AE4DC4"/>
    <w:rsid w:val="00AE61D8"/>
    <w:rsid w:val="00AE69FF"/>
    <w:rsid w:val="00AF0F61"/>
    <w:rsid w:val="00AF1786"/>
    <w:rsid w:val="00AF2948"/>
    <w:rsid w:val="00AF3268"/>
    <w:rsid w:val="00AF3ED5"/>
    <w:rsid w:val="00AF60C1"/>
    <w:rsid w:val="00B000FD"/>
    <w:rsid w:val="00B003E9"/>
    <w:rsid w:val="00B064AB"/>
    <w:rsid w:val="00B11E5F"/>
    <w:rsid w:val="00B1267E"/>
    <w:rsid w:val="00B12E82"/>
    <w:rsid w:val="00B15B68"/>
    <w:rsid w:val="00B170A2"/>
    <w:rsid w:val="00B20078"/>
    <w:rsid w:val="00B2296B"/>
    <w:rsid w:val="00B26A37"/>
    <w:rsid w:val="00B30FB4"/>
    <w:rsid w:val="00B40987"/>
    <w:rsid w:val="00B454BF"/>
    <w:rsid w:val="00B45B66"/>
    <w:rsid w:val="00B47962"/>
    <w:rsid w:val="00B50130"/>
    <w:rsid w:val="00B51C2B"/>
    <w:rsid w:val="00B5214E"/>
    <w:rsid w:val="00B6228B"/>
    <w:rsid w:val="00B62ED5"/>
    <w:rsid w:val="00B639D8"/>
    <w:rsid w:val="00B6545E"/>
    <w:rsid w:val="00B654EB"/>
    <w:rsid w:val="00B65E7D"/>
    <w:rsid w:val="00B725B7"/>
    <w:rsid w:val="00B74351"/>
    <w:rsid w:val="00B75023"/>
    <w:rsid w:val="00B810D0"/>
    <w:rsid w:val="00B81AA3"/>
    <w:rsid w:val="00B83D28"/>
    <w:rsid w:val="00B857C6"/>
    <w:rsid w:val="00B91A35"/>
    <w:rsid w:val="00B935F7"/>
    <w:rsid w:val="00B93DCE"/>
    <w:rsid w:val="00B93EC1"/>
    <w:rsid w:val="00B9605E"/>
    <w:rsid w:val="00B97AD1"/>
    <w:rsid w:val="00BA18ED"/>
    <w:rsid w:val="00BA452F"/>
    <w:rsid w:val="00BA51CA"/>
    <w:rsid w:val="00BA7715"/>
    <w:rsid w:val="00BB1CAE"/>
    <w:rsid w:val="00BB3FBC"/>
    <w:rsid w:val="00BB51D2"/>
    <w:rsid w:val="00BB7E1C"/>
    <w:rsid w:val="00BC0C2B"/>
    <w:rsid w:val="00BC3F79"/>
    <w:rsid w:val="00BD38BD"/>
    <w:rsid w:val="00BD6E63"/>
    <w:rsid w:val="00BE0320"/>
    <w:rsid w:val="00BE131B"/>
    <w:rsid w:val="00BE1B7D"/>
    <w:rsid w:val="00BE1C80"/>
    <w:rsid w:val="00BE35CB"/>
    <w:rsid w:val="00BE5EAB"/>
    <w:rsid w:val="00BE6DA1"/>
    <w:rsid w:val="00BE78AA"/>
    <w:rsid w:val="00BF0922"/>
    <w:rsid w:val="00BF4A88"/>
    <w:rsid w:val="00BF4E39"/>
    <w:rsid w:val="00C005CF"/>
    <w:rsid w:val="00C00AA5"/>
    <w:rsid w:val="00C02826"/>
    <w:rsid w:val="00C03D3D"/>
    <w:rsid w:val="00C1022E"/>
    <w:rsid w:val="00C107EC"/>
    <w:rsid w:val="00C1757A"/>
    <w:rsid w:val="00C20901"/>
    <w:rsid w:val="00C20E54"/>
    <w:rsid w:val="00C218B4"/>
    <w:rsid w:val="00C24981"/>
    <w:rsid w:val="00C307B8"/>
    <w:rsid w:val="00C344E4"/>
    <w:rsid w:val="00C37599"/>
    <w:rsid w:val="00C41807"/>
    <w:rsid w:val="00C4693D"/>
    <w:rsid w:val="00C47516"/>
    <w:rsid w:val="00C47A58"/>
    <w:rsid w:val="00C47D55"/>
    <w:rsid w:val="00C52D62"/>
    <w:rsid w:val="00C547F8"/>
    <w:rsid w:val="00C55062"/>
    <w:rsid w:val="00C551AB"/>
    <w:rsid w:val="00C63D0F"/>
    <w:rsid w:val="00C66382"/>
    <w:rsid w:val="00C66518"/>
    <w:rsid w:val="00C71FC2"/>
    <w:rsid w:val="00C74392"/>
    <w:rsid w:val="00C766EA"/>
    <w:rsid w:val="00C76F6F"/>
    <w:rsid w:val="00C778A2"/>
    <w:rsid w:val="00C81053"/>
    <w:rsid w:val="00C90386"/>
    <w:rsid w:val="00C91E40"/>
    <w:rsid w:val="00C93526"/>
    <w:rsid w:val="00C94AF3"/>
    <w:rsid w:val="00CA5F07"/>
    <w:rsid w:val="00CA7460"/>
    <w:rsid w:val="00CB43CC"/>
    <w:rsid w:val="00CB6C96"/>
    <w:rsid w:val="00CC3631"/>
    <w:rsid w:val="00CC60B7"/>
    <w:rsid w:val="00CC7E8A"/>
    <w:rsid w:val="00CD11FC"/>
    <w:rsid w:val="00CD1FB4"/>
    <w:rsid w:val="00CD438E"/>
    <w:rsid w:val="00CD4FD1"/>
    <w:rsid w:val="00CD62D8"/>
    <w:rsid w:val="00CE143B"/>
    <w:rsid w:val="00CE38FC"/>
    <w:rsid w:val="00CE4F21"/>
    <w:rsid w:val="00CE53F1"/>
    <w:rsid w:val="00CE61F5"/>
    <w:rsid w:val="00CE715D"/>
    <w:rsid w:val="00CF153A"/>
    <w:rsid w:val="00CF2D07"/>
    <w:rsid w:val="00CF2F61"/>
    <w:rsid w:val="00CF3327"/>
    <w:rsid w:val="00CF72B6"/>
    <w:rsid w:val="00D0170B"/>
    <w:rsid w:val="00D07154"/>
    <w:rsid w:val="00D131A6"/>
    <w:rsid w:val="00D16769"/>
    <w:rsid w:val="00D173E3"/>
    <w:rsid w:val="00D2711F"/>
    <w:rsid w:val="00D33383"/>
    <w:rsid w:val="00D416DC"/>
    <w:rsid w:val="00D41C2F"/>
    <w:rsid w:val="00D42BFB"/>
    <w:rsid w:val="00D44581"/>
    <w:rsid w:val="00D44AF0"/>
    <w:rsid w:val="00D50169"/>
    <w:rsid w:val="00D52257"/>
    <w:rsid w:val="00D56FFB"/>
    <w:rsid w:val="00D64C68"/>
    <w:rsid w:val="00D66192"/>
    <w:rsid w:val="00D71B28"/>
    <w:rsid w:val="00D75EE3"/>
    <w:rsid w:val="00D7758B"/>
    <w:rsid w:val="00D82365"/>
    <w:rsid w:val="00D8492B"/>
    <w:rsid w:val="00D8555B"/>
    <w:rsid w:val="00D87E06"/>
    <w:rsid w:val="00D905B1"/>
    <w:rsid w:val="00D9713B"/>
    <w:rsid w:val="00DA1204"/>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48EA"/>
    <w:rsid w:val="00DC4C12"/>
    <w:rsid w:val="00DC4DB0"/>
    <w:rsid w:val="00DC5D2F"/>
    <w:rsid w:val="00DD0810"/>
    <w:rsid w:val="00DD0A57"/>
    <w:rsid w:val="00DD2CFF"/>
    <w:rsid w:val="00DD32FE"/>
    <w:rsid w:val="00DD34B8"/>
    <w:rsid w:val="00DD3643"/>
    <w:rsid w:val="00DD41C1"/>
    <w:rsid w:val="00DD5EE6"/>
    <w:rsid w:val="00DE38DF"/>
    <w:rsid w:val="00DE57BE"/>
    <w:rsid w:val="00DE5E9D"/>
    <w:rsid w:val="00DF201C"/>
    <w:rsid w:val="00DF3759"/>
    <w:rsid w:val="00DF4E01"/>
    <w:rsid w:val="00DF77E4"/>
    <w:rsid w:val="00DF7E81"/>
    <w:rsid w:val="00DF7E91"/>
    <w:rsid w:val="00E01355"/>
    <w:rsid w:val="00E01777"/>
    <w:rsid w:val="00E02308"/>
    <w:rsid w:val="00E05B41"/>
    <w:rsid w:val="00E05D4A"/>
    <w:rsid w:val="00E06EC2"/>
    <w:rsid w:val="00E072CC"/>
    <w:rsid w:val="00E10C78"/>
    <w:rsid w:val="00E13236"/>
    <w:rsid w:val="00E15CC9"/>
    <w:rsid w:val="00E224BA"/>
    <w:rsid w:val="00E22C0D"/>
    <w:rsid w:val="00E24860"/>
    <w:rsid w:val="00E2575A"/>
    <w:rsid w:val="00E25A1C"/>
    <w:rsid w:val="00E26E0C"/>
    <w:rsid w:val="00E274D6"/>
    <w:rsid w:val="00E274F2"/>
    <w:rsid w:val="00E279B0"/>
    <w:rsid w:val="00E30609"/>
    <w:rsid w:val="00E34FF3"/>
    <w:rsid w:val="00E41663"/>
    <w:rsid w:val="00E4195C"/>
    <w:rsid w:val="00E41BA0"/>
    <w:rsid w:val="00E441BF"/>
    <w:rsid w:val="00E453AF"/>
    <w:rsid w:val="00E537E6"/>
    <w:rsid w:val="00E55715"/>
    <w:rsid w:val="00E6006A"/>
    <w:rsid w:val="00E60B3B"/>
    <w:rsid w:val="00E634C1"/>
    <w:rsid w:val="00E66040"/>
    <w:rsid w:val="00E677AC"/>
    <w:rsid w:val="00E7368E"/>
    <w:rsid w:val="00E74AFE"/>
    <w:rsid w:val="00E761E2"/>
    <w:rsid w:val="00E82659"/>
    <w:rsid w:val="00E840DF"/>
    <w:rsid w:val="00E84433"/>
    <w:rsid w:val="00E91472"/>
    <w:rsid w:val="00E92319"/>
    <w:rsid w:val="00E94A08"/>
    <w:rsid w:val="00E968DA"/>
    <w:rsid w:val="00EA0349"/>
    <w:rsid w:val="00EA278D"/>
    <w:rsid w:val="00EA2D43"/>
    <w:rsid w:val="00EB114A"/>
    <w:rsid w:val="00EB4197"/>
    <w:rsid w:val="00EB5DA0"/>
    <w:rsid w:val="00EC0B55"/>
    <w:rsid w:val="00EC17AB"/>
    <w:rsid w:val="00EC4A0A"/>
    <w:rsid w:val="00ED1499"/>
    <w:rsid w:val="00EE32A8"/>
    <w:rsid w:val="00EE3717"/>
    <w:rsid w:val="00EF01AB"/>
    <w:rsid w:val="00EF42CE"/>
    <w:rsid w:val="00EF7520"/>
    <w:rsid w:val="00F02893"/>
    <w:rsid w:val="00F02B4F"/>
    <w:rsid w:val="00F05803"/>
    <w:rsid w:val="00F06E19"/>
    <w:rsid w:val="00F134ED"/>
    <w:rsid w:val="00F1411C"/>
    <w:rsid w:val="00F158C5"/>
    <w:rsid w:val="00F1678C"/>
    <w:rsid w:val="00F210BA"/>
    <w:rsid w:val="00F2490A"/>
    <w:rsid w:val="00F30387"/>
    <w:rsid w:val="00F3162B"/>
    <w:rsid w:val="00F424FA"/>
    <w:rsid w:val="00F42F01"/>
    <w:rsid w:val="00F43212"/>
    <w:rsid w:val="00F44B21"/>
    <w:rsid w:val="00F44DEE"/>
    <w:rsid w:val="00F45194"/>
    <w:rsid w:val="00F54123"/>
    <w:rsid w:val="00F573F2"/>
    <w:rsid w:val="00F60D2E"/>
    <w:rsid w:val="00F60EA3"/>
    <w:rsid w:val="00F62B81"/>
    <w:rsid w:val="00F70607"/>
    <w:rsid w:val="00F7140E"/>
    <w:rsid w:val="00F77165"/>
    <w:rsid w:val="00F808C1"/>
    <w:rsid w:val="00FA24AC"/>
    <w:rsid w:val="00FA6A7F"/>
    <w:rsid w:val="00FA6AE2"/>
    <w:rsid w:val="00FB02E2"/>
    <w:rsid w:val="00FB0852"/>
    <w:rsid w:val="00FB29C9"/>
    <w:rsid w:val="00FB4473"/>
    <w:rsid w:val="00FB78F5"/>
    <w:rsid w:val="00FC5728"/>
    <w:rsid w:val="00FC5F47"/>
    <w:rsid w:val="00FD047A"/>
    <w:rsid w:val="00FD1052"/>
    <w:rsid w:val="00FD2404"/>
    <w:rsid w:val="00FD32B6"/>
    <w:rsid w:val="00FD54A2"/>
    <w:rsid w:val="00FD7D2A"/>
    <w:rsid w:val="00FE0A5A"/>
    <w:rsid w:val="00FE27A9"/>
    <w:rsid w:val="00FE5B1E"/>
    <w:rsid w:val="00FE5D1F"/>
    <w:rsid w:val="00FE5FE2"/>
    <w:rsid w:val="00FE6431"/>
    <w:rsid w:val="00FE7CD6"/>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AFF83"/>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3DC"/>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891041276">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72426-0861-4492-A5C4-41C759FBF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30</Pages>
  <Words>2893</Words>
  <Characters>22444</Characters>
  <Application>Microsoft Office Word</Application>
  <DocSecurity>0</DocSecurity>
  <Lines>650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keywords>https://mul2.gov.am/tasks/698319/oneclick/ampopatert.docx?token=67f55476cdb1cacc6a83f2acf7514c75</cp:keywords>
  <cp:lastModifiedBy>Aghasi</cp:lastModifiedBy>
  <cp:revision>32</cp:revision>
  <cp:lastPrinted>2021-04-30T12:25:00Z</cp:lastPrinted>
  <dcterms:created xsi:type="dcterms:W3CDTF">2021-07-30T13:05:00Z</dcterms:created>
  <dcterms:modified xsi:type="dcterms:W3CDTF">2022-11-14T07:01:00Z</dcterms:modified>
</cp:coreProperties>
</file>