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4A53" w14:textId="77777777" w:rsidR="0075650D" w:rsidRPr="003162FE" w:rsidRDefault="0075650D" w:rsidP="0075650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62FE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4FF509E6" w14:textId="77777777" w:rsidR="0075650D" w:rsidRPr="003162FE" w:rsidRDefault="0075650D" w:rsidP="0075650D">
      <w:pPr>
        <w:spacing w:after="0" w:line="360" w:lineRule="auto"/>
        <w:ind w:firstLine="567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3162FE">
        <w:rPr>
          <w:rFonts w:ascii="GHEA Grapalat" w:hAnsi="GHEA Grapalat" w:cs="Courier New"/>
          <w:b/>
          <w:sz w:val="24"/>
          <w:szCs w:val="24"/>
          <w:lang w:val="hy-AM"/>
        </w:rPr>
        <w:t xml:space="preserve">«ՀԱՅԱՍՏԱՆԻ ՀԱՆՐԱՊԵՏՈՒԹՅԱՆ ԿԱՌԱՎԱՐՈՒԹՅԱՆ 2003 ԹՎԱԿԱՆԻ ՓԵՏՐՎԱՐԻ 6-Ի N 138-Ն ՈՐՈՇՄԱՆ ՄԵՋ ՓՈՓՈԽՈՒԹՅՈՒՆՆԵՐ ԵՎ ԼՐԱՑՈՒՄՆԵՐ </w:t>
      </w:r>
      <w:r w:rsidRPr="003162F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</w:t>
      </w:r>
      <w:r w:rsidRPr="003162FE">
        <w:rPr>
          <w:rFonts w:ascii="GHEA Grapalat" w:eastAsia="Times New Roman" w:hAnsi="GHEA Grapalat"/>
          <w:b/>
          <w:bCs/>
          <w:sz w:val="24"/>
          <w:szCs w:val="24"/>
          <w:lang w:val="hy-AM"/>
        </w:rPr>
        <w:t>»</w:t>
      </w:r>
      <w:r w:rsidRPr="003162F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ՈՐՈՇՄԱՆ </w:t>
      </w:r>
      <w:r w:rsidRPr="003162FE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14:paraId="06899BCB" w14:textId="77777777" w:rsidR="0075650D" w:rsidRPr="003162FE" w:rsidRDefault="0075650D" w:rsidP="0075650D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14:paraId="682A690D" w14:textId="77777777" w:rsidR="0075650D" w:rsidRPr="003162FE" w:rsidRDefault="0075650D" w:rsidP="0024655A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t>1. Ընթացիկ իրավիճակը</w:t>
      </w:r>
      <w:r w:rsidRPr="003162F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t>և իրավական</w:t>
      </w:r>
      <w:r w:rsidRPr="003162F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3162F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14:paraId="3E0CFB4E" w14:textId="77777777" w:rsidR="0075650D" w:rsidRPr="003162FE" w:rsidRDefault="0075650D" w:rsidP="0024655A">
      <w:pPr>
        <w:pStyle w:val="ListParagraph"/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Հարապետության էկոնոմիկայի նախարարությունը </w:t>
      </w:r>
      <w:r w:rsidRPr="003162FE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>(այսուհետ՝ Նախարարություն)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31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մշակում և իրականացնում է տնտեսության ճյուղերի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քաղաքականությունը, համաձայն «Կառավարության կառուցվածքի և գործունեության մասին» ՀՀ օրենքի հավելվածի 15-րդ մասի։</w:t>
      </w:r>
    </w:p>
    <w:p w14:paraId="1311A22D" w14:textId="77777777" w:rsidR="0075650D" w:rsidRPr="003162FE" w:rsidRDefault="0075650D" w:rsidP="0024655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Հարապետության վարչապետի 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>2019 թվականի հունիսի 1-ի «Հ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 xml:space="preserve"> 658-Լ որոշման մեջ </w:t>
      </w:r>
      <w:r w:rsidRPr="003162FE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 xml:space="preserve">(այսուհետ՝ Որոշում) 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 xml:space="preserve">2022 թվականի մարտի 18-ի 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 xml:space="preserve"> 283-Լ որոշմամբ կատարված փոփոխությունների և լրացումների համաձայն 32-րդ կետի 5-րդ ենթակետը խմբագրվել է հետևյալ բովանդակությամբ՝ «5) գյուղատնտեսական խորհրդատվության և նորարարությունների վարչություն.», որը ներկայումս իր կանոնադրական գործառույթների շրջանակներում հանրապետության համայնքերում իրականացնում է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գյուղատնտեսական ծրագրերի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62FE">
        <w:rPr>
          <w:rFonts w:ascii="GHEA Grapalat" w:hAnsi="GHEA Grapalat"/>
          <w:sz w:val="24"/>
          <w:szCs w:val="24"/>
          <w:lang w:val="hy-AM" w:eastAsia="ru-RU"/>
        </w:rPr>
        <w:t xml:space="preserve">խորհրդատվական ծառայություններ և նորարարությունների ուսումնասիրություններ։ </w:t>
      </w:r>
    </w:p>
    <w:p w14:paraId="26874CB9" w14:textId="77777777" w:rsidR="0075650D" w:rsidRPr="003162FE" w:rsidRDefault="0075650D" w:rsidP="0024655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 w:eastAsia="ru-RU"/>
        </w:rPr>
        <w:t xml:space="preserve">Գյուղատնտեսության ոլորտում իրականացվող մի շարք ծրագրերի արդյունավետ իրականացումը, դրանց բացթողումների բացահայտումը մոնիթորինգի միջոցով գնահատելու հնարավորություն ներկա պահին հնարավոր չէ՝ գործառույթի բացակայության հիմքով։ </w:t>
      </w:r>
    </w:p>
    <w:p w14:paraId="2F972DC6" w14:textId="77777777" w:rsidR="0075650D" w:rsidRPr="003162FE" w:rsidRDefault="0075650D" w:rsidP="0024655A">
      <w:pPr>
        <w:pStyle w:val="ListParagraph"/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Հարկ է նշել, որ</w:t>
      </w:r>
      <w:r w:rsidRPr="003162F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Նախարարությունը մշակում է ոլորտային քաղաքականություն, իսկ դրա արդյունքում մշակված և հաստատված ծրագրերն իրականացվում են 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Նախարարության ենթակա, համապատասխան կանոնադրական գործառույթներ ունեցող պետական ոչ առևտրային կազմակերության</w:t>
      </w:r>
      <w:r w:rsidRPr="003162FE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>(ներ)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միջոցով։  </w:t>
      </w:r>
    </w:p>
    <w:p w14:paraId="55C3D33B" w14:textId="77777777" w:rsidR="0075650D" w:rsidRPr="003162FE" w:rsidRDefault="0075650D" w:rsidP="0024655A">
      <w:pPr>
        <w:pStyle w:val="ListParagraph"/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բխում է ՀՀ էկոնոմիկայի նախարարության կողմից գյուղատնտեսության ոլորտում իրականացվող ծրագրերի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իրականացման և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անհրաժեշտությունից:</w:t>
      </w:r>
    </w:p>
    <w:p w14:paraId="548B5127" w14:textId="77777777" w:rsidR="0075650D" w:rsidRPr="003162FE" w:rsidRDefault="0075650D" w:rsidP="0075650D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7FB53362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162FE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 և խնդիրները</w:t>
      </w:r>
    </w:p>
    <w:p w14:paraId="65813E38" w14:textId="77777777" w:rsidR="0075650D" w:rsidRPr="003162FE" w:rsidRDefault="0075650D" w:rsidP="0024655A">
      <w:pPr>
        <w:suppressAutoHyphens/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iCs/>
          <w:sz w:val="24"/>
          <w:szCs w:val="24"/>
          <w:lang w:val="hy-AM" w:eastAsia="ru-RU"/>
        </w:rPr>
        <w:t xml:space="preserve">Նախարարության գյուղատնտեսական խորհրդատվության և նորարարությունների վարչությունը մասնագիտական խորհրդատվական ծառայություն է մատուցում բացառապես գյուղատնտեսության ոլորտի ֆիզիկական և իրավաբանական անձի կարգավիճակ ունեցող գյուղացիական տնտեսություններին, ինչպես նաև խորհրդատվություն է տրամադրում գյուղատնտեսության ոլորտի պետական աջակցության ծրագրերի վերաբերյալ։ </w:t>
      </w:r>
    </w:p>
    <w:p w14:paraId="2A3CE1DB" w14:textId="77777777" w:rsidR="0075650D" w:rsidRPr="003162FE" w:rsidRDefault="0075650D" w:rsidP="0024655A">
      <w:pPr>
        <w:suppressAutoHyphens/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3162FE">
        <w:rPr>
          <w:rFonts w:ascii="GHEA Grapalat" w:hAnsi="GHEA Grapalat"/>
          <w:iCs/>
          <w:sz w:val="24"/>
          <w:szCs w:val="24"/>
          <w:lang w:val="hy-AM" w:eastAsia="ru-RU"/>
        </w:rPr>
        <w:t xml:space="preserve">Հաշվի առնելով այն հանգամանքը, որ Նախարարության «Գյուղատնտեսական ծառայությունների կենտրոն» </w:t>
      </w:r>
      <w:r w:rsidRPr="003162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կազմակերությունը</w:t>
      </w:r>
      <w:r w:rsidRPr="003162FE">
        <w:rPr>
          <w:rFonts w:ascii="GHEA Grapalat" w:hAnsi="GHEA Grapalat"/>
          <w:iCs/>
          <w:sz w:val="24"/>
          <w:szCs w:val="24"/>
          <w:lang w:val="hy-AM" w:eastAsia="ru-RU"/>
        </w:rPr>
        <w:t xml:space="preserve"> (այսուհետ՝ Կազմակերպություն) գործունեություն է ծավալում բացառապես գյուղատնտեսության ոլորտում, հետևաբար վարչության գործառույթները Կազմակերպությանը վերապահելու արդյունքում այն չի կարող կրկնվել</w:t>
      </w:r>
      <w:r w:rsidRPr="003162FE">
        <w:rPr>
          <w:rFonts w:ascii="GHEA Grapalat" w:hAnsi="GHEA Grapalat"/>
          <w:iCs/>
          <w:sz w:val="24"/>
          <w:szCs w:val="24"/>
          <w:lang w:val="af-ZA" w:eastAsia="ru-RU"/>
        </w:rPr>
        <w:t xml:space="preserve"> «Նորամուծության և ձեռներեցության ազգային կենտրոն» </w:t>
      </w:r>
      <w:r w:rsidRPr="0031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կազմակերպության</w:t>
      </w:r>
      <w:r w:rsidRPr="003162FE">
        <w:rPr>
          <w:rFonts w:ascii="GHEA Grapalat" w:hAnsi="GHEA Grapalat"/>
          <w:iCs/>
          <w:sz w:val="24"/>
          <w:szCs w:val="24"/>
          <w:lang w:val="hy-AM" w:eastAsia="ru-RU"/>
        </w:rPr>
        <w:t xml:space="preserve"> գործառույթների հետ։  </w:t>
      </w:r>
    </w:p>
    <w:p w14:paraId="7CB15D88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3B5E157B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3162F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3. Կարգավորման նպատակը և բնույթը</w:t>
      </w:r>
    </w:p>
    <w:p w14:paraId="236AD8E4" w14:textId="77777777" w:rsidR="0075650D" w:rsidRPr="003162FE" w:rsidRDefault="0075650D" w:rsidP="002465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u w:val="single"/>
          <w:lang w:val="hy-AM" w:eastAsia="hy-AM" w:bidi="hy-AM"/>
        </w:rPr>
      </w:pPr>
      <w:r w:rsidRPr="003162F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Նախագծի կարգավորման նպատակն է իրավաչափության ապահովումը։ Կարևորելով պետական օժանդակության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գյուղատնտեսական ծրագրերի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, առաջարկվում է սույն նախագծով </w:t>
      </w:r>
      <w:r w:rsidRPr="003162F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ընդլայնել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31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ազմակերպության գործառույթները, ինչը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հնարավորություն կընձեռի </w:t>
      </w:r>
      <w:r w:rsidRPr="003162FE">
        <w:rPr>
          <w:rFonts w:ascii="GHEA Grapalat" w:hAnsi="GHEA Grapalat"/>
          <w:sz w:val="24"/>
          <w:szCs w:val="24"/>
          <w:lang w:val="hy-AM" w:eastAsia="ru-RU"/>
        </w:rPr>
        <w:t>պետություն-մասնավոր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շղթայում առավել արդյունավետ և նպատակային կազմակերպել ծառայությունների մատուցումը։   </w:t>
      </w:r>
    </w:p>
    <w:p w14:paraId="550F6810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 w:eastAsia="ru-RU"/>
        </w:rPr>
        <w:t xml:space="preserve">Միաժամանակ, նախագծով սահմանվող դրույթներով նախատեսվող նպատակն է՝ </w:t>
      </w:r>
    </w:p>
    <w:p w14:paraId="4B18015B" w14:textId="77777777" w:rsidR="0075650D" w:rsidRPr="003162FE" w:rsidRDefault="0075650D" w:rsidP="0075650D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/>
        </w:rPr>
        <w:lastRenderedPageBreak/>
        <w:t xml:space="preserve">մոնիթորինգի և տեղազննությունների միջոցով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բացահայտել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գյուղատնտեսության ոլորտում իրականացվող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նախապես պլանավորված և փաստացի արձանագրված</w:t>
      </w:r>
      <w:r w:rsidRPr="003162FE">
        <w:rPr>
          <w:rFonts w:cs="Calibr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Style w:val="Strong"/>
          <w:rFonts w:ascii="GHEA Grapalat" w:hAnsi="GHEA Grapalat" w:cs="Tahoma"/>
          <w:b w:val="0"/>
          <w:color w:val="333333"/>
          <w:sz w:val="24"/>
          <w:szCs w:val="24"/>
          <w:shd w:val="clear" w:color="auto" w:fill="FFFFFF"/>
          <w:lang w:val="hy-AM"/>
        </w:rPr>
        <w:t>նպատակների, արդյունքների, գործողությունների</w:t>
      </w:r>
      <w:r w:rsidRPr="003162FE">
        <w:rPr>
          <w:rStyle w:val="Strong"/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Style w:val="Strong"/>
          <w:rFonts w:ascii="GHEA Grapalat" w:hAnsi="GHEA Grapalat" w:cs="Tahoma"/>
          <w:b w:val="0"/>
          <w:color w:val="333333"/>
          <w:sz w:val="24"/>
          <w:szCs w:val="24"/>
          <w:shd w:val="clear" w:color="auto" w:fill="FFFFFF"/>
          <w:lang w:val="hy-AM"/>
        </w:rPr>
        <w:t>իրականացում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բացթողումներն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ինչպես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նաև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խթանել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դրանց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62F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շտկումն</w:t>
      </w:r>
      <w:r w:rsidRPr="003162FE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,</w:t>
      </w:r>
    </w:p>
    <w:p w14:paraId="72F8EE33" w14:textId="77777777" w:rsidR="0075650D" w:rsidRPr="003162FE" w:rsidRDefault="0075650D" w:rsidP="0075650D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 w:eastAsia="ru-RU"/>
        </w:rPr>
        <w:t>կադրային նեղ մասնագիտական քաղաքականության իրականացում, մասնագետների թիրախավորված ընտրության հնարավորություն,</w:t>
      </w:r>
    </w:p>
    <w:p w14:paraId="52D71B2E" w14:textId="77777777" w:rsidR="0075650D" w:rsidRPr="003162FE" w:rsidRDefault="0075650D" w:rsidP="0075650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810" w:hanging="27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 w:eastAsia="ru-RU"/>
        </w:rPr>
        <w:t>բացառումը մեկ մարմնի կողմից ծրագրի մշակումը, իրականացումը և արդյունքների մոնիթորինգը,</w:t>
      </w:r>
    </w:p>
    <w:p w14:paraId="213A88E8" w14:textId="77777777" w:rsidR="0075650D" w:rsidRPr="003162FE" w:rsidRDefault="0075650D" w:rsidP="0075650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810" w:hanging="27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162FE">
        <w:rPr>
          <w:rFonts w:ascii="GHEA Grapalat" w:hAnsi="GHEA Grapalat"/>
          <w:sz w:val="24"/>
          <w:szCs w:val="24"/>
          <w:lang w:val="hy-AM" w:eastAsia="ru-RU"/>
        </w:rPr>
        <w:t>պետություն-մասնավոր գործակցության տարբեր ծրագրերի նախաձեռնում, կազմակերպում և վերահսկում</w:t>
      </w:r>
      <w:r w:rsidRPr="003162FE">
        <w:rPr>
          <w:rFonts w:ascii="GHEA Grapalat" w:hAnsi="GHEA Grapalat" w:cs="Sylfaen"/>
          <w:sz w:val="24"/>
          <w:szCs w:val="24"/>
          <w:lang w:val="it-IT"/>
        </w:rPr>
        <w:t>:</w:t>
      </w:r>
    </w:p>
    <w:p w14:paraId="5DA2F3E9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</w:p>
    <w:p w14:paraId="4F74245C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162F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4. Պետական բյուջեում եկամուտների և ծախսերի ավելացման կամ նվազեցման մասին.</w:t>
      </w:r>
    </w:p>
    <w:p w14:paraId="05083D33" w14:textId="77777777" w:rsidR="0024655A" w:rsidRDefault="0075650D" w:rsidP="0024655A">
      <w:pPr>
        <w:pStyle w:val="mechtex"/>
        <w:spacing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162FE">
        <w:rPr>
          <w:rFonts w:ascii="GHEA Grapalat" w:hAnsi="GHEA Grapalat"/>
          <w:iCs/>
          <w:sz w:val="24"/>
          <w:szCs w:val="24"/>
          <w:lang w:val="hy-AM"/>
        </w:rPr>
        <w:t xml:space="preserve">Նախագծի ընդունմամբ </w:t>
      </w:r>
      <w:r w:rsidR="0024655A" w:rsidRPr="000875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4655A" w:rsidRPr="000875E5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ընդունմամբ </w:t>
      </w:r>
      <w:r w:rsidR="0024655A" w:rsidRPr="000875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անհրաժեշտություն չի առաջանում՝ պետական բյուջեում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24655A"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4655A"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24655A"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էական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4655A"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="0024655A" w:rsidRPr="0024655A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1A965858" w14:textId="34142CD2" w:rsidR="0075650D" w:rsidRPr="003162FE" w:rsidRDefault="0075650D" w:rsidP="0024655A">
      <w:pPr>
        <w:pStyle w:val="mechtex"/>
        <w:spacing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162FE">
        <w:rPr>
          <w:rFonts w:ascii="GHEA Grapalat" w:hAnsi="GHEA Grapalat"/>
          <w:iCs/>
          <w:sz w:val="24"/>
          <w:szCs w:val="24"/>
          <w:lang w:val="hy-AM"/>
        </w:rPr>
        <w:t>Միաժամանակ 1022 ծրագրի 11002 միջոցառման 2023 թվականի բյուջետային հայտում կարտացոլվեն անհրաժեշտ ֆինանսական միջոցները։</w:t>
      </w:r>
    </w:p>
    <w:p w14:paraId="14C7E171" w14:textId="77777777" w:rsidR="0075650D" w:rsidRPr="003162FE" w:rsidRDefault="0075650D" w:rsidP="0075650D">
      <w:pPr>
        <w:pStyle w:val="mechtex"/>
        <w:spacing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53206BBD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3162FE">
        <w:rPr>
          <w:rFonts w:ascii="GHEA Grapalat" w:eastAsia="Times New Roman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14:paraId="1DD21AA3" w14:textId="77777777" w:rsidR="0075650D" w:rsidRPr="003162FE" w:rsidRDefault="0075650D" w:rsidP="0075650D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62FE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3162FE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14:paraId="2054A50D" w14:textId="77777777" w:rsidR="0075650D" w:rsidRPr="003162FE" w:rsidRDefault="0075650D" w:rsidP="0075650D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4CA249" w14:textId="77777777" w:rsidR="0075650D" w:rsidRPr="003162FE" w:rsidRDefault="0075650D" w:rsidP="0024655A">
      <w:pPr>
        <w:tabs>
          <w:tab w:val="left" w:pos="709"/>
          <w:tab w:val="left" w:pos="851"/>
        </w:tabs>
        <w:spacing w:after="0" w:line="360" w:lineRule="auto"/>
        <w:ind w:firstLine="720"/>
        <w:jc w:val="both"/>
        <w:rPr>
          <w:rFonts w:ascii="GHEA Grapalat" w:eastAsia="Calibri" w:hAnsi="GHEA Grapalat"/>
          <w:b/>
          <w:i/>
          <w:color w:val="00000A"/>
          <w:sz w:val="24"/>
          <w:szCs w:val="24"/>
          <w:u w:val="single"/>
          <w:lang w:val="hy-AM"/>
        </w:rPr>
      </w:pPr>
      <w:r w:rsidRPr="003162FE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6. Կապը կառավարության ծրագրի և ռազմավարական ծրագրերի հետ.</w:t>
      </w:r>
      <w:r w:rsidRPr="003162FE">
        <w:rPr>
          <w:rFonts w:ascii="GHEA Grapalat" w:eastAsia="Calibri" w:hAnsi="GHEA Grapalat"/>
          <w:b/>
          <w:i/>
          <w:color w:val="00000A"/>
          <w:sz w:val="24"/>
          <w:szCs w:val="24"/>
          <w:u w:val="single"/>
          <w:lang w:val="hy-AM"/>
        </w:rPr>
        <w:t xml:space="preserve"> Հայաստանի վերափոխման ռազմավարություն 2050, Կառավարության 2021-2026 թթ. ծրագիր, ոլորտային և/կամ այլ ռազմավարություններ:</w:t>
      </w:r>
    </w:p>
    <w:p w14:paraId="18FABE10" w14:textId="77777777" w:rsidR="0075650D" w:rsidRPr="003162FE" w:rsidRDefault="0075650D" w:rsidP="0075650D">
      <w:pPr>
        <w:tabs>
          <w:tab w:val="left" w:pos="709"/>
          <w:tab w:val="left" w:pos="851"/>
        </w:tabs>
        <w:spacing w:after="0" w:line="36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162FE">
        <w:rPr>
          <w:rFonts w:ascii="GHEA Grapalat" w:eastAsia="Calibri" w:hAnsi="GHEA Grapalat"/>
          <w:sz w:val="24"/>
          <w:szCs w:val="24"/>
          <w:lang w:val="hy-AM"/>
        </w:rPr>
        <w:t>Հայաստանի Հանրապետության գյուղատնտեսության ոլորտում գիտելիքահենք և ներառական տնտեսության ձևավորում։</w:t>
      </w:r>
    </w:p>
    <w:p w14:paraId="665A22BC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14:paraId="2AF3659B" w14:textId="77777777" w:rsidR="0075650D" w:rsidRPr="003162FE" w:rsidRDefault="0075650D" w:rsidP="0024655A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3162FE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7. Ակնկալվող</w:t>
      </w:r>
      <w:r w:rsidRPr="003162F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14:paraId="568DC6F2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162FE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ընդունմամբ հնարավորություն կընձեռնվի ապահովել 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գյուղատնտեսության ոլորտում </w:t>
      </w:r>
      <w:r w:rsidRPr="003162FE">
        <w:rPr>
          <w:rFonts w:ascii="GHEA Grapalat" w:hAnsi="GHEA Grapalat"/>
          <w:sz w:val="24"/>
          <w:szCs w:val="24"/>
          <w:lang w:val="hy-AM" w:eastAsia="ru-RU"/>
        </w:rPr>
        <w:t xml:space="preserve">պետություն-մասնավոր 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շղթայի արդյունավետ համագործակցություն՝ </w:t>
      </w:r>
      <w:r w:rsidRPr="003162FE">
        <w:rPr>
          <w:rFonts w:ascii="GHEA Grapalat" w:hAnsi="GHEA Grapalat" w:cs="Sylfaen"/>
          <w:bCs/>
          <w:sz w:val="24"/>
          <w:szCs w:val="24"/>
          <w:lang w:val="hy-AM"/>
        </w:rPr>
        <w:t>ծրագրերի մոնիթորինգի և տեղազննությունների իրականացման արդյունքում։</w:t>
      </w:r>
      <w:r w:rsidRPr="003162FE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14:paraId="18161160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62FE">
        <w:rPr>
          <w:rFonts w:ascii="GHEA Grapalat" w:hAnsi="GHEA Grapalat" w:cs="Arial"/>
          <w:sz w:val="24"/>
          <w:szCs w:val="24"/>
          <w:lang w:val="hy-AM"/>
        </w:rPr>
        <w:t xml:space="preserve">Գյուղացիական տնտեսություններում իրականացված </w:t>
      </w:r>
      <w:r w:rsidRPr="003162FE">
        <w:rPr>
          <w:rFonts w:ascii="GHEA Grapalat" w:hAnsi="GHEA Grapalat" w:cs="Sylfaen"/>
          <w:bCs/>
          <w:sz w:val="24"/>
          <w:szCs w:val="24"/>
          <w:lang w:val="hy-AM"/>
        </w:rPr>
        <w:t>մոնիթորինգի և տեղազննությունների արդյունքում</w:t>
      </w:r>
      <w:r w:rsidRPr="003162FE">
        <w:rPr>
          <w:rFonts w:ascii="GHEA Grapalat" w:hAnsi="GHEA Grapalat"/>
          <w:sz w:val="24"/>
          <w:szCs w:val="24"/>
          <w:lang w:val="hy-AM"/>
        </w:rPr>
        <w:t xml:space="preserve"> կբարելավվի շահառուների աշխատանքի արդյունավետությունն, ինչպես նաև հետադարձ կապի միջոցով հնարավոր կլինի իրականացնել առավել արդյունավետ հսկողական մեխանիզմների սահմանում և գործընթացների նկատմամբ վերահսկողություն։ </w:t>
      </w:r>
    </w:p>
    <w:p w14:paraId="21A55316" w14:textId="77777777" w:rsidR="0075650D" w:rsidRPr="003162FE" w:rsidRDefault="0075650D" w:rsidP="0075650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62FE">
        <w:rPr>
          <w:rFonts w:ascii="GHEA Grapalat" w:hAnsi="GHEA Grapalat"/>
          <w:iCs/>
          <w:sz w:val="24"/>
          <w:szCs w:val="24"/>
          <w:lang w:val="hy-AM" w:eastAsia="ru-RU"/>
        </w:rPr>
        <w:t xml:space="preserve">Միաժամանակ, նախագծի ընդունման արդյունքում գուղատնտեսության ոլորտի պետական աջակցության ծրագրերով Կազմակերպության կողմից իրականացված մոնիթորինգի գործառույթների շրջանակներում տվյալների հավաքագրումը, մշակումը, վերլուծությունը և հաշվետվության արդյունքների տրամադրումը կնպաստի գյուղատնտեսության ոլորտում իրականացվող ծրագրերի և նախագծերի մշակման աշխատանքերին, ինչպես և ընդունված է միջազգային պրակտիկայում։   </w:t>
      </w:r>
    </w:p>
    <w:p w14:paraId="4B6FC5F6" w14:textId="72EDD7DC" w:rsidR="00535274" w:rsidRPr="0075650D" w:rsidRDefault="00535274" w:rsidP="0075650D">
      <w:pPr>
        <w:rPr>
          <w:lang w:val="hy-AM"/>
        </w:rPr>
      </w:pPr>
    </w:p>
    <w:sectPr w:rsidR="00535274" w:rsidRPr="0075650D" w:rsidSect="0024655A">
      <w:pgSz w:w="12240" w:h="15840"/>
      <w:pgMar w:top="1170" w:right="90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502"/>
    <w:multiLevelType w:val="hybridMultilevel"/>
    <w:tmpl w:val="6344BC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05481"/>
    <w:multiLevelType w:val="hybridMultilevel"/>
    <w:tmpl w:val="25D240C6"/>
    <w:lvl w:ilvl="0" w:tplc="2800D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55A37"/>
    <w:multiLevelType w:val="hybridMultilevel"/>
    <w:tmpl w:val="AA90E686"/>
    <w:lvl w:ilvl="0" w:tplc="2772A17C">
      <w:numFmt w:val="bullet"/>
      <w:lvlText w:val=""/>
      <w:lvlJc w:val="left"/>
      <w:pPr>
        <w:ind w:left="927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22518B"/>
    <w:multiLevelType w:val="hybridMultilevel"/>
    <w:tmpl w:val="8F264D0C"/>
    <w:lvl w:ilvl="0" w:tplc="2772A17C">
      <w:numFmt w:val="bullet"/>
      <w:lvlText w:val=""/>
      <w:lvlJc w:val="left"/>
      <w:pPr>
        <w:ind w:left="1494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85983210">
    <w:abstractNumId w:val="1"/>
  </w:num>
  <w:num w:numId="2" w16cid:durableId="763845862">
    <w:abstractNumId w:val="0"/>
  </w:num>
  <w:num w:numId="3" w16cid:durableId="1039016238">
    <w:abstractNumId w:val="2"/>
  </w:num>
  <w:num w:numId="4" w16cid:durableId="151788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AF"/>
    <w:rsid w:val="0004483A"/>
    <w:rsid w:val="00096CBB"/>
    <w:rsid w:val="000B7264"/>
    <w:rsid w:val="000C54E6"/>
    <w:rsid w:val="000E016D"/>
    <w:rsid w:val="0010595B"/>
    <w:rsid w:val="00196B73"/>
    <w:rsid w:val="001B4483"/>
    <w:rsid w:val="001D4066"/>
    <w:rsid w:val="001D69D3"/>
    <w:rsid w:val="001F1C89"/>
    <w:rsid w:val="00220820"/>
    <w:rsid w:val="00236ABC"/>
    <w:rsid w:val="0024655A"/>
    <w:rsid w:val="00280CA2"/>
    <w:rsid w:val="00283093"/>
    <w:rsid w:val="00290CAD"/>
    <w:rsid w:val="002B5767"/>
    <w:rsid w:val="002D64E5"/>
    <w:rsid w:val="002F16C2"/>
    <w:rsid w:val="003034D6"/>
    <w:rsid w:val="003066A2"/>
    <w:rsid w:val="00311D67"/>
    <w:rsid w:val="00313084"/>
    <w:rsid w:val="003203E2"/>
    <w:rsid w:val="003251CF"/>
    <w:rsid w:val="00385E33"/>
    <w:rsid w:val="00430CBB"/>
    <w:rsid w:val="0048335E"/>
    <w:rsid w:val="004A6BEF"/>
    <w:rsid w:val="004B0016"/>
    <w:rsid w:val="004E3AAF"/>
    <w:rsid w:val="0051623D"/>
    <w:rsid w:val="00524CB8"/>
    <w:rsid w:val="00535274"/>
    <w:rsid w:val="00552479"/>
    <w:rsid w:val="00554615"/>
    <w:rsid w:val="005A5CD7"/>
    <w:rsid w:val="005B1C38"/>
    <w:rsid w:val="005B4866"/>
    <w:rsid w:val="005C69B2"/>
    <w:rsid w:val="005D17F3"/>
    <w:rsid w:val="00653091"/>
    <w:rsid w:val="00681707"/>
    <w:rsid w:val="0068528D"/>
    <w:rsid w:val="00692D8A"/>
    <w:rsid w:val="006976A2"/>
    <w:rsid w:val="006A328F"/>
    <w:rsid w:val="006C6C46"/>
    <w:rsid w:val="006D6DCB"/>
    <w:rsid w:val="006F344A"/>
    <w:rsid w:val="006F45DD"/>
    <w:rsid w:val="00714C76"/>
    <w:rsid w:val="0075650D"/>
    <w:rsid w:val="007D2F04"/>
    <w:rsid w:val="007D5A0E"/>
    <w:rsid w:val="0080481D"/>
    <w:rsid w:val="00823F4F"/>
    <w:rsid w:val="008412A7"/>
    <w:rsid w:val="008B3BEC"/>
    <w:rsid w:val="008B7C79"/>
    <w:rsid w:val="0098063B"/>
    <w:rsid w:val="00992A86"/>
    <w:rsid w:val="009A3BDD"/>
    <w:rsid w:val="009D4F00"/>
    <w:rsid w:val="009D7874"/>
    <w:rsid w:val="009E0B35"/>
    <w:rsid w:val="009F394A"/>
    <w:rsid w:val="00A036B6"/>
    <w:rsid w:val="00A121AA"/>
    <w:rsid w:val="00A23900"/>
    <w:rsid w:val="00A50E64"/>
    <w:rsid w:val="00A73DBF"/>
    <w:rsid w:val="00AC3360"/>
    <w:rsid w:val="00AD39DD"/>
    <w:rsid w:val="00B10950"/>
    <w:rsid w:val="00B53C64"/>
    <w:rsid w:val="00B6599F"/>
    <w:rsid w:val="00B65E3A"/>
    <w:rsid w:val="00B679F3"/>
    <w:rsid w:val="00C13E9C"/>
    <w:rsid w:val="00C63408"/>
    <w:rsid w:val="00C65744"/>
    <w:rsid w:val="00C917BF"/>
    <w:rsid w:val="00CA1F4E"/>
    <w:rsid w:val="00CB7215"/>
    <w:rsid w:val="00CC0F3F"/>
    <w:rsid w:val="00D257E6"/>
    <w:rsid w:val="00D62D72"/>
    <w:rsid w:val="00D8111E"/>
    <w:rsid w:val="00D95D5A"/>
    <w:rsid w:val="00DA1FEF"/>
    <w:rsid w:val="00DA6CA1"/>
    <w:rsid w:val="00DB1C79"/>
    <w:rsid w:val="00DE2C14"/>
    <w:rsid w:val="00E07E1C"/>
    <w:rsid w:val="00EA1B3C"/>
    <w:rsid w:val="00EB192B"/>
    <w:rsid w:val="00ED1C44"/>
    <w:rsid w:val="00EF729D"/>
    <w:rsid w:val="00F00D3C"/>
    <w:rsid w:val="00F14DC1"/>
    <w:rsid w:val="00F527EC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CF2E"/>
  <w15:chartTrackingRefBased/>
  <w15:docId w15:val="{329A3B71-2A13-4E97-A251-CDC955B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CC0F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C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C0F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CC0F3F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5C69B2"/>
    <w:rPr>
      <w:rFonts w:ascii="Calibri" w:eastAsia="Calibri" w:hAnsi="Calibri" w:cs="Times New Roman"/>
      <w:lang w:val="ru-RU"/>
    </w:rPr>
  </w:style>
  <w:style w:type="character" w:customStyle="1" w:styleId="mechtexChar">
    <w:name w:val="mechtex Char"/>
    <w:link w:val="mechtex"/>
    <w:locked/>
    <w:rsid w:val="0053527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53527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Karapetyan</dc:creator>
  <cp:keywords>https://mul2-mineconomy.gov.am/tasks/384218/oneclick/himnavorum-138 popoxutyun.docx?token=9ecd676f11d29dd3b8ccffa4c23dd739</cp:keywords>
  <dc:description/>
  <cp:lastModifiedBy>Melanya Z. Karapetyan</cp:lastModifiedBy>
  <cp:revision>128</cp:revision>
  <cp:lastPrinted>2022-10-06T10:38:00Z</cp:lastPrinted>
  <dcterms:created xsi:type="dcterms:W3CDTF">2021-11-04T11:32:00Z</dcterms:created>
  <dcterms:modified xsi:type="dcterms:W3CDTF">2022-10-06T14:52:00Z</dcterms:modified>
</cp:coreProperties>
</file>