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E2" w:rsidRDefault="003074E2" w:rsidP="003074E2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3074E2" w:rsidRDefault="003074E2" w:rsidP="003074E2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="00FF4A2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bookmarkStart w:id="0" w:name="_GoBack"/>
      <w:bookmarkEnd w:id="0"/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ԱՍԻԱԿԱՆ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ԶԱՐԳԱՑՄԱՆ ԲԱՆԿԻ ՄԻՋԵՎ «</w:t>
      </w:r>
      <w:r w:rsidRPr="003074E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ՀԱՐԿԱԲՅՈՒՋԵՏԱՅԻՆ ԿԱՅՈՒՆՈՒԹՅԱՆ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ԵՎ</w:t>
      </w:r>
      <w:r w:rsidRPr="003074E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ՖԻՆԱՆՍԱԿԱՆ ՇՈՒԿԱՆԵՐԻ ԶԱՐԳԱՑՄԱՆ ԾՐԱԳԻՐ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» ՎԱՐԿԱՅԻՆ ՀԱՄԱՁԱՅՆԱԳՐԻ ՍՏՈՐԱԳՐՄԱՆ ԱՌԱՋԱՐԿՈՒԹՅԱՆԸ ՀԱՎԱՆՈՒԹՅՈՒՆ ՏԱԼՈՒ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7A2300" w:rsidRPr="00104826" w:rsidRDefault="007A2300" w:rsidP="007A2300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A2300" w:rsidRPr="00104826" w:rsidRDefault="007A2300" w:rsidP="008C7E8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4826">
        <w:rPr>
          <w:rFonts w:ascii="GHEA Grapalat" w:hAnsi="GHEA Grapalat"/>
          <w:sz w:val="24"/>
          <w:szCs w:val="24"/>
          <w:lang w:val="hy-AM"/>
        </w:rPr>
        <w:t xml:space="preserve">Ներկայում Հայաստանի Հանրապետության </w:t>
      </w:r>
      <w:r w:rsidR="00285F25">
        <w:rPr>
          <w:rFonts w:ascii="GHEA Grapalat" w:hAnsi="GHEA Grapalat"/>
          <w:sz w:val="24"/>
          <w:szCs w:val="24"/>
          <w:lang w:val="hy-AM"/>
        </w:rPr>
        <w:t>և</w:t>
      </w:r>
      <w:r w:rsidRPr="00104826">
        <w:rPr>
          <w:rFonts w:ascii="GHEA Grapalat" w:hAnsi="GHEA Grapalat"/>
          <w:sz w:val="24"/>
          <w:szCs w:val="24"/>
          <w:lang w:val="hy-AM"/>
        </w:rPr>
        <w:t xml:space="preserve"> Ասիական զարգացման բանկի միջև նախատեսվում է ստորագրել «Հարկաբյուջետային կայունության և ֆինանսական շուկաների զարգացման ծրագիր» </w:t>
      </w:r>
      <w:r w:rsidR="008C7E82" w:rsidRPr="00104826">
        <w:rPr>
          <w:rFonts w:ascii="GHEA Grapalat" w:hAnsi="GHEA Grapalat"/>
          <w:sz w:val="24"/>
          <w:szCs w:val="24"/>
          <w:lang w:val="hy-AM"/>
        </w:rPr>
        <w:t xml:space="preserve">(այսուհետ՝ Ծրագիր) </w:t>
      </w:r>
      <w:r w:rsidRPr="00104826">
        <w:rPr>
          <w:rFonts w:ascii="GHEA Grapalat" w:hAnsi="GHEA Grapalat"/>
          <w:sz w:val="24"/>
          <w:szCs w:val="24"/>
          <w:lang w:val="hy-AM"/>
        </w:rPr>
        <w:t>բյուջետային աջակցության վարկային համաձայնագիրը</w:t>
      </w:r>
      <w:r w:rsidR="001E781E" w:rsidRPr="00104826">
        <w:rPr>
          <w:rFonts w:ascii="GHEA Grapalat" w:hAnsi="GHEA Grapalat"/>
          <w:sz w:val="24"/>
          <w:szCs w:val="24"/>
          <w:lang w:val="hy-AM"/>
        </w:rPr>
        <w:t>՝ 100 մլն ԱՄՆ դոլար արժողությամբ</w:t>
      </w:r>
      <w:r w:rsidRPr="00104826">
        <w:rPr>
          <w:rFonts w:ascii="GHEA Grapalat" w:hAnsi="GHEA Grapalat"/>
          <w:sz w:val="24"/>
          <w:szCs w:val="24"/>
          <w:lang w:val="hy-AM"/>
        </w:rPr>
        <w:t>:</w:t>
      </w:r>
      <w:r w:rsidR="004E7A35" w:rsidRPr="0010482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04826" w:rsidRPr="00104826" w:rsidRDefault="00104826" w:rsidP="0010482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4826">
        <w:rPr>
          <w:rFonts w:ascii="GHEA Grapalat" w:hAnsi="GHEA Grapalat"/>
          <w:sz w:val="24"/>
          <w:szCs w:val="24"/>
          <w:lang w:val="hy-AM"/>
        </w:rPr>
        <w:tab/>
        <w:t xml:space="preserve">Բյուջետային աջակցության միջոցներն ուղղվելու են «Հայաստանի Հանրապետության 2022 թվականի պետական բյուջեի մասին» ՀՀ օրենքով սահմանված պակասուրդի ֆինանսավորմանը, </w:t>
      </w:r>
      <w:r w:rsidR="00285F25">
        <w:rPr>
          <w:rFonts w:ascii="GHEA Grapalat" w:hAnsi="GHEA Grapalat"/>
          <w:sz w:val="24"/>
          <w:szCs w:val="24"/>
          <w:lang w:val="hy-AM"/>
        </w:rPr>
        <w:t>հետևաբար</w:t>
      </w:r>
      <w:r w:rsidRPr="00104826">
        <w:rPr>
          <w:rFonts w:ascii="GHEA Grapalat" w:hAnsi="GHEA Grapalat"/>
          <w:sz w:val="24"/>
          <w:szCs w:val="24"/>
          <w:lang w:val="hy-AM"/>
        </w:rPr>
        <w:t xml:space="preserve">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104826" w:rsidRPr="00104826" w:rsidRDefault="00104826" w:rsidP="0010482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4826">
        <w:rPr>
          <w:rFonts w:ascii="GHEA Grapalat" w:hAnsi="GHEA Grapalat"/>
          <w:sz w:val="24"/>
          <w:szCs w:val="24"/>
          <w:lang w:val="hy-AM"/>
        </w:rPr>
        <w:tab/>
        <w:t xml:space="preserve">Բյուջետային աջակցության միջոցների ստացման համար նախապայման </w:t>
      </w:r>
      <w:r w:rsidR="00285F25">
        <w:rPr>
          <w:rFonts w:ascii="GHEA Grapalat" w:hAnsi="GHEA Grapalat"/>
          <w:sz w:val="24"/>
          <w:szCs w:val="24"/>
          <w:lang w:val="hy-AM"/>
        </w:rPr>
        <w:t>է</w:t>
      </w:r>
      <w:r w:rsidRPr="00104826">
        <w:rPr>
          <w:rFonts w:ascii="GHEA Grapalat" w:hAnsi="GHEA Grapalat"/>
          <w:sz w:val="24"/>
          <w:szCs w:val="24"/>
          <w:lang w:val="hy-AM"/>
        </w:rPr>
        <w:t xml:space="preserve"> հանդիսանում երկկողմ փոխհամաձայնեցված քաղաքականության գործողությունների աղյուսակով սահմանված՝ մի շարք ոլորտներում միջոցառումների և բարեփոխումների իրականացումը: Ծրագրի շրջանակը, մասնավորապես, ներառում է.</w:t>
      </w:r>
    </w:p>
    <w:p w:rsidR="00104826" w:rsidRPr="00104826" w:rsidRDefault="00104826" w:rsidP="0010482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</w:rPr>
      </w:pPr>
      <w:r w:rsidRPr="00104826">
        <w:rPr>
          <w:rFonts w:ascii="GHEA Grapalat" w:hAnsi="GHEA Grapalat" w:cstheme="minorHAnsi"/>
          <w:color w:val="000000" w:themeColor="text1"/>
          <w:sz w:val="24"/>
          <w:szCs w:val="24"/>
        </w:rPr>
        <w:t>հարկաբյուջետային պլանավորման</w:t>
      </w:r>
      <w:r w:rsidR="00285F25">
        <w:rPr>
          <w:rFonts w:ascii="GHEA Grapalat" w:hAnsi="GHEA Grapalat" w:cstheme="minorHAnsi"/>
          <w:color w:val="000000" w:themeColor="text1"/>
          <w:sz w:val="24"/>
          <w:szCs w:val="24"/>
        </w:rPr>
        <w:t xml:space="preserve">, </w:t>
      </w:r>
      <w:r w:rsidRPr="00104826">
        <w:rPr>
          <w:rFonts w:ascii="GHEA Grapalat" w:hAnsi="GHEA Grapalat" w:cstheme="minorHAnsi"/>
          <w:color w:val="000000" w:themeColor="text1"/>
          <w:sz w:val="24"/>
          <w:szCs w:val="24"/>
        </w:rPr>
        <w:t>թափանցիկության,</w:t>
      </w:r>
      <w:r w:rsidR="00285F25"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ռիսկերի կառավարման,</w:t>
      </w:r>
      <w:r w:rsidRPr="00104826"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ինչպես նաև պետական ծախսերի արդյունավետության բարձրացում</w:t>
      </w:r>
      <w:r w:rsidR="00285F25">
        <w:rPr>
          <w:rFonts w:ascii="GHEA Grapalat" w:hAnsi="GHEA Grapalat" w:cstheme="minorHAnsi"/>
          <w:color w:val="000000" w:themeColor="text1"/>
          <w:sz w:val="24"/>
          <w:szCs w:val="24"/>
        </w:rPr>
        <w:t>ը</w:t>
      </w:r>
      <w:r w:rsidRPr="00104826">
        <w:rPr>
          <w:rFonts w:ascii="GHEA Grapalat" w:hAnsi="GHEA Grapalat" w:cstheme="minorHAnsi"/>
          <w:color w:val="000000" w:themeColor="text1"/>
          <w:sz w:val="24"/>
          <w:szCs w:val="24"/>
        </w:rPr>
        <w:t>,</w:t>
      </w:r>
    </w:p>
    <w:p w:rsidR="00104826" w:rsidRPr="00104826" w:rsidRDefault="00104826" w:rsidP="0010482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04826">
        <w:rPr>
          <w:rFonts w:ascii="GHEA Grapalat" w:hAnsi="GHEA Grapalat" w:cstheme="minorHAnsi"/>
          <w:color w:val="000000" w:themeColor="text1"/>
          <w:sz w:val="24"/>
          <w:szCs w:val="24"/>
        </w:rPr>
        <w:t>պետական ներդրումների, այդ թվում՝ պետություն-մասնավոր գործընկերության համակարգի բարեփոխումներ</w:t>
      </w:r>
      <w:r w:rsidR="00285F25">
        <w:rPr>
          <w:rFonts w:ascii="GHEA Grapalat" w:hAnsi="GHEA Grapalat" w:cstheme="minorHAnsi"/>
          <w:color w:val="000000" w:themeColor="text1"/>
          <w:sz w:val="24"/>
          <w:szCs w:val="24"/>
        </w:rPr>
        <w:t>ը</w:t>
      </w:r>
      <w:r w:rsidRPr="00104826">
        <w:rPr>
          <w:rFonts w:ascii="GHEA Grapalat" w:hAnsi="GHEA Grapalat" w:cstheme="minorHAnsi"/>
          <w:color w:val="000000" w:themeColor="text1"/>
          <w:sz w:val="24"/>
          <w:szCs w:val="24"/>
        </w:rPr>
        <w:t>,</w:t>
      </w:r>
    </w:p>
    <w:p w:rsidR="00104826" w:rsidRPr="00104826" w:rsidRDefault="00104826" w:rsidP="0010482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theme="minorHAnsi"/>
          <w:color w:val="000000" w:themeColor="text1"/>
          <w:sz w:val="24"/>
          <w:szCs w:val="24"/>
        </w:rPr>
        <w:t>պետական գնումների համակարգի արդիականացում</w:t>
      </w:r>
      <w:r w:rsidR="00285F25">
        <w:rPr>
          <w:rFonts w:ascii="GHEA Grapalat" w:hAnsi="GHEA Grapalat" w:cstheme="minorHAnsi"/>
          <w:color w:val="000000" w:themeColor="text1"/>
          <w:sz w:val="24"/>
          <w:szCs w:val="24"/>
        </w:rPr>
        <w:t>ը</w:t>
      </w:r>
      <w:r>
        <w:rPr>
          <w:rFonts w:ascii="GHEA Grapalat" w:hAnsi="GHEA Grapalat" w:cstheme="minorHAnsi"/>
          <w:color w:val="000000" w:themeColor="text1"/>
          <w:sz w:val="24"/>
          <w:szCs w:val="24"/>
        </w:rPr>
        <w:t>,</w:t>
      </w:r>
    </w:p>
    <w:p w:rsidR="00104826" w:rsidRPr="00285F25" w:rsidRDefault="00104826" w:rsidP="0010482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կանաչ տնտեսության </w:t>
      </w:r>
      <w:r w:rsidR="00285F25">
        <w:rPr>
          <w:rFonts w:ascii="GHEA Grapalat" w:hAnsi="GHEA Grapalat" w:cstheme="minorHAnsi"/>
          <w:color w:val="000000" w:themeColor="text1"/>
          <w:sz w:val="24"/>
          <w:szCs w:val="24"/>
        </w:rPr>
        <w:t>քաղաքականության մշակումը, կլիմայի փոփոխության հարմարվողականության բարձրացումն ու կանաչ ֆինանսական գործիքների կիրառության ընդլայնումը,</w:t>
      </w:r>
    </w:p>
    <w:p w:rsidR="00285F25" w:rsidRPr="00285F25" w:rsidRDefault="00285F25" w:rsidP="0010482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theme="minorHAnsi"/>
          <w:color w:val="000000" w:themeColor="text1"/>
          <w:sz w:val="24"/>
          <w:szCs w:val="24"/>
        </w:rPr>
        <w:t>կառավարության պարտքի կառավարման համակարգի բարելավումը,</w:t>
      </w:r>
    </w:p>
    <w:p w:rsidR="00285F25" w:rsidRPr="00285F25" w:rsidRDefault="00285F25" w:rsidP="0010482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theme="minorHAnsi"/>
          <w:color w:val="000000" w:themeColor="text1"/>
          <w:sz w:val="24"/>
          <w:szCs w:val="24"/>
        </w:rPr>
        <w:t>ֆինանսական և կապիտալի շուկաների զարգացումը,</w:t>
      </w:r>
    </w:p>
    <w:p w:rsidR="00285F25" w:rsidRPr="00285F25" w:rsidRDefault="00285F25" w:rsidP="00285F2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theme="minorHAnsi"/>
          <w:color w:val="000000" w:themeColor="text1"/>
          <w:sz w:val="24"/>
          <w:szCs w:val="24"/>
        </w:rPr>
        <w:lastRenderedPageBreak/>
        <w:t>կորպորատիվ թափանցիկության ընդլայնում</w:t>
      </w:r>
      <w:r w:rsidR="00B40C59">
        <w:rPr>
          <w:rFonts w:ascii="GHEA Grapalat" w:hAnsi="GHEA Grapalat" w:cstheme="minorHAnsi"/>
          <w:color w:val="000000" w:themeColor="text1"/>
          <w:sz w:val="24"/>
          <w:szCs w:val="24"/>
        </w:rPr>
        <w:t>ը</w:t>
      </w:r>
      <w:r>
        <w:rPr>
          <w:rFonts w:ascii="GHEA Grapalat" w:hAnsi="GHEA Grapalat" w:cstheme="minorHAnsi"/>
          <w:color w:val="000000" w:themeColor="text1"/>
          <w:sz w:val="24"/>
          <w:szCs w:val="24"/>
        </w:rPr>
        <w:t xml:space="preserve"> հաշվապահական հաշվառման և առուդիորական գործունեության կարգավորման իրավական շրջանակի վերանայմամբ:</w:t>
      </w:r>
    </w:p>
    <w:p w:rsidR="00104826" w:rsidRDefault="00104826" w:rsidP="0010482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4826">
        <w:rPr>
          <w:rFonts w:ascii="GHEA Grapalat" w:hAnsi="GHEA Grapalat"/>
          <w:sz w:val="24"/>
          <w:szCs w:val="24"/>
          <w:lang w:val="hy-AM"/>
        </w:rPr>
        <w:t xml:space="preserve">Ելնելով վերոգրյալից՝ Հայաստանի Հանրապետության </w:t>
      </w:r>
      <w:r w:rsidR="00285F25">
        <w:rPr>
          <w:rFonts w:ascii="GHEA Grapalat" w:hAnsi="GHEA Grapalat"/>
          <w:sz w:val="24"/>
          <w:szCs w:val="24"/>
          <w:lang w:val="hy-AM"/>
        </w:rPr>
        <w:t>և</w:t>
      </w:r>
      <w:r w:rsidRPr="00104826">
        <w:rPr>
          <w:rFonts w:ascii="GHEA Grapalat" w:hAnsi="GHEA Grapalat"/>
          <w:sz w:val="24"/>
          <w:szCs w:val="24"/>
          <w:lang w:val="hy-AM"/>
        </w:rPr>
        <w:t xml:space="preserve"> Ասիական զարգացման բանկի միջև </w:t>
      </w:r>
      <w:r w:rsidR="00285F25" w:rsidRPr="00104826">
        <w:rPr>
          <w:rFonts w:ascii="GHEA Grapalat" w:hAnsi="GHEA Grapalat"/>
          <w:sz w:val="24"/>
          <w:szCs w:val="24"/>
          <w:lang w:val="hy-AM"/>
        </w:rPr>
        <w:t>«Հարկաբյուջետային կայունության և ֆինանսական շուկաների զարգացման ծրագիր»</w:t>
      </w:r>
      <w:r w:rsidRPr="00104826">
        <w:rPr>
          <w:rFonts w:ascii="GHEA Grapalat" w:hAnsi="GHEA Grapalat"/>
          <w:sz w:val="24"/>
          <w:szCs w:val="24"/>
          <w:lang w:val="hy-AM"/>
        </w:rPr>
        <w:t xml:space="preserve"> վարկային համաձայնագրի նախագծի ստորագրումը համարում ենք նպատակահարմար:</w:t>
      </w:r>
    </w:p>
    <w:p w:rsidR="003074E2" w:rsidRPr="00104826" w:rsidRDefault="003074E2" w:rsidP="0010482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074E2">
        <w:rPr>
          <w:rFonts w:ascii="GHEA Grapalat" w:hAnsi="GHEA Grapalat"/>
          <w:sz w:val="24"/>
          <w:szCs w:val="24"/>
          <w:lang w:val="hy-AM"/>
        </w:rPr>
        <w:t>Հայաստանի Հանրապետության և Ասիական զարգացման բանկի միջև «Հարկաբյուջետային կայունության և ֆինանսական շուկաների զարգացման ծրագիր» վարկային համաձայնագրի նախագիծը Հայաստանի Հանրապետության պետական բյուջեի համար առաջացնում է լրացուցիչ ֆինանսական պարտավորություններ:</w:t>
      </w:r>
    </w:p>
    <w:p w:rsidR="007A2300" w:rsidRPr="00104826" w:rsidRDefault="007A2300" w:rsidP="008C7E8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C7E82" w:rsidRPr="00104826" w:rsidRDefault="008C7E8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8C7E82" w:rsidRPr="00104826" w:rsidSect="007A2300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14B17"/>
    <w:multiLevelType w:val="hybridMultilevel"/>
    <w:tmpl w:val="377CDA86"/>
    <w:lvl w:ilvl="0" w:tplc="E00EFAA8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77A43"/>
    <w:multiLevelType w:val="hybridMultilevel"/>
    <w:tmpl w:val="B80E8E30"/>
    <w:lvl w:ilvl="0" w:tplc="47920012">
      <w:start w:val="1"/>
      <w:numFmt w:val="lowerRoman"/>
      <w:lvlText w:val="(%1)"/>
      <w:lvlJc w:val="left"/>
      <w:pPr>
        <w:ind w:left="360" w:firstLine="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51196"/>
    <w:multiLevelType w:val="hybridMultilevel"/>
    <w:tmpl w:val="32400DD6"/>
    <w:lvl w:ilvl="0" w:tplc="916C7BE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C2750"/>
    <w:multiLevelType w:val="hybridMultilevel"/>
    <w:tmpl w:val="0FFECF6A"/>
    <w:lvl w:ilvl="0" w:tplc="C0B6BE4E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D9D"/>
    <w:rsid w:val="00104826"/>
    <w:rsid w:val="001E781E"/>
    <w:rsid w:val="00285F25"/>
    <w:rsid w:val="003074E2"/>
    <w:rsid w:val="004E7A35"/>
    <w:rsid w:val="007A2300"/>
    <w:rsid w:val="008C7E82"/>
    <w:rsid w:val="00B21522"/>
    <w:rsid w:val="00B40C59"/>
    <w:rsid w:val="00BE5D9D"/>
    <w:rsid w:val="00D06667"/>
    <w:rsid w:val="00D85957"/>
    <w:rsid w:val="00FF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5A99A"/>
  <w15:chartTrackingRefBased/>
  <w15:docId w15:val="{682E3B95-44D9-418E-B119-C2B83087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4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4826"/>
    <w:pPr>
      <w:ind w:left="720"/>
      <w:contextualSpacing/>
    </w:pPr>
    <w:rPr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255</Words>
  <Characters>1971</Characters>
  <Application>Microsoft Office Word</Application>
  <DocSecurity>0</DocSecurity>
  <Lines>89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>https://mul2-minfin.gov.am/tasks/537558/oneclick/Himnavorum.docx?token=ed67811a846599d86e4c494279b37941</cp:keywords>
  <dc:description/>
  <cp:lastModifiedBy>Suren Minasyan</cp:lastModifiedBy>
  <cp:revision>10</cp:revision>
  <dcterms:created xsi:type="dcterms:W3CDTF">2022-09-22T10:23:00Z</dcterms:created>
  <dcterms:modified xsi:type="dcterms:W3CDTF">2022-10-14T10:42:00Z</dcterms:modified>
</cp:coreProperties>
</file>