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rmalWeb"/>
        <w:spacing w:before="0" w:beforeAutospacing="0" w:after="0" w:afterAutospacing="0"/>
        <w:ind w:firstLine="375"/>
        <w:jc w:val="right"/>
        <w:rPr>
          <w:rStyle w:val="Strong"/>
          <w:rFonts w:ascii="GHEA Grapalat" w:hAnsi="GHEA Grapalat" w:cs="Sylfaen"/>
          <w:u w:val="single"/>
          <w:lang w:val="hy-AM"/>
        </w:rPr>
      </w:pPr>
      <w:r>
        <w:rPr>
          <w:rStyle w:val="Strong"/>
          <w:rFonts w:ascii="GHEA Grapalat" w:hAnsi="GHEA Grapalat" w:cs="Sylfaen"/>
          <w:u w:val="single"/>
          <w:lang w:val="hy-AM"/>
        </w:rPr>
        <w:t>ՆԱԽԱԳԻԾ</w:t>
      </w:r>
    </w:p>
    <w:p>
      <w:pPr>
        <w:pStyle w:val="NormalWeb"/>
        <w:spacing w:before="0" w:beforeAutospacing="0" w:after="0" w:afterAutospacing="0"/>
        <w:ind w:firstLine="375"/>
        <w:jc w:val="right"/>
        <w:rPr>
          <w:rStyle w:val="Strong"/>
          <w:rFonts w:ascii="GHEA Grapalat" w:hAnsi="GHEA Grapalat" w:cs="Sylfaen"/>
          <w:u w:val="single"/>
          <w:lang w:val="hy-AM"/>
        </w:rPr>
      </w:pPr>
    </w:p>
    <w:p>
      <w:pPr>
        <w:pStyle w:val="NormalWeb"/>
        <w:spacing w:before="0" w:beforeAutospacing="0" w:after="0" w:afterAutospacing="0"/>
        <w:ind w:firstLine="375"/>
        <w:jc w:val="center"/>
        <w:rPr>
          <w:rStyle w:val="Strong"/>
          <w:rFonts w:ascii="GHEA Grapalat" w:hAnsi="GHEA Grapalat" w:cs="Sylfaen"/>
          <w:lang w:val="hy-AM"/>
        </w:rPr>
      </w:pPr>
    </w:p>
    <w:p>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22</w:t>
      </w:r>
      <w:bookmarkStart w:id="0" w:name="_GoBack"/>
      <w:bookmarkEnd w:id="0"/>
      <w:r>
        <w:rPr>
          <w:rFonts w:ascii="GHEA Grapalat" w:hAnsi="GHEA Grapalat"/>
          <w:b/>
          <w:lang w:val="hy-AM"/>
        </w:rPr>
        <w:t xml:space="preserve"> </w:t>
      </w:r>
      <w:proofErr w:type="spellStart"/>
      <w:r>
        <w:rPr>
          <w:rFonts w:ascii="GHEA Grapalat" w:hAnsi="GHEA Grapalat" w:cs="Sylfaen"/>
          <w:b/>
        </w:rPr>
        <w:t>թվականի</w:t>
      </w:r>
      <w:proofErr w:type="spellEnd"/>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pPr>
        <w:pStyle w:val="NormalWeb"/>
        <w:spacing w:before="0" w:beforeAutospacing="0" w:after="0" w:afterAutospacing="0"/>
        <w:ind w:firstLine="375"/>
        <w:jc w:val="center"/>
        <w:rPr>
          <w:rStyle w:val="Strong"/>
          <w:rFonts w:ascii="GHEA Grapalat" w:hAnsi="GHEA Grapalat" w:cs="Sylfaen"/>
          <w:lang w:val="hy-AM"/>
        </w:rPr>
      </w:pPr>
    </w:p>
    <w:p>
      <w:pPr>
        <w:pStyle w:val="NormalWeb"/>
        <w:spacing w:before="0" w:beforeAutospacing="0" w:after="0" w:afterAutospacing="0"/>
        <w:ind w:firstLine="375"/>
        <w:jc w:val="center"/>
        <w:rPr>
          <w:rStyle w:val="Strong"/>
          <w:rFonts w:ascii="GHEA Grapalat" w:hAnsi="GHEA Grapalat" w:cs="Sylfaen"/>
          <w:lang w:val="hy-AM"/>
        </w:rPr>
      </w:pPr>
    </w:p>
    <w:p>
      <w:pPr>
        <w:pStyle w:val="NormalWeb"/>
        <w:spacing w:before="0" w:beforeAutospacing="0" w:after="0" w:afterAutospacing="0"/>
        <w:ind w:firstLine="375"/>
        <w:jc w:val="center"/>
        <w:rPr>
          <w:rStyle w:val="Strong"/>
          <w:rFonts w:ascii="GHEA Grapalat" w:hAnsi="GHEA Grapalat" w:cs="Sylfaen"/>
          <w:lang w:val="hy-AM"/>
        </w:rPr>
      </w:pPr>
    </w:p>
    <w:p>
      <w:pPr>
        <w:tabs>
          <w:tab w:val="left" w:pos="0"/>
        </w:tabs>
        <w:spacing w:line="360" w:lineRule="auto"/>
        <w:ind w:firstLine="720"/>
        <w:contextualSpacing/>
        <w:jc w:val="center"/>
        <w:rPr>
          <w:rFonts w:ascii="GHEA Grapalat" w:hAnsi="GHEA Grapalat"/>
          <w:b/>
          <w:lang w:val="hy-AM"/>
        </w:rPr>
      </w:pPr>
      <w:r>
        <w:rPr>
          <w:rFonts w:ascii="GHEA Grapalat" w:hAnsi="GHEA Grapalat"/>
          <w:b/>
          <w:lang w:val="hy-AM"/>
        </w:rPr>
        <w:t>ՀԱՅԱՍՏԱՆԻ ՀԱՆՐԱՊԵՏՈՒԹՅԱՆ ԿԱՌԱՎԱՐՈՒԹՅԱՆ 2010 ԹՎԱԿԱՆԻ ԴԵԿՏԵՄԲԵՐԻ 30-Ի N 1734-Ն ԵՎ 2013 ԹՎԱԿԱՆԻ ԴԵԿՏԵՄԲԵՐԻ 26-Ի N 1489-Ն ՈՐՈՇՈՒՄՆԵՐԻ ՄԵՋ ՓՈՓՈԽՈՒԹՅՈՒՆՆԵՐ ԿԱՏԱՐԵԼՈՒ ՄԱՍԻՆ</w:t>
      </w:r>
    </w:p>
    <w:p>
      <w:pPr>
        <w:pStyle w:val="NormalWeb"/>
        <w:spacing w:before="0" w:beforeAutospacing="0" w:after="0" w:afterAutospacing="0" w:line="360" w:lineRule="auto"/>
        <w:ind w:firstLine="375"/>
        <w:jc w:val="center"/>
        <w:rPr>
          <w:rStyle w:val="Strong"/>
          <w:rFonts w:ascii="GHEA Grapalat" w:hAnsi="GHEA Grapalat" w:cs="Sylfaen"/>
          <w:lang w:val="hy-AM"/>
        </w:rPr>
      </w:pPr>
      <w:r>
        <w:rPr>
          <w:rStyle w:val="Strong"/>
          <w:rFonts w:ascii="GHEA Grapalat" w:hAnsi="GHEA Grapalat" w:cs="Sylfaen"/>
          <w:lang w:val="hy-AM"/>
        </w:rPr>
        <w:t xml:space="preserve"> </w:t>
      </w:r>
    </w:p>
    <w:p>
      <w:pPr>
        <w:spacing w:line="360" w:lineRule="auto"/>
        <w:ind w:firstLine="720"/>
        <w:jc w:val="both"/>
        <w:rPr>
          <w:rFonts w:ascii="GHEA Grapalat" w:hAnsi="GHEA Grapalat"/>
          <w:lang w:val="hy-AM"/>
        </w:rPr>
      </w:pPr>
      <w:r>
        <w:rPr>
          <w:rFonts w:ascii="GHEA Grapalat" w:hAnsi="GHEA Grapalat"/>
          <w:lang w:val="hy-AM"/>
        </w:rPr>
        <w:t>Համաձայն «</w:t>
      </w:r>
      <w:r>
        <w:rPr>
          <w:rFonts w:ascii="GHEA Grapalat" w:hAnsi="GHEA Grapalat"/>
          <w:color w:val="000000"/>
          <w:lang w:val="hy-AM"/>
        </w:rPr>
        <w:t>Նորմատիվ իրավական ակտերի մասին» օրենքի 33-րդ, 34-րդ հոդվածների և հիմք ընդունելով «Պետական կենսաթոշակների մասին» օրենքի 15-րդ հոդվածի 6-րդ մասը, 16-րդ հոդվածի 1-ին, 19-րդ հոդվածի 2-րդ, 21-րդ հոդվածի 2-րդ,  23-րդ հոդվածի 2-րդ մասը, «Պետական նպաստների մասին» օրենքի 6-րդ հոդվածի 4-րդ մասը`</w:t>
      </w:r>
      <w:r>
        <w:rPr>
          <w:rFonts w:ascii="GHEA Grapalat" w:hAnsi="GHEA Grapalat"/>
          <w:lang w:val="hy-AM"/>
        </w:rPr>
        <w:t xml:space="preserve"> Հայաստանի Հանրապետության կառավարությունը որոշում է.</w:t>
      </w:r>
    </w:p>
    <w:p>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s="Sylfaen"/>
          <w:lang w:val="hy-AM"/>
        </w:rPr>
        <w:t xml:space="preserve">1. </w:t>
      </w:r>
      <w:r>
        <w:rPr>
          <w:rFonts w:ascii="GHEA Grapalat" w:hAnsi="GHEA Grapalat"/>
          <w:color w:val="000000"/>
          <w:lang w:val="hy-AM"/>
        </w:rPr>
        <w:t xml:space="preserve">Հայաստանի Հանրապետության կառավարության 2010 թվականի դեկտեմբերի 30-ի «Հիմնական կենսաթոշակի, նվազագույն կենսաթոշակի և թաղման նպաստի չափերը, ստաժի մեկ տարվա արժեքը, պարտադիր ժամկետային զինվորական ծառայության շարքային կազմի զինծառայողների հաշմանդամության և նրանց ընտանիքների անդամների կերակրողին կորցնելու դեպքում կենսաթոշակների չափերը սահմանելու մասին» N 1734-Ն որոշման 1-ին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կատարել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փոփոխությունները` </w:t>
      </w:r>
    </w:p>
    <w:p>
      <w:pPr>
        <w:pStyle w:val="NormalWeb"/>
        <w:numPr>
          <w:ilvl w:val="0"/>
          <w:numId w:val="10"/>
        </w:numPr>
        <w:shd w:val="clear" w:color="auto" w:fill="FFFFFF"/>
        <w:tabs>
          <w:tab w:val="left" w:pos="72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1-ին ենթակետում «18000» թիվը փոխարինել «21000» թվով</w:t>
      </w:r>
      <w:r>
        <w:rPr>
          <w:rFonts w:ascii="Cambria Math" w:hAnsi="Cambria Math"/>
          <w:color w:val="000000"/>
          <w:lang w:val="hy-AM"/>
        </w:rPr>
        <w:t>․</w:t>
      </w:r>
    </w:p>
    <w:p>
      <w:pPr>
        <w:pStyle w:val="NormalWeb"/>
        <w:numPr>
          <w:ilvl w:val="0"/>
          <w:numId w:val="10"/>
        </w:numPr>
        <w:shd w:val="clear" w:color="auto" w:fill="FFFFFF"/>
        <w:tabs>
          <w:tab w:val="left" w:pos="72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2-րդ ենթակետում «18000» թիվը փոխարինել «20000» թվով․</w:t>
      </w:r>
    </w:p>
    <w:p>
      <w:pPr>
        <w:pStyle w:val="NormalWeb"/>
        <w:numPr>
          <w:ilvl w:val="0"/>
          <w:numId w:val="10"/>
        </w:numPr>
        <w:shd w:val="clear" w:color="auto" w:fill="FFFFFF"/>
        <w:tabs>
          <w:tab w:val="left" w:pos="72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5-րդ ենթակետի «ա» պարբերությունում «43000» թիվը փոխարինել «45000» թվով,  «բ»  պարբերությունում «33000» թիվը փոխարինել «35000» թվով, «գ»  պարբերությունում «30000» թիվը փոխարինել «32000» թվով․</w:t>
      </w:r>
    </w:p>
    <w:p>
      <w:pPr>
        <w:pStyle w:val="NormalWeb"/>
        <w:numPr>
          <w:ilvl w:val="0"/>
          <w:numId w:val="10"/>
        </w:numPr>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6-րդ ենթակետում «30000» թիվը փոխարինել «32000» թվով․</w:t>
      </w:r>
    </w:p>
    <w:p>
      <w:pPr>
        <w:pStyle w:val="ListParagraph"/>
        <w:numPr>
          <w:ilvl w:val="0"/>
          <w:numId w:val="10"/>
        </w:numPr>
        <w:spacing w:line="360" w:lineRule="auto"/>
        <w:rPr>
          <w:rFonts w:ascii="GHEA Grapalat" w:hAnsi="GHEA Grapalat"/>
          <w:color w:val="000000"/>
          <w:lang w:val="hy-AM"/>
        </w:rPr>
      </w:pPr>
      <w:r>
        <w:rPr>
          <w:rFonts w:ascii="GHEA Grapalat" w:hAnsi="GHEA Grapalat"/>
          <w:color w:val="000000"/>
          <w:lang w:val="hy-AM"/>
        </w:rPr>
        <w:lastRenderedPageBreak/>
        <w:t>7-րդ և 8-րդ ենթակետերում «28600» թիվը փոխարինել «30500» թվով։</w:t>
      </w: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lang w:val="hy-AM"/>
        </w:rPr>
        <w:t xml:space="preserve">          2. </w:t>
      </w:r>
      <w:r>
        <w:rPr>
          <w:rFonts w:ascii="GHEA Grapalat" w:hAnsi="GHEA Grapalat"/>
          <w:color w:val="000000"/>
          <w:lang w:val="hy-AM"/>
        </w:rPr>
        <w:t xml:space="preserve">Հայաստանի Հանրապետության կառավարության </w:t>
      </w:r>
      <w:r>
        <w:rPr>
          <w:rFonts w:ascii="GHEA Grapalat" w:hAnsi="GHEA Grapalat"/>
          <w:lang w:val="hy-AM"/>
        </w:rPr>
        <w:t>2013 թվականի դեկտեմբերի 26-</w:t>
      </w:r>
      <w:r>
        <w:rPr>
          <w:rFonts w:ascii="GHEA Grapalat" w:hAnsi="GHEA Grapalat"/>
          <w:color w:val="000000"/>
          <w:lang w:val="hy-AM"/>
        </w:rPr>
        <w:t>ի «Ծ</w:t>
      </w:r>
      <w:r>
        <w:rPr>
          <w:rFonts w:ascii="GHEA Grapalat" w:hAnsi="GHEA Grapalat"/>
          <w:bCs/>
          <w:lang w:val="hy-AM"/>
        </w:rPr>
        <w:t>երության, հաշմանդամության, կերակրողին կորցնելու դեպքում</w:t>
      </w:r>
      <w:r>
        <w:rPr>
          <w:rFonts w:ascii="Calibri" w:hAnsi="Calibri" w:cs="Calibri"/>
          <w:bCs/>
          <w:lang w:val="hy-AM"/>
        </w:rPr>
        <w:t> </w:t>
      </w:r>
      <w:r>
        <w:rPr>
          <w:rFonts w:ascii="GHEA Grapalat" w:hAnsi="GHEA Grapalat"/>
          <w:bCs/>
          <w:lang w:val="hy-AM"/>
        </w:rPr>
        <w:t>նպաստների և թաղման նպաստի չափերը սահմանելու մասին</w:t>
      </w:r>
      <w:r>
        <w:rPr>
          <w:rFonts w:ascii="GHEA Grapalat" w:hAnsi="GHEA Grapalat"/>
          <w:color w:val="000000"/>
          <w:lang w:val="hy-AM"/>
        </w:rPr>
        <w:t xml:space="preserve">» N 1489-Ն որոշման 1-ին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կատարել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փոփոխությունները` </w:t>
      </w:r>
    </w:p>
    <w:p>
      <w:pPr>
        <w:pStyle w:val="NormalWeb"/>
        <w:shd w:val="clear" w:color="auto" w:fill="FFFFFF"/>
        <w:tabs>
          <w:tab w:val="left" w:pos="1080"/>
        </w:tabs>
        <w:spacing w:before="0" w:beforeAutospacing="0" w:after="0" w:afterAutospacing="0" w:line="360" w:lineRule="auto"/>
        <w:jc w:val="both"/>
        <w:rPr>
          <w:rFonts w:ascii="Cambria Math" w:hAnsi="Cambria Math"/>
          <w:color w:val="000000"/>
          <w:lang w:val="hy-AM"/>
        </w:rPr>
      </w:pPr>
      <w:r>
        <w:rPr>
          <w:rFonts w:ascii="GHEA Grapalat" w:hAnsi="GHEA Grapalat"/>
          <w:color w:val="000000"/>
          <w:lang w:val="hy-AM"/>
        </w:rPr>
        <w:t xml:space="preserve">           1) 1-ին, 2-րդ և 3-րդ ենթակետերում  «28600» թիվը փոխարինել «30500» թվով</w:t>
      </w:r>
      <w:r>
        <w:rPr>
          <w:rFonts w:ascii="Cambria Math" w:hAnsi="Cambria Math"/>
          <w:color w:val="000000"/>
          <w:lang w:val="hy-AM"/>
        </w:rPr>
        <w:t>․</w:t>
      </w:r>
    </w:p>
    <w:p>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2) 2-րդ ենթակետի «դ» պարբերությունում «37000» թիվը փոխարինել «39000» թվով։</w:t>
      </w:r>
    </w:p>
    <w:p>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r>
        <w:rPr>
          <w:rFonts w:ascii="GHEA Grapalat" w:hAnsi="GHEA Grapalat"/>
          <w:color w:val="000000"/>
          <w:lang w:val="hy-AM"/>
        </w:rPr>
        <w:t xml:space="preserve">         </w:t>
      </w:r>
      <w:r>
        <w:rPr>
          <w:rFonts w:ascii="GHEA Grapalat" w:hAnsi="GHEA Grapalat"/>
          <w:lang w:val="hy-AM"/>
        </w:rPr>
        <w:t>3. Սույն որոշումն ուժի մեջ է մտնում 2022 թվականի սեպտեմբերի 1-ից:</w:t>
      </w:r>
    </w:p>
    <w:sectPr>
      <w:headerReference w:type="first" r:id="rId8"/>
      <w:pgSz w:w="11906" w:h="16838" w:code="9"/>
      <w:pgMar w:top="893" w:right="836" w:bottom="117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01959"/>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D985174"/>
    <w:multiLevelType w:val="hybridMultilevel"/>
    <w:tmpl w:val="2C202228"/>
    <w:lvl w:ilvl="0" w:tplc="9202CD0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3B1438B"/>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3E223A"/>
    <w:multiLevelType w:val="hybridMultilevel"/>
    <w:tmpl w:val="E2845E36"/>
    <w:lvl w:ilvl="0" w:tplc="E9368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E7E1C"/>
    <w:multiLevelType w:val="hybridMultilevel"/>
    <w:tmpl w:val="B31E2E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9"/>
  </w:num>
  <w:num w:numId="8">
    <w:abstractNumId w:val="0"/>
  </w:num>
  <w:num w:numId="9">
    <w:abstractNumId w:val="4"/>
  </w:num>
  <w:num w:numId="10">
    <w:abstractNumId w:val="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6E824C4-9161-4D6E-863E-FADBC7BE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
    <w:basedOn w:val="Normal"/>
    <w:link w:val="ListParagraphChar"/>
    <w:uiPriority w:val="34"/>
    <w:qFormat/>
    <w:pPr>
      <w:ind w:left="720"/>
    </w:pPr>
  </w:style>
  <w:style w:type="character" w:customStyle="1" w:styleId="ListParagraphChar">
    <w:name w:val="List Paragraph Char"/>
    <w:aliases w:val="Akapit z listą BS Char,List Paragraph 1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paragraph" w:styleId="EndnoteText">
    <w:name w:val="endnote text"/>
    <w:basedOn w:val="Normal"/>
    <w:link w:val="EndnoteTextChar"/>
    <w:semiHidden/>
    <w:unhideWhenUsed/>
    <w:rPr>
      <w:sz w:val="20"/>
      <w:szCs w:val="20"/>
    </w:rPr>
  </w:style>
  <w:style w:type="character" w:customStyle="1" w:styleId="EndnoteTextChar">
    <w:name w:val="Endnote Text Char"/>
    <w:basedOn w:val="DefaultParagraphFont"/>
    <w:link w:val="EndnoteText"/>
    <w:semiHidden/>
    <w:rPr>
      <w:lang w:val="ru-RU" w:eastAsia="ru-RU"/>
    </w:rPr>
  </w:style>
  <w:style w:type="character" w:styleId="EndnoteReference">
    <w:name w:val="endnote reference"/>
    <w:basedOn w:val="DefaultParagraphFont"/>
    <w:semiHidden/>
    <w:unhideWhenUsed/>
    <w:rPr>
      <w:vertAlign w:val="superscript"/>
    </w:rPr>
  </w:style>
  <w:style w:type="paragraph" w:styleId="FootnoteText">
    <w:name w:val="footnote text"/>
    <w:basedOn w:val="Normal"/>
    <w:link w:val="FootnoteTextChar"/>
    <w:semiHidden/>
    <w:unhideWhenUsed/>
    <w:rPr>
      <w:sz w:val="20"/>
      <w:szCs w:val="20"/>
    </w:rPr>
  </w:style>
  <w:style w:type="character" w:customStyle="1" w:styleId="FootnoteTextChar">
    <w:name w:val="Footnote Text Char"/>
    <w:basedOn w:val="DefaultParagraphFont"/>
    <w:link w:val="FootnoteText"/>
    <w:semiHidden/>
    <w:rPr>
      <w:lang w:val="ru-RU" w:eastAsia="ru-RU"/>
    </w:rPr>
  </w:style>
  <w:style w:type="character" w:styleId="FootnoteReference">
    <w:name w:val="footnote reference"/>
    <w:basedOn w:val="DefaultParagraphFont"/>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958">
      <w:bodyDiv w:val="1"/>
      <w:marLeft w:val="0"/>
      <w:marRight w:val="0"/>
      <w:marTop w:val="0"/>
      <w:marBottom w:val="0"/>
      <w:divBdr>
        <w:top w:val="none" w:sz="0" w:space="0" w:color="auto"/>
        <w:left w:val="none" w:sz="0" w:space="0" w:color="auto"/>
        <w:bottom w:val="none" w:sz="0" w:space="0" w:color="auto"/>
        <w:right w:val="none" w:sz="0" w:space="0" w:color="auto"/>
      </w:divBdr>
      <w:divsChild>
        <w:div w:id="1141341216">
          <w:marLeft w:val="0"/>
          <w:marRight w:val="0"/>
          <w:marTop w:val="0"/>
          <w:marBottom w:val="0"/>
          <w:divBdr>
            <w:top w:val="none" w:sz="0" w:space="0" w:color="auto"/>
            <w:left w:val="none" w:sz="0" w:space="0" w:color="auto"/>
            <w:bottom w:val="none" w:sz="0" w:space="0" w:color="auto"/>
            <w:right w:val="none" w:sz="0" w:space="0" w:color="auto"/>
          </w:divBdr>
        </w:div>
      </w:divsChild>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550112146">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366869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89831316">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6588425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3031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CFED3-DD52-4D07-86BE-205F76D02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251</Words>
  <Characters>1699</Characters>
  <Application>Microsoft Office Word</Application>
  <DocSecurity>0</DocSecurity>
  <Lines>80</Lines>
  <Paragraphs>41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1909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https://mul2.gov.am/tasks/663124/oneclick/naxagic.docx?token=6e82871bd79c969c7ce1137afbcfa3db</cp:keywords>
  <cp:lastModifiedBy>Davit Khachatryan</cp:lastModifiedBy>
  <cp:revision>3</cp:revision>
  <cp:lastPrinted>2019-12-24T11:42:00Z</cp:lastPrinted>
  <dcterms:created xsi:type="dcterms:W3CDTF">2022-08-23T18:08:00Z</dcterms:created>
  <dcterms:modified xsi:type="dcterms:W3CDTF">2022-08-23T18:09:00Z</dcterms:modified>
</cp:coreProperties>
</file>