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7D" w:rsidRPr="00E829AA" w:rsidRDefault="0093327D" w:rsidP="00E63A87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bookmarkStart w:id="0" w:name="_GoBack"/>
      <w:bookmarkEnd w:id="0"/>
      <w:r w:rsidRPr="00E829AA">
        <w:rPr>
          <w:rFonts w:ascii="GHEA Grapalat" w:eastAsia="Calibri" w:hAnsi="GHEA Grapalat" w:cs="Sylfaen"/>
          <w:b/>
          <w:sz w:val="24"/>
          <w:szCs w:val="24"/>
          <w:lang w:val="de-DE"/>
        </w:rPr>
        <w:t>ԱՄՓՈՓԱԹԵՐԹ</w:t>
      </w:r>
    </w:p>
    <w:p w:rsidR="0093327D" w:rsidRPr="00E829AA" w:rsidRDefault="0093327D" w:rsidP="001A140C">
      <w:pPr>
        <w:tabs>
          <w:tab w:val="left" w:pos="270"/>
          <w:tab w:val="left" w:pos="9072"/>
        </w:tabs>
        <w:spacing w:after="0" w:line="360" w:lineRule="auto"/>
        <w:ind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E829A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«</w:t>
      </w:r>
      <w:r w:rsidRPr="00E829AA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>ԳՈՐԾԱԶՈ</w:t>
      </w:r>
      <w:r w:rsidRPr="00E829AA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Pr="00E829AA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>ՐԿ</w:t>
      </w:r>
      <w:r w:rsidRPr="00E829AA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ԱՆՁԱՆՑ </w:t>
      </w:r>
      <w:r w:rsidRPr="00E829AA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ԶԲԱՂՎԱԾՈ</w:t>
      </w:r>
      <w:r w:rsidRPr="00E829AA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Pr="00E829AA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ԹՅԱՆ ԱՊԱՀՈՎՄԱՆ </w:t>
      </w:r>
      <w:r w:rsidRPr="00E829AA">
        <w:rPr>
          <w:rFonts w:ascii="GHEA Grapalat" w:eastAsia="Tahoma" w:hAnsi="GHEA Grapalat" w:cs="Times New Roman"/>
          <w:b/>
          <w:sz w:val="24"/>
          <w:szCs w:val="24"/>
          <w:lang w:val="hy-AM" w:eastAsia="ru-RU"/>
        </w:rPr>
        <w:t>ՄԻՋՈՑԱՌՈ</w:t>
      </w:r>
      <w:r w:rsidRPr="00E829AA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Pr="00E829AA">
        <w:rPr>
          <w:rFonts w:ascii="GHEA Grapalat" w:eastAsia="Tahoma" w:hAnsi="GHEA Grapalat" w:cs="Times New Roman"/>
          <w:b/>
          <w:sz w:val="24"/>
          <w:szCs w:val="24"/>
          <w:lang w:val="hy-AM" w:eastAsia="ru-RU"/>
        </w:rPr>
        <w:t>ՄԸ ՀԱՍՏԱՏԵԼՈ</w:t>
      </w:r>
      <w:r w:rsidRPr="00E829AA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Pr="00E829AA">
        <w:rPr>
          <w:rFonts w:ascii="GHEA Grapalat" w:eastAsia="Tahoma" w:hAnsi="GHEA Grapalat" w:cs="Times New Roman"/>
          <w:b/>
          <w:sz w:val="24"/>
          <w:szCs w:val="24"/>
          <w:lang w:val="hy-AM" w:eastAsia="ru-RU"/>
        </w:rPr>
        <w:t xml:space="preserve"> ՄԱՍԻՆ</w:t>
      </w:r>
      <w:r w:rsidRPr="00E829AA">
        <w:rPr>
          <w:rFonts w:ascii="GHEA Grapalat" w:eastAsia="Times New Roman" w:hAnsi="GHEA Grapalat" w:cs="Arial"/>
          <w:b/>
          <w:sz w:val="24"/>
          <w:szCs w:val="24"/>
          <w:lang w:val="hy-AM"/>
        </w:rPr>
        <w:t>»</w:t>
      </w:r>
      <w:r w:rsidRPr="00E829AA">
        <w:rPr>
          <w:rFonts w:ascii="GHEA Grapalat" w:eastAsia="Times New Roman" w:hAnsi="GHEA Grapalat" w:cs="Arial"/>
          <w:b/>
          <w:sz w:val="24"/>
          <w:szCs w:val="24"/>
          <w:lang w:val="af-ZA"/>
        </w:rPr>
        <w:t xml:space="preserve"> </w:t>
      </w:r>
      <w:r w:rsidRPr="00E829AA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 ՀԱՆՐԱՊԵՏՈւԹՅԱՆ ԿԱՌԱՎԱՐՈւԹՅԱՆ</w:t>
      </w:r>
      <w:r w:rsidRPr="00E829AA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840AF3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 ՆԱԽԱԳԾ</w:t>
      </w:r>
      <w:r w:rsidRPr="00E829AA">
        <w:rPr>
          <w:rFonts w:ascii="GHEA Grapalat" w:eastAsia="Times New Roman" w:hAnsi="GHEA Grapalat" w:cs="Sylfaen"/>
          <w:b/>
          <w:sz w:val="24"/>
          <w:szCs w:val="24"/>
          <w:lang w:val="hy-AM"/>
        </w:rPr>
        <w:t>Ի</w:t>
      </w:r>
    </w:p>
    <w:tbl>
      <w:tblPr>
        <w:tblStyle w:val="TableGrid"/>
        <w:tblpPr w:leftFromText="180" w:rightFromText="180" w:vertAnchor="page" w:horzAnchor="margin" w:tblpXSpec="center" w:tblpY="3631"/>
        <w:tblW w:w="11965" w:type="dxa"/>
        <w:tblLayout w:type="fixed"/>
        <w:tblLook w:val="04A0" w:firstRow="1" w:lastRow="0" w:firstColumn="1" w:lastColumn="0" w:noHBand="0" w:noVBand="1"/>
      </w:tblPr>
      <w:tblGrid>
        <w:gridCol w:w="7938"/>
        <w:gridCol w:w="4027"/>
      </w:tblGrid>
      <w:tr w:rsidR="0093327D" w:rsidRPr="00E63A87" w:rsidTr="00124BA0">
        <w:trPr>
          <w:trHeight w:val="275"/>
        </w:trPr>
        <w:tc>
          <w:tcPr>
            <w:tcW w:w="7938" w:type="dxa"/>
            <w:vMerge w:val="restart"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1. 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ՀՀ</w:t>
            </w:r>
            <w:r w:rsidRPr="00E63A87">
              <w:rPr>
                <w:rFonts w:ascii="GHEA Grapalat" w:hAnsi="GHEA Grapalat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տա</w:t>
            </w:r>
            <w:r w:rsidRPr="00E63A87">
              <w:rPr>
                <w:rFonts w:ascii="GHEA Grapalat" w:hAnsi="GHEA Grapalat" w:cs="Verdana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ր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ածքային</w:t>
            </w:r>
            <w:r w:rsidRPr="00E63A87">
              <w:rPr>
                <w:rFonts w:ascii="GHEA Grapalat" w:hAnsi="GHEA Grapalat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կառավա</w:t>
            </w:r>
            <w:r w:rsidRPr="00E63A87">
              <w:rPr>
                <w:rFonts w:ascii="GHEA Grapalat" w:hAnsi="GHEA Grapalat" w:cs="Verdana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ր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ման</w:t>
            </w:r>
            <w:r w:rsidRPr="00E63A87">
              <w:rPr>
                <w:rFonts w:ascii="GHEA Grapalat" w:hAnsi="GHEA Grapalat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և</w:t>
            </w:r>
            <w:r w:rsidRPr="00E63A87">
              <w:rPr>
                <w:rFonts w:ascii="GHEA Grapalat" w:hAnsi="GHEA Grapalat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ենթակառուցվածքնե</w:t>
            </w:r>
            <w:r w:rsidRPr="00E63A87">
              <w:rPr>
                <w:rFonts w:ascii="GHEA Grapalat" w:hAnsi="GHEA Grapalat" w:cs="Verdana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ր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ի</w:t>
            </w:r>
            <w:r w:rsidRPr="00E63A87">
              <w:rPr>
                <w:rFonts w:ascii="GHEA Grapalat" w:hAnsi="GHEA Grapalat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նախա</w:t>
            </w:r>
            <w:r w:rsidRPr="00E63A87">
              <w:rPr>
                <w:rFonts w:ascii="GHEA Grapalat" w:hAnsi="GHEA Grapalat" w:cs="Verdana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ր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ա</w:t>
            </w:r>
            <w:r w:rsidRPr="00E63A87">
              <w:rPr>
                <w:rFonts w:ascii="GHEA Grapalat" w:hAnsi="GHEA Grapalat" w:cs="Verdana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ր</w:t>
            </w:r>
            <w:r w:rsidRPr="00E63A87">
              <w:rPr>
                <w:rFonts w:ascii="GHEA Grapalat" w:hAnsi="GHEA Grapalat" w:cs="Sylfaen"/>
                <w:b/>
                <w:sz w:val="24"/>
                <w:szCs w:val="24"/>
                <w:shd w:val="clear" w:color="auto" w:fill="BFBFBF" w:themeFill="background1" w:themeFillShade="BF"/>
                <w:lang w:val="hy-AM"/>
              </w:rPr>
              <w:t>ություն</w:t>
            </w:r>
          </w:p>
        </w:tc>
        <w:tc>
          <w:tcPr>
            <w:tcW w:w="4027" w:type="dxa"/>
            <w:shd w:val="clear" w:color="auto" w:fill="BFBF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</w:rPr>
              <w:t>29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.03.202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</w:rPr>
              <w:t>2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թ.</w:t>
            </w:r>
          </w:p>
        </w:tc>
      </w:tr>
      <w:tr w:rsidR="0093327D" w:rsidRPr="00E63A87" w:rsidTr="00124BA0">
        <w:trPr>
          <w:trHeight w:val="258"/>
        </w:trPr>
        <w:tc>
          <w:tcPr>
            <w:tcW w:w="7938" w:type="dxa"/>
            <w:vMerge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N 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</w:rPr>
              <w:t>ԳՍ//7618-2022</w:t>
            </w:r>
          </w:p>
        </w:tc>
      </w:tr>
      <w:tr w:rsidR="0093327D" w:rsidRPr="00C41D25" w:rsidTr="00124BA0">
        <w:trPr>
          <w:trHeight w:val="519"/>
        </w:trPr>
        <w:tc>
          <w:tcPr>
            <w:tcW w:w="7938" w:type="dxa"/>
          </w:tcPr>
          <w:p w:rsidR="0093327D" w:rsidRPr="00E63A87" w:rsidRDefault="0093327D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63A8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1. Նպաստառու ընտանիքի գործազուրկ անձանց զբաղվածության ապահովման միջոցառման նկարագրի 2-րդ կետով սահմանվում է, որ </w:t>
            </w: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Միջոցառման շրջանակում </w:t>
            </w:r>
            <w:r w:rsidRPr="00E63A8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միանվագ փոխհատուցում է տրամադրվում </w:t>
            </w: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այն իրավաբանական անձին կամ անհատ ձեռնարկատիրոջը (այսուհետ՝ գործատու), որն առնվազն մեկ տարի ժամկետով, նորմալ աշխատաժամանակի ռեժիմով (մեկ դրույքով) աշխատանքային պայմանագիր է կնքում այն նպաստառու գործազուրկ անձի հետ, որը մինչև սույն միջոցառման շրջանակներում աշխատանքի ընդունվելը «Եկամտային հարկի, շահութահարկի և սոցիալական վճարի անձնավորված հաշվառման համակարգում» առկա տեղեկատվության հիման վրա վերջին երեք ամսվա ընթացքում չի հանդիսացել հարկ վճարող։ Կարծում ենք պարզաբանման կարիք ունի, թե ինչն է հիմք </w:t>
            </w: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հանդիսացել, որ երեք ամիսն է սահմանվել հարկ վճարող չհանդիսանալու ժամանակահատված։</w:t>
            </w:r>
          </w:p>
        </w:tc>
        <w:tc>
          <w:tcPr>
            <w:tcW w:w="4027" w:type="dxa"/>
          </w:tcPr>
          <w:p w:rsidR="00AA0EA9" w:rsidRPr="00E63A87" w:rsidRDefault="00AA0EA9" w:rsidP="00E63A87">
            <w:pPr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E63A8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:rsidR="004B77B5" w:rsidRDefault="004B77B5" w:rsidP="00E63A87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Նախագծի 3-րդ </w:t>
            </w:r>
            <w:r w:rsidRPr="004B77B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(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ներկայիս 4-րդ</w:t>
            </w:r>
            <w:r w:rsidRPr="004B77B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)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կետը վերախմբագրվել է։ </w:t>
            </w:r>
          </w:p>
          <w:p w:rsidR="004B77B5" w:rsidRDefault="004B77B5" w:rsidP="00E63A87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</w:p>
          <w:p w:rsidR="0093327D" w:rsidRPr="00E63A87" w:rsidRDefault="0093327D" w:rsidP="00E63A87">
            <w:pPr>
              <w:spacing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93327D" w:rsidRPr="00C41D25" w:rsidTr="00E63A87">
        <w:trPr>
          <w:trHeight w:val="6497"/>
        </w:trPr>
        <w:tc>
          <w:tcPr>
            <w:tcW w:w="7938" w:type="dxa"/>
          </w:tcPr>
          <w:p w:rsidR="0093327D" w:rsidRPr="00E63A87" w:rsidRDefault="0093327D" w:rsidP="00E63A87">
            <w:pPr>
              <w:tabs>
                <w:tab w:val="left" w:pos="8931"/>
              </w:tabs>
              <w:spacing w:line="360" w:lineRule="auto"/>
              <w:ind w:firstLine="284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ՀՀ Արմավիրի մարզ</w:t>
            </w:r>
          </w:p>
          <w:p w:rsidR="0093327D" w:rsidRPr="00E63A87" w:rsidRDefault="0093327D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1. Առաջարկում ենք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հաշմանդամություն ունեցող անձի կամ </w:t>
            </w: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նպաստառու գործազուրկ անձի 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աշխատանքի տեղավորման դեպքում  գործատուի և շահառուի միջև կնքել աշխատանքային պայմանագիր՝ առնվազն երկու տարի ժամկետով:</w:t>
            </w:r>
          </w:p>
          <w:p w:rsidR="001521AC" w:rsidRPr="00E63A87" w:rsidRDefault="001521AC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  <w:p w:rsidR="00E63A87" w:rsidRPr="00E63A87" w:rsidRDefault="00E63A87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  <w:p w:rsidR="00E63A87" w:rsidRPr="00E63A87" w:rsidRDefault="00E63A87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  <w:p w:rsidR="00E63A87" w:rsidRPr="00E63A87" w:rsidRDefault="00E63A87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  <w:p w:rsidR="00E63A87" w:rsidRPr="00E63A87" w:rsidRDefault="00E63A87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  <w:p w:rsidR="00E63A87" w:rsidRPr="00E63A87" w:rsidRDefault="00E63A87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  <w:p w:rsidR="00E63A87" w:rsidRPr="00E63A87" w:rsidRDefault="00E63A87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  <w:p w:rsidR="00E63A87" w:rsidRPr="00E63A87" w:rsidRDefault="00E63A87" w:rsidP="00E63A87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4027" w:type="dxa"/>
          </w:tcPr>
          <w:p w:rsidR="0093327D" w:rsidRPr="00E63A87" w:rsidRDefault="00E701B3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Չի</w:t>
            </w:r>
            <w:r w:rsidR="00A219C5"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ը</w:t>
            </w:r>
            <w:r w:rsidR="00124BA0"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նդունվել։ </w:t>
            </w:r>
          </w:p>
          <w:p w:rsidR="00AA0EA9" w:rsidRPr="00E63A87" w:rsidRDefault="00E701B3" w:rsidP="00D64755">
            <w:pPr>
              <w:spacing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Հաշմանդամություն ունեցող անձի կամ </w:t>
            </w: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գործազուրկի 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աշխատանքի տեղավորման դեպքում  գործատուի և շահառուի միջև կնք</w:t>
            </w:r>
            <w:r w:rsidR="001521AC" w:rsidRPr="00E63A8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վող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աշխատանքային պայմանագր</w:t>
            </w:r>
            <w:r w:rsidR="001521AC" w:rsidRPr="00E63A8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ի ժամկետը </w:t>
            </w:r>
            <w:r w:rsidR="00D64755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պայմանավորված է ծրագրի ֆինանսավորման ժամկետով, որը ևս 1 տարի է։ Եթե պայմանագրի ժամկետը սահմանվի 2 տարի, այդ պարագայում գործատուները հետաքրքրություն չեն ցուցաբերի ծրագրի նկատմամբ։</w:t>
            </w:r>
          </w:p>
        </w:tc>
      </w:tr>
      <w:tr w:rsidR="0093327D" w:rsidRPr="00E63A87" w:rsidTr="00124BA0">
        <w:trPr>
          <w:trHeight w:val="519"/>
        </w:trPr>
        <w:tc>
          <w:tcPr>
            <w:tcW w:w="7938" w:type="dxa"/>
            <w:vMerge w:val="restart"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 w:rsidRPr="00E63A8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2. Հայաստանի Արհմիությունների կոնֆեդերացիա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29.03.2022 թ.</w:t>
            </w:r>
          </w:p>
        </w:tc>
      </w:tr>
      <w:tr w:rsidR="0093327D" w:rsidRPr="00E63A87" w:rsidTr="00124BA0">
        <w:trPr>
          <w:trHeight w:val="519"/>
        </w:trPr>
        <w:tc>
          <w:tcPr>
            <w:tcW w:w="7938" w:type="dxa"/>
            <w:vMerge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4027" w:type="dxa"/>
            <w:tcBorders>
              <w:top w:val="nil"/>
            </w:tcBorders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N 05-01/8</w:t>
            </w:r>
          </w:p>
        </w:tc>
      </w:tr>
      <w:tr w:rsidR="0093327D" w:rsidRPr="00E63A87" w:rsidTr="00124BA0">
        <w:trPr>
          <w:trHeight w:val="519"/>
        </w:trPr>
        <w:tc>
          <w:tcPr>
            <w:tcW w:w="7938" w:type="dxa"/>
            <w:tcBorders>
              <w:top w:val="nil"/>
            </w:tcBorders>
            <w:shd w:val="clear" w:color="auto" w:fill="auto"/>
          </w:tcPr>
          <w:p w:rsidR="0093327D" w:rsidRPr="00E63A87" w:rsidRDefault="0093327D" w:rsidP="00E63A87">
            <w:pPr>
              <w:spacing w:line="360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</w:rPr>
              <w:t>1.</w:t>
            </w:r>
            <w:r w:rsidRPr="00E63A87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63A8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Առաջարկություններ չկան։</w:t>
            </w:r>
          </w:p>
        </w:tc>
        <w:tc>
          <w:tcPr>
            <w:tcW w:w="4027" w:type="dxa"/>
            <w:tcBorders>
              <w:top w:val="nil"/>
            </w:tcBorders>
            <w:shd w:val="clear" w:color="auto" w:fill="auto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93327D" w:rsidRPr="00E63A87" w:rsidTr="00124BA0">
        <w:trPr>
          <w:trHeight w:val="254"/>
        </w:trPr>
        <w:tc>
          <w:tcPr>
            <w:tcW w:w="7938" w:type="dxa"/>
            <w:vMerge w:val="restart"/>
            <w:shd w:val="clear" w:color="auto" w:fill="BFBF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E63A8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3. ՀՀ էկոնոմիկայի նախարարություն</w:t>
            </w:r>
          </w:p>
        </w:tc>
        <w:tc>
          <w:tcPr>
            <w:tcW w:w="4027" w:type="dxa"/>
            <w:shd w:val="clear" w:color="auto" w:fill="BFBF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05.04.2022 թ.</w:t>
            </w:r>
          </w:p>
        </w:tc>
      </w:tr>
      <w:tr w:rsidR="0093327D" w:rsidRPr="00E63A87" w:rsidTr="00124BA0">
        <w:trPr>
          <w:trHeight w:val="153"/>
        </w:trPr>
        <w:tc>
          <w:tcPr>
            <w:tcW w:w="7938" w:type="dxa"/>
            <w:vMerge/>
            <w:shd w:val="clear" w:color="auto" w:fill="BFBF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BFBF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N 01/4721-2022</w:t>
            </w:r>
          </w:p>
        </w:tc>
      </w:tr>
      <w:tr w:rsidR="0093327D" w:rsidRPr="00C41D25" w:rsidTr="00124BA0">
        <w:trPr>
          <w:trHeight w:val="436"/>
        </w:trPr>
        <w:tc>
          <w:tcPr>
            <w:tcW w:w="7938" w:type="dxa"/>
          </w:tcPr>
          <w:p w:rsidR="00986F42" w:rsidRPr="00E63A87" w:rsidRDefault="00986F42" w:rsidP="00E63A87">
            <w:pPr>
              <w:tabs>
                <w:tab w:val="left" w:pos="284"/>
              </w:tabs>
              <w:spacing w:line="360" w:lineRule="auto"/>
              <w:jc w:val="both"/>
              <w:rPr>
                <w:rFonts w:ascii="GHEA Grapalat" w:eastAsia="Times New Roman" w:hAnsi="GHEA Grapalat" w:cs="Arial"/>
                <w:b/>
                <w:sz w:val="24"/>
                <w:lang w:val="hy-AM"/>
              </w:rPr>
            </w:pPr>
            <w:r w:rsidRPr="00E63A8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hd w:val="clear" w:color="auto" w:fill="FFFFFF"/>
                <w:lang w:val="hy-AM" w:eastAsia="ru-RU"/>
              </w:rPr>
              <w:lastRenderedPageBreak/>
              <w:t>«Ն</w:t>
            </w:r>
            <w:r w:rsidRPr="00E63A87">
              <w:rPr>
                <w:rFonts w:ascii="GHEA Grapalat" w:eastAsia="Times New Roman" w:hAnsi="GHEA Grapalat" w:cs="Courier New"/>
                <w:b/>
                <w:sz w:val="24"/>
                <w:lang w:val="hy-AM" w:eastAsia="ru-RU"/>
              </w:rPr>
              <w:t>պաստառու ընտանիքի գործազուրկ</w:t>
            </w:r>
            <w:r w:rsidRPr="00E63A87">
              <w:rPr>
                <w:rFonts w:ascii="GHEA Grapalat" w:eastAsia="Times New Roman" w:hAnsi="GHEA Grapalat" w:cs="Arial"/>
                <w:b/>
                <w:sz w:val="24"/>
                <w:lang w:val="hy-AM" w:eastAsia="ru-RU"/>
              </w:rPr>
              <w:t xml:space="preserve"> անձանց </w:t>
            </w:r>
            <w:r w:rsidRPr="00E63A8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hd w:val="clear" w:color="auto" w:fill="FFFFFF"/>
                <w:lang w:val="hy-AM" w:eastAsia="ru-RU"/>
              </w:rPr>
              <w:t xml:space="preserve">զբաղվածության ապահովման </w:t>
            </w:r>
            <w:r w:rsidRPr="00E63A87">
              <w:rPr>
                <w:rFonts w:ascii="GHEA Grapalat" w:eastAsia="Tahoma" w:hAnsi="GHEA Grapalat" w:cs="Times New Roman"/>
                <w:b/>
                <w:bCs/>
                <w:sz w:val="24"/>
                <w:lang w:val="hy-AM" w:eastAsia="ru-RU"/>
              </w:rPr>
              <w:t>միջոցառումը հաստատելու մասին</w:t>
            </w:r>
            <w:r w:rsidRPr="00E63A87">
              <w:rPr>
                <w:rFonts w:ascii="GHEA Grapalat" w:eastAsia="Times New Roman" w:hAnsi="GHEA Grapalat" w:cs="Arial"/>
                <w:b/>
                <w:sz w:val="24"/>
                <w:lang w:val="hy-AM"/>
              </w:rPr>
              <w:t xml:space="preserve">» Կառավարության որոշման նախագծի՝ </w:t>
            </w:r>
          </w:p>
          <w:p w:rsidR="0093327D" w:rsidRPr="00E63A87" w:rsidRDefault="0093327D" w:rsidP="00E63A87">
            <w:pPr>
              <w:tabs>
                <w:tab w:val="left" w:pos="284"/>
              </w:tabs>
              <w:spacing w:line="360" w:lineRule="auto"/>
              <w:jc w:val="both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63A87">
              <w:rPr>
                <w:rFonts w:ascii="GHEA Grapalat" w:eastAsia="Times New Roman" w:hAnsi="GHEA Grapalat" w:cs="Arial"/>
                <w:sz w:val="24"/>
                <w:lang w:val="hy-AM"/>
              </w:rPr>
              <w:t xml:space="preserve">1. Հավելվածի 3-րդ կետով սահմանվում է, որ </w:t>
            </w: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>միջոցառման շրջանակներում աշխատանքի ընդունած յուրաքանչյուր անձի համար գործատուին վճարվում է միանվագ փոխհատուցում 300 000 դրամի չափով։ Անհրաժեշտ է հստակեցնել, թե ինչ հաշվարկների հիման վրա է սահմանվել փոխհատուցման՝ 300 000 դրամ չափը։</w:t>
            </w:r>
          </w:p>
        </w:tc>
        <w:tc>
          <w:tcPr>
            <w:tcW w:w="4027" w:type="dxa"/>
          </w:tcPr>
          <w:p w:rsidR="00124BA0" w:rsidRPr="006D647E" w:rsidRDefault="00124BA0" w:rsidP="00E63A87">
            <w:pPr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</w:pPr>
            <w:r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>Ընդունվել է։</w:t>
            </w:r>
          </w:p>
          <w:p w:rsidR="0093327D" w:rsidRPr="006D647E" w:rsidRDefault="00124BA0" w:rsidP="00D36108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</w:pPr>
            <w:r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>Միանվագ փոխհատուցման գումարը 300 000</w:t>
            </w:r>
            <w:r w:rsidR="00C41D25"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 xml:space="preserve"> ()</w:t>
            </w:r>
            <w:r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 xml:space="preserve"> սահման</w:t>
            </w:r>
            <w:r w:rsidR="00D36108"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>վ</w:t>
            </w:r>
            <w:r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>ել է այն նկատառումով, որ գործազուրկ անձին նույնիսկ նվազագույն աշխատավարձ տալու դեպքում կատարված ծախսը հարկերի տեսքով 1 տարվա ընթացքում վերադառնա ՀՀ պետական բյուջե։ Մասնավորապես, նվազագույն աշխատավարձի դեպքում պահումները կազմում են շուրջ 25 000 դրամ, իսկ 12 ամսվա ընթացքում պետական բյուջե տվյալ անձի մասով մուտքագրվող գումարը կազմում է 300 000 դրամ։</w:t>
            </w:r>
          </w:p>
          <w:p w:rsidR="006D647E" w:rsidRPr="006D647E" w:rsidRDefault="006D647E" w:rsidP="00D36108">
            <w:pPr>
              <w:spacing w:line="360" w:lineRule="auto"/>
              <w:jc w:val="both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lastRenderedPageBreak/>
              <w:t>Միաժամանակ հարկ է նշել, որ 16.08.2022 թ․-ին տեղի ունեցած Նախարարական սոցիալական կոմիտեի նիստի ընթացքում քննարկման արդյունքներով՝ 300 000 դրամը փոխարինվել է 350 000 դրամով։</w:t>
            </w:r>
          </w:p>
        </w:tc>
      </w:tr>
      <w:tr w:rsidR="0093327D" w:rsidRPr="00C41D25" w:rsidTr="00124BA0">
        <w:trPr>
          <w:trHeight w:val="436"/>
        </w:trPr>
        <w:tc>
          <w:tcPr>
            <w:tcW w:w="7938" w:type="dxa"/>
          </w:tcPr>
          <w:p w:rsidR="0093327D" w:rsidRPr="00E63A87" w:rsidRDefault="0093327D" w:rsidP="00E63A87">
            <w:pPr>
              <w:tabs>
                <w:tab w:val="left" w:pos="567"/>
              </w:tabs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</w:pP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lastRenderedPageBreak/>
              <w:t>2. Հավելվածի 6-րդ կետում սահմանված է դրույթ, ըստ որի գործատուին տրամադրված միանվագ փոխհատուցման գումարը ենթակա է վերադարձման, եթե</w:t>
            </w:r>
            <w:r w:rsidRPr="00E63A87">
              <w:rPr>
                <w:rFonts w:ascii="GHEA Grapalat" w:eastAsia="Times New Roman" w:hAnsi="GHEA Grapalat" w:cs="Calibri"/>
                <w:bCs/>
                <w:sz w:val="24"/>
                <w:lang w:val="hy-AM" w:eastAsia="ru-RU"/>
              </w:rPr>
              <w:t xml:space="preserve"> աշխատանքային պայմանագիրը լուծվում է գործատուի նախաձեռնությամբ</w:t>
            </w: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 xml:space="preserve"> </w:t>
            </w:r>
            <w:r w:rsidRPr="00E63A87">
              <w:rPr>
                <w:rFonts w:ascii="GHEA Grapalat" w:eastAsia="Times New Roman" w:hAnsi="GHEA Grapalat" w:cs="Calibri"/>
                <w:bCs/>
                <w:sz w:val="24"/>
                <w:lang w:val="hy-AM" w:eastAsia="ru-RU"/>
              </w:rPr>
              <w:t xml:space="preserve">սեզոնային աշխատանքով ապահովման դեպքում՝ մինչև տվյալ գործատուի մոտ աշխատած ժամանակահատվածի 12 ամիսը լրանալը։ Այսպիսով` ստացվում է, եթե գործատուն աշխատանքային պայմանագիր է կնքում աշխատողի հետ սեզոնային աշխատանք իրականացնելու նպատակով, և վերջինիս տևողությունը օրինակ՝ 6 ամիս է, ապա գործատուն պարտավորվում է վերադարձնել </w:t>
            </w: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>միանվագ փոխհատուցման գումարը՝ հաշվի առնելով այն հանգամանքը, որ գործատուի և աշխատողի միջև կնքված պայմանագրով արդեն իսկ կատարվել են երկկողմ պարտավորվածությունները։</w:t>
            </w:r>
          </w:p>
          <w:p w:rsidR="0093327D" w:rsidRPr="00E63A87" w:rsidRDefault="0093327D" w:rsidP="00E63A87">
            <w:pPr>
              <w:tabs>
                <w:tab w:val="left" w:pos="284"/>
              </w:tabs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hd w:val="clear" w:color="auto" w:fill="FFFFFF"/>
                <w:lang w:val="hy-AM" w:eastAsia="ru-RU"/>
              </w:rPr>
            </w:pP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lastRenderedPageBreak/>
              <w:tab/>
              <w:t xml:space="preserve">Աշխատանքային օրենսգրքի 100-րդ հոդվածի 1-ին մասի համաձայն՝ </w:t>
            </w: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shd w:val="clear" w:color="auto" w:fill="FFFFFF"/>
                <w:lang w:val="hy-AM" w:eastAsia="ru-RU"/>
              </w:rPr>
              <w:t>սեզոնային է համարվում այն աշխատանքը, որը բնակլիմայական պայմանների պատճառով կատարվում է ոչ թե ամբողջ տարին, այլ ութ ամիսը չգերազանցող որոշակի ժամանակահատվածում (սեզոնում), և որը սահմանված է սեզոնային աշխատանքների ցանկով:</w:t>
            </w:r>
          </w:p>
          <w:p w:rsidR="0093327D" w:rsidRPr="00E63A87" w:rsidRDefault="0093327D" w:rsidP="00E63A87">
            <w:pPr>
              <w:tabs>
                <w:tab w:val="left" w:pos="426"/>
              </w:tabs>
              <w:spacing w:line="360" w:lineRule="auto"/>
              <w:jc w:val="both"/>
              <w:rPr>
                <w:rFonts w:ascii="GHEA Grapalat" w:eastAsia="Times New Roman" w:hAnsi="GHEA Grapalat" w:cs="Arial"/>
                <w:sz w:val="24"/>
                <w:lang w:val="hy-AM"/>
              </w:rPr>
            </w:pPr>
            <w:r w:rsidRPr="00E63A87"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ab/>
              <w:t>Հաշվի առնելով վերը նշված դրույթը` Նախագծով առաջարկվող իրավակագավորումներն  անհրաժեշտ է համապատասխանեցնել Աշխատանքային օրենսգրքի 100-րդ հոդվածին։</w:t>
            </w:r>
          </w:p>
        </w:tc>
        <w:tc>
          <w:tcPr>
            <w:tcW w:w="4027" w:type="dxa"/>
          </w:tcPr>
          <w:p w:rsidR="0093327D" w:rsidRDefault="00124BA0" w:rsidP="00E63A8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3A8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:rsidR="00C41D25" w:rsidRPr="00C41D25" w:rsidRDefault="00C41D25" w:rsidP="00C41D25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հավելվածի 6-րդ կետը հանվել է։</w:t>
            </w:r>
          </w:p>
        </w:tc>
      </w:tr>
      <w:tr w:rsidR="0093327D" w:rsidRPr="00E63A87" w:rsidTr="00124BA0">
        <w:trPr>
          <w:trHeight w:val="436"/>
        </w:trPr>
        <w:tc>
          <w:tcPr>
            <w:tcW w:w="7938" w:type="dxa"/>
          </w:tcPr>
          <w:p w:rsidR="0093327D" w:rsidRPr="00E63A87" w:rsidRDefault="00740E10" w:rsidP="00E63A87">
            <w:pPr>
              <w:tabs>
                <w:tab w:val="left" w:pos="426"/>
              </w:tabs>
              <w:spacing w:line="360" w:lineRule="auto"/>
              <w:jc w:val="both"/>
              <w:rPr>
                <w:rFonts w:ascii="GHEA Grapalat" w:eastAsia="Times New Roman" w:hAnsi="GHEA Grapalat" w:cs="Arial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191919"/>
                <w:sz w:val="24"/>
                <w:shd w:val="clear" w:color="auto" w:fill="FFFFFF"/>
                <w:lang w:val="hy-AM" w:eastAsia="ru-RU"/>
              </w:rPr>
              <w:lastRenderedPageBreak/>
              <w:t xml:space="preserve">     </w:t>
            </w:r>
            <w:r w:rsidR="0093327D" w:rsidRPr="00E63A87">
              <w:rPr>
                <w:rFonts w:ascii="GHEA Grapalat" w:eastAsia="Times New Roman" w:hAnsi="GHEA Grapalat" w:cs="Times New Roman"/>
                <w:color w:val="191919"/>
                <w:sz w:val="24"/>
                <w:shd w:val="clear" w:color="auto" w:fill="FFFFFF"/>
                <w:lang w:val="hy-AM" w:eastAsia="ru-RU"/>
              </w:rPr>
              <w:t>3. Միևնույն ժամանակ հայտնում ենք, որ համաձայն «Նորմատիվ իրավական ակտերի մասին» օրենքի՝ նորմատիվ իրավական ակտը կարող է պարունակել նախաբան, որը սահմանում է իրավական ակտի ընդունման նպատակներն ու պատճառները: Նախաբանը չի շարադրվում առանձին հոդվածով, չի համարակալվում և չի բաժանվում հոդվածների (կետերի): Նախաբանով չեն սահմանվում նորմատիվ դրույթներ: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 Վերոգրյալով պայմանավորված՝ առաջարկում ենք նախաբանում հստակ նշել իրավական ակտի ընդունման լիազորող նորմը։</w:t>
            </w:r>
            <w:r w:rsidR="0093327D" w:rsidRPr="00E63A87">
              <w:rPr>
                <w:rFonts w:ascii="Calibri" w:eastAsia="Times New Roman" w:hAnsi="Calibri" w:cs="Calibri"/>
                <w:color w:val="191919"/>
                <w:sz w:val="24"/>
                <w:shd w:val="clear" w:color="auto" w:fill="FFFFFF"/>
                <w:lang w:val="hy-AM" w:eastAsia="ru-RU"/>
              </w:rPr>
              <w:t> </w:t>
            </w:r>
          </w:p>
        </w:tc>
        <w:tc>
          <w:tcPr>
            <w:tcW w:w="4027" w:type="dxa"/>
          </w:tcPr>
          <w:p w:rsidR="0093327D" w:rsidRPr="00E63A87" w:rsidRDefault="00124BA0" w:rsidP="00E63A87">
            <w:pPr>
              <w:tabs>
                <w:tab w:val="left" w:pos="3661"/>
              </w:tabs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</w:tc>
      </w:tr>
      <w:tr w:rsidR="0093327D" w:rsidRPr="00E63A87" w:rsidTr="00124BA0">
        <w:trPr>
          <w:trHeight w:val="436"/>
        </w:trPr>
        <w:tc>
          <w:tcPr>
            <w:tcW w:w="7938" w:type="dxa"/>
            <w:vMerge w:val="restart"/>
            <w:shd w:val="clear" w:color="auto" w:fill="BFBFBF" w:themeFill="background1" w:themeFillShade="BF"/>
          </w:tcPr>
          <w:p w:rsidR="0093327D" w:rsidRPr="00E63A87" w:rsidRDefault="00485EAD" w:rsidP="00E63A87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lastRenderedPageBreak/>
              <w:t xml:space="preserve">4. </w:t>
            </w:r>
            <w:r w:rsidR="0093327D" w:rsidRPr="00E63A8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ՀՀ տարածքային կառավարման և ենթակառուցվածքների նախարարություն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E63A8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06.04.2022 թ.</w:t>
            </w:r>
          </w:p>
        </w:tc>
      </w:tr>
      <w:tr w:rsidR="0093327D" w:rsidRPr="00E63A87" w:rsidTr="00124BA0">
        <w:trPr>
          <w:trHeight w:val="436"/>
        </w:trPr>
        <w:tc>
          <w:tcPr>
            <w:tcW w:w="7938" w:type="dxa"/>
            <w:vMerge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4027" w:type="dxa"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E63A8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N ԳՍ//8334-2022</w:t>
            </w:r>
          </w:p>
        </w:tc>
      </w:tr>
      <w:tr w:rsidR="0093327D" w:rsidRPr="00E63A87" w:rsidTr="00124BA0">
        <w:trPr>
          <w:trHeight w:val="436"/>
        </w:trPr>
        <w:tc>
          <w:tcPr>
            <w:tcW w:w="7938" w:type="dxa"/>
          </w:tcPr>
          <w:p w:rsidR="0093327D" w:rsidRPr="00E63A87" w:rsidRDefault="0093327D" w:rsidP="00E63A87">
            <w:pPr>
              <w:tabs>
                <w:tab w:val="left" w:pos="426"/>
              </w:tabs>
              <w:spacing w:line="360" w:lineRule="auto"/>
              <w:jc w:val="both"/>
              <w:rPr>
                <w:rFonts w:ascii="GHEA Grapalat" w:eastAsia="Times New Roman" w:hAnsi="GHEA Grapalat" w:cs="Times New Roman"/>
                <w:b/>
                <w:color w:val="191919"/>
                <w:sz w:val="24"/>
                <w:shd w:val="clear" w:color="auto" w:fill="FFFFFF"/>
                <w:lang w:val="hy-AM" w:eastAsia="ru-RU"/>
              </w:rPr>
            </w:pPr>
            <w:r w:rsidRPr="00E63A87">
              <w:rPr>
                <w:rFonts w:ascii="GHEA Grapalat" w:eastAsia="Times New Roman" w:hAnsi="GHEA Grapalat" w:cs="Times New Roman"/>
                <w:b/>
                <w:color w:val="191919"/>
                <w:sz w:val="24"/>
                <w:shd w:val="clear" w:color="auto" w:fill="FFFFFF"/>
                <w:lang w:val="hy-AM" w:eastAsia="ru-RU"/>
              </w:rPr>
              <w:t>Երևանի քաղաքապետարան</w:t>
            </w:r>
          </w:p>
          <w:p w:rsidR="0093327D" w:rsidRPr="00E63A87" w:rsidRDefault="0093327D" w:rsidP="00E63A87">
            <w:pPr>
              <w:tabs>
                <w:tab w:val="left" w:pos="426"/>
              </w:tabs>
              <w:spacing w:line="360" w:lineRule="auto"/>
              <w:jc w:val="both"/>
              <w:rPr>
                <w:rFonts w:ascii="GHEA Grapalat" w:eastAsia="Times New Roman" w:hAnsi="GHEA Grapalat" w:cs="Times New Roman"/>
                <w:color w:val="191919"/>
                <w:sz w:val="24"/>
                <w:shd w:val="clear" w:color="auto" w:fill="FFFFFF"/>
                <w:lang w:val="hy-AM" w:eastAsia="ru-RU"/>
              </w:rPr>
            </w:pPr>
            <w:r w:rsidRPr="00E63A87">
              <w:rPr>
                <w:rFonts w:ascii="GHEA Grapalat" w:eastAsia="Times New Roman" w:hAnsi="GHEA Grapalat" w:cs="Times New Roman"/>
                <w:color w:val="191919"/>
                <w:sz w:val="24"/>
                <w:shd w:val="clear" w:color="auto" w:fill="FFFFFF"/>
                <w:lang w:val="hy-AM" w:eastAsia="ru-RU"/>
              </w:rPr>
              <w:t>Առաջարկություններ չկան։</w:t>
            </w:r>
          </w:p>
        </w:tc>
        <w:tc>
          <w:tcPr>
            <w:tcW w:w="4027" w:type="dxa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</w:tr>
      <w:tr w:rsidR="0093327D" w:rsidRPr="00E63A87" w:rsidTr="00124BA0">
        <w:trPr>
          <w:trHeight w:val="312"/>
        </w:trPr>
        <w:tc>
          <w:tcPr>
            <w:tcW w:w="7938" w:type="dxa"/>
            <w:vMerge w:val="restart"/>
            <w:shd w:val="clear" w:color="auto" w:fill="BFBFBF" w:themeFill="background1" w:themeFillShade="BF"/>
          </w:tcPr>
          <w:p w:rsidR="0093327D" w:rsidRPr="00E63A87" w:rsidRDefault="00485EAD" w:rsidP="00E63A87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5</w:t>
            </w:r>
            <w:r w:rsidR="0093327D" w:rsidRPr="00E63A8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. ՀՀ ֆինանսների նախարարություն</w:t>
            </w:r>
          </w:p>
        </w:tc>
        <w:tc>
          <w:tcPr>
            <w:tcW w:w="4027" w:type="dxa"/>
            <w:shd w:val="clear" w:color="auto" w:fill="BFBF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07.04.2022 </w:t>
            </w: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93327D" w:rsidRPr="00E63A87" w:rsidTr="00124BA0">
        <w:trPr>
          <w:trHeight w:val="287"/>
        </w:trPr>
        <w:tc>
          <w:tcPr>
            <w:tcW w:w="7938" w:type="dxa"/>
            <w:vMerge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4027" w:type="dxa"/>
            <w:shd w:val="clear" w:color="auto" w:fill="BFBFBF" w:themeFill="background1" w:themeFillShade="BF"/>
          </w:tcPr>
          <w:p w:rsidR="0093327D" w:rsidRPr="00E63A87" w:rsidRDefault="0093327D" w:rsidP="00E63A87">
            <w:pPr>
              <w:spacing w:line="360" w:lineRule="auto"/>
              <w:ind w:firstLine="306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N   01/8-3/5789-2022</w:t>
            </w:r>
          </w:p>
        </w:tc>
      </w:tr>
      <w:tr w:rsidR="0093327D" w:rsidRPr="00C41D25" w:rsidTr="00124BA0">
        <w:trPr>
          <w:trHeight w:val="547"/>
        </w:trPr>
        <w:tc>
          <w:tcPr>
            <w:tcW w:w="7938" w:type="dxa"/>
          </w:tcPr>
          <w:p w:rsidR="0093327D" w:rsidRPr="00E63A87" w:rsidRDefault="0093327D" w:rsidP="00477258">
            <w:pPr>
              <w:pStyle w:val="BodyText"/>
              <w:spacing w:after="0" w:line="360" w:lineRule="auto"/>
              <w:ind w:firstLine="306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1. </w:t>
            </w:r>
            <w:r w:rsidRPr="00E63A87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 xml:space="preserve"> Ներկայացված Նախագծով առաջարկվում է սոցիալական աջակցության ոլորտի «Զբաղվածության» ծրագրում ներդնել նոր միջոցառում, որ</w:t>
            </w:r>
            <w:r w:rsidR="00477258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>ի</w:t>
            </w:r>
            <w:r w:rsidRPr="00E63A87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 xml:space="preserve"> նպատակն է նպաստառու ընտանիքների գործազուրկ անձանց համար ստեղծել բավարար պայմաններ՝ վերջիններիս զբաղվածության և աշխատանքով ապահովման խնդիրների լուծման համար: Այս համատեքստում ներկայացված Նախագծում և դրանց կից հիմնավորմ</w:t>
            </w:r>
            <w:r w:rsidR="00477258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>ա</w:t>
            </w:r>
            <w:r w:rsidRPr="00E63A87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>ն</w:t>
            </w:r>
            <w:r w:rsidR="00477258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 xml:space="preserve"> մեջ</w:t>
            </w:r>
            <w:r w:rsidRPr="00E63A87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 xml:space="preserve"> բացահայտված չեն շահառուների այն խումբը, որոնք իրենց մասնագիտական կամ ունեցած հմտություններին համապատասխան պահանջված են ներկա աշխատաշուկայում և կարող են բավարարել պոտենցիալ գործատուների կարիքները: Նախագծ</w:t>
            </w:r>
            <w:r w:rsidR="00477258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>ո</w:t>
            </w:r>
            <w:r w:rsidRPr="00E63A87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 xml:space="preserve">ւմ բացակայում են գնահատականներ, որոնք թույլ կտային պատկերացումներ կազմել տվյալ նախագծի ընդունման դեպքում դրանց միջնաժամկետ հատվածում պետական բյուջեի վրա ֆինանսական ազդեցության, </w:t>
            </w:r>
            <w:r w:rsidRPr="00E63A87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lastRenderedPageBreak/>
              <w:t>պետության կողմից տվյալ ծրագրերի ֆինանսավորման դեպքում նպատակային ցուցանիշների վերջնարդյունքի, ինչպես նաև սոցիալական ոլորտի վրա նման ծրագրերի  իրականացման դեպքում շահառուների քանակական և որակական չափանիշների ազդեցության գնահատականի վերաբերյալ:</w:t>
            </w:r>
          </w:p>
        </w:tc>
        <w:tc>
          <w:tcPr>
            <w:tcW w:w="4027" w:type="dxa"/>
          </w:tcPr>
          <w:p w:rsidR="0093327D" w:rsidRDefault="0098479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Չի ընդունվել։</w:t>
            </w:r>
          </w:p>
          <w:p w:rsidR="0098479D" w:rsidRPr="00E63A87" w:rsidRDefault="00301DE5" w:rsidP="00477258">
            <w:pPr>
              <w:spacing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</w:t>
            </w:r>
            <w:r w:rsidR="0040524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ախագծով հաստատ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վելիք միջոցառումը կրում </w:t>
            </w:r>
            <w:r w:rsidR="0047725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պիլոտային բնույթ, որի արդյունքներով   կիրականացվի ազդեցության գնահատում։ </w:t>
            </w:r>
          </w:p>
        </w:tc>
      </w:tr>
      <w:tr w:rsidR="0093327D" w:rsidRPr="00C41D25" w:rsidTr="00124BA0">
        <w:trPr>
          <w:trHeight w:val="547"/>
        </w:trPr>
        <w:tc>
          <w:tcPr>
            <w:tcW w:w="7938" w:type="dxa"/>
          </w:tcPr>
          <w:p w:rsidR="0093327D" w:rsidRPr="00E63A87" w:rsidRDefault="0093327D" w:rsidP="00B4531A">
            <w:pPr>
              <w:pStyle w:val="BodyText"/>
              <w:spacing w:after="0" w:line="360" w:lineRule="auto"/>
              <w:ind w:firstLine="306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1A140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2.</w:t>
            </w:r>
            <w:r w:rsidRPr="001A140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E63A87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 xml:space="preserve"> Հարկ ենք համարում նշել, որ պարզաբանման կարիք ունեն այն չափանիշները և դրանցով պայմանավորված հաշվարկման սկզբունքները, որոնցից ելնելով ներկայացված Նախագծում առաջարկվում է նախատեսել փոխհատուցում</w:t>
            </w:r>
            <w:r w:rsidR="00B4531A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>՝</w:t>
            </w:r>
            <w:r w:rsidRPr="00E63A87">
              <w:rPr>
                <w:rFonts w:ascii="GHEA Grapalat" w:eastAsia="Times New Roman" w:hAnsi="GHEA Grapalat" w:cs="Times New Roman"/>
                <w:color w:val="00000A"/>
                <w:sz w:val="24"/>
                <w:szCs w:val="24"/>
                <w:lang w:val="hy-AM"/>
              </w:rPr>
              <w:t xml:space="preserve"> նպաստառու գործազուրկների մասով գործատուներին միանվագ 300.0 հազ. դրամի փոխհատուցման չափով: Կարծում ենք, որ առանց բավարար գնահատականների նման չափաքանակների սահմանումը՝ գործընթացի նկատմամբ վերահսկողության բացակայության պարագայում իր մեջ պարունակում է բազմաթիվ ռիսկեր:</w:t>
            </w:r>
          </w:p>
        </w:tc>
        <w:tc>
          <w:tcPr>
            <w:tcW w:w="4027" w:type="dxa"/>
          </w:tcPr>
          <w:p w:rsidR="0093327D" w:rsidRPr="006D647E" w:rsidRDefault="003662B5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D647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Չի ընդունվել։</w:t>
            </w:r>
          </w:p>
          <w:p w:rsidR="00D36108" w:rsidRDefault="00D36108" w:rsidP="00B4531A">
            <w:pPr>
              <w:spacing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</w:pPr>
            <w:r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>Միանվագ փոխհատուցման գումարը 300 000</w:t>
            </w:r>
            <w:r w:rsidR="00EF41BB"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 xml:space="preserve"> դրամ</w:t>
            </w:r>
            <w:r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 xml:space="preserve"> սահմանվել է այն նկատառումով, որ գործազուրկ անձին նույնիսկ նվազագույն աշխատավարձ տալու դեպքում կատարված ծախսը հարկերի տեսքով 1 տարվա ընթացքում վերադառնա ՀՀ պետական բյուջե։ Մասնավորապես, նվազագույն աշխատավարձի դեպքում պահումները կազմում են շուրջ 25 000 դրամ, իսկ 12 ամսվա ընթացքում պետական բյուջե </w:t>
            </w:r>
            <w:r w:rsidRPr="006D647E"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lastRenderedPageBreak/>
              <w:t>տվյալ անձի մասով մուտքագրվող գումարը կազմում է 300 000 դրամ։</w:t>
            </w:r>
          </w:p>
          <w:p w:rsidR="006D647E" w:rsidRPr="006D647E" w:rsidRDefault="006D647E" w:rsidP="00B4531A">
            <w:pPr>
              <w:spacing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lang w:val="hy-AM" w:eastAsia="ru-RU"/>
              </w:rPr>
              <w:t>Միաժամանակ հարկ է նշել, որ 16.08.2022 թ․-ին տեղի ունեցած Նախարարական սոցիալական կոմիտեի նիստի ընթացքում քննարկման արդյունքներով՝ 300 000 դրամը փոխարինվել է 350 000 դրամով։</w:t>
            </w:r>
          </w:p>
        </w:tc>
      </w:tr>
      <w:tr w:rsidR="0093327D" w:rsidRPr="00E63A87" w:rsidTr="00124BA0">
        <w:trPr>
          <w:trHeight w:val="547"/>
        </w:trPr>
        <w:tc>
          <w:tcPr>
            <w:tcW w:w="7938" w:type="dxa"/>
          </w:tcPr>
          <w:p w:rsidR="0093327D" w:rsidRPr="00E63A87" w:rsidRDefault="0093327D" w:rsidP="00E63A87">
            <w:pPr>
              <w:spacing w:line="360" w:lineRule="auto"/>
              <w:ind w:firstLine="360"/>
              <w:jc w:val="both"/>
              <w:rPr>
                <w:rFonts w:ascii="GHEA Grapalat" w:eastAsia="Calibri" w:hAnsi="GHEA Grapalat" w:cs="Calibri"/>
                <w:color w:val="00000A"/>
                <w:sz w:val="24"/>
                <w:szCs w:val="24"/>
                <w:shd w:val="clear" w:color="auto" w:fill="FFFFFF"/>
                <w:lang w:val="hy-AM"/>
              </w:rPr>
            </w:pPr>
            <w:r w:rsidRPr="001A140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3.</w:t>
            </w:r>
            <w:r w:rsidRPr="001A140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E63A87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t xml:space="preserve"> Միաժամանակ հայտնում ենք, որ </w:t>
            </w:r>
            <w:r w:rsidR="00477258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t>Նախագծ</w:t>
            </w:r>
            <w:r w:rsidRPr="00E63A87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t>ի նախաբանում կատարված հղումը չի բխում ՀՀ կառավարության և ՀՀ վարչապետի որոշումների նախագծ</w:t>
            </w:r>
            <w:r w:rsidR="00BD3710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t>եր</w:t>
            </w:r>
            <w:r w:rsidRPr="00E63A87">
              <w:rPr>
                <w:rFonts w:ascii="GHEA Grapalat" w:eastAsia="Calibri" w:hAnsi="GHEA Grapalat" w:cs="Sylfaen"/>
                <w:color w:val="00000A"/>
                <w:sz w:val="24"/>
                <w:szCs w:val="24"/>
                <w:lang w:val="hy-AM"/>
              </w:rPr>
              <w:t xml:space="preserve">ի ընդունման գործընթացում իրավական հիմնավորվածության, մասնավորապես՝ լիազորող նորմերի հաճախակի բացակայության հետ կապված խնդիրը կարգավորելու առնչությամբ ՀՀ վարչապետի կողմից տրված  2021 թվականի նոյեմբերի 02-ի թիվ 02/10.3/37766-2021 հանձնարարականի պահանջներից: Մասնավորապես, Նախագծի նախաբանում որպես լիազորող նորմ նշված է </w:t>
            </w:r>
            <w:r w:rsidRPr="00E63A87">
              <w:rPr>
                <w:rFonts w:ascii="GHEA Grapalat" w:eastAsia="Calibri" w:hAnsi="GHEA Grapalat" w:cs="Calibri"/>
                <w:bCs/>
                <w:color w:val="00000A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E63A87">
              <w:rPr>
                <w:rFonts w:ascii="GHEA Grapalat" w:eastAsia="Calibri" w:hAnsi="GHEA Grapalat" w:cs="Calibri"/>
                <w:bCs/>
                <w:color w:val="00000A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Սահմանադրության 83-րդ հոդվածը, որը ունի բոլորովին </w:t>
            </w:r>
            <w:r w:rsidRPr="00E63A87">
              <w:rPr>
                <w:rFonts w:ascii="GHEA Grapalat" w:eastAsia="Calibri" w:hAnsi="GHEA Grapalat" w:cs="Calibri"/>
                <w:color w:val="00000A"/>
                <w:sz w:val="24"/>
                <w:szCs w:val="24"/>
                <w:lang w:val="hy-AM"/>
              </w:rPr>
              <w:t>այլ բովանդակություն:</w:t>
            </w:r>
          </w:p>
          <w:p w:rsidR="00695EEA" w:rsidRPr="00E63A87" w:rsidRDefault="0093327D" w:rsidP="00477258">
            <w:pPr>
              <w:suppressAutoHyphens/>
              <w:spacing w:line="360" w:lineRule="auto"/>
              <w:ind w:firstLine="306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63A87">
              <w:rPr>
                <w:rFonts w:ascii="GHEA Grapalat" w:eastAsia="Calibri" w:hAnsi="GHEA Grapalat" w:cs="AK Courier"/>
                <w:color w:val="00000A"/>
                <w:sz w:val="24"/>
                <w:szCs w:val="24"/>
                <w:lang w:val="hy-AM" w:eastAsia="ru-RU"/>
              </w:rPr>
              <w:t>Նկատի ունենալով վերոգրյալը՝ գտնում ենք, որ Նախագծի նախաբանում կատարված հղումը չի հանդիսանում առաջարկվող նորմատիվ իրավական ակտի ընդունման լիազորող նորմ, ինչով պայմանավորված Նախագծի նախաբանում անհրաժեշտ է հղում կատարել այն նորմին, որով ՀՀ կառավարությունը լիազորվում է ընդունել առաջարկվող կարգավորումները:</w:t>
            </w:r>
          </w:p>
        </w:tc>
        <w:tc>
          <w:tcPr>
            <w:tcW w:w="4027" w:type="dxa"/>
          </w:tcPr>
          <w:p w:rsidR="0093327D" w:rsidRPr="00E63A87" w:rsidRDefault="0093327D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3A8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Ընդունվել է։</w:t>
            </w:r>
          </w:p>
        </w:tc>
      </w:tr>
      <w:tr w:rsidR="00E27FC1" w:rsidRPr="00E27FC1" w:rsidTr="00E27FC1">
        <w:trPr>
          <w:trHeight w:val="547"/>
        </w:trPr>
        <w:tc>
          <w:tcPr>
            <w:tcW w:w="7938" w:type="dxa"/>
            <w:vMerge w:val="restart"/>
            <w:shd w:val="clear" w:color="auto" w:fill="BFBFBF" w:themeFill="background1" w:themeFillShade="BF"/>
          </w:tcPr>
          <w:p w:rsidR="00E27FC1" w:rsidRPr="00E27FC1" w:rsidRDefault="00485EAD" w:rsidP="00E27FC1">
            <w:pPr>
              <w:spacing w:line="360" w:lineRule="auto"/>
              <w:ind w:firstLine="360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lastRenderedPageBreak/>
              <w:t>6</w:t>
            </w:r>
            <w:r w:rsidR="00E27FC1" w:rsidRPr="00E27FC1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 xml:space="preserve">. </w:t>
            </w:r>
            <w:r w:rsidR="00E27FC1" w:rsidRPr="00E27FC1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:rsidR="00E27FC1" w:rsidRPr="00E63A87" w:rsidRDefault="00E27FC1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31.05.2022 թ. </w:t>
            </w:r>
          </w:p>
        </w:tc>
      </w:tr>
      <w:tr w:rsidR="00E27FC1" w:rsidRPr="00E27FC1" w:rsidTr="00E27FC1">
        <w:trPr>
          <w:trHeight w:val="547"/>
        </w:trPr>
        <w:tc>
          <w:tcPr>
            <w:tcW w:w="7938" w:type="dxa"/>
            <w:vMerge/>
            <w:shd w:val="clear" w:color="auto" w:fill="BFBFBF" w:themeFill="background1" w:themeFillShade="BF"/>
          </w:tcPr>
          <w:p w:rsidR="00E27FC1" w:rsidRPr="001A140C" w:rsidRDefault="00E27FC1" w:rsidP="00E63A87">
            <w:pPr>
              <w:spacing w:line="360" w:lineRule="auto"/>
              <w:ind w:firstLine="36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027" w:type="dxa"/>
            <w:shd w:val="clear" w:color="auto" w:fill="BFBFBF" w:themeFill="background1" w:themeFillShade="BF"/>
          </w:tcPr>
          <w:p w:rsidR="00E27FC1" w:rsidRPr="00E27FC1" w:rsidRDefault="00E27FC1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N //23714-2022</w:t>
            </w:r>
          </w:p>
        </w:tc>
      </w:tr>
      <w:tr w:rsidR="00E27FC1" w:rsidRPr="00E27FC1" w:rsidTr="00124BA0">
        <w:trPr>
          <w:trHeight w:val="547"/>
        </w:trPr>
        <w:tc>
          <w:tcPr>
            <w:tcW w:w="7938" w:type="dxa"/>
          </w:tcPr>
          <w:p w:rsidR="00E27FC1" w:rsidRPr="00E27FC1" w:rsidRDefault="00E27FC1" w:rsidP="00E27FC1">
            <w:pPr>
              <w:spacing w:line="360" w:lineRule="auto"/>
              <w:ind w:firstLine="284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1.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Նախագծով հաստատված Հավելվածի (այսուհետ՝ Հավելված) 3-րդ կետի համաձայն՝ միջոցառման շրջանակում միանվագ փոխհատուցում է տրամադրվում այն իրավաբանական անձին կամ անհատ ձեռնարկատիրոջը (այսուհետ՝ գործատու), որն առնվազն մեկ տարի, </w:t>
            </w:r>
            <w:r w:rsidRPr="00E27FC1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իսկ սեզոնային աշխատանքի դեպքում՝ 12 ամիս ժամկետով, </w:t>
            </w:r>
            <w:r w:rsidRP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նորմալ աշխատաժամանակի ռեժիմով (մեկ դրույքով) աշխատանքային պայմանագիր է կնքում այն գործազուրկի հետ </w:t>
            </w:r>
            <w:r w:rsidRPr="00E27FC1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որը մինչև սույն միջոցառման շրջանակներում աշխատանքի ընդունվելը «Եկամտային հարկի, շահութահարկի և սոցիալական վճարի անձնավորված հաշվառման համակարգում» առկա տեղեկատվության </w:t>
            </w:r>
            <w:r w:rsidRPr="00E27FC1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հիման վրա վերջին երեք ամսվա ընթացքում չի հանդիսացել հարկ վճարող։</w:t>
            </w:r>
          </w:p>
          <w:p w:rsidR="00E27FC1" w:rsidRPr="00E27FC1" w:rsidRDefault="00E27FC1" w:rsidP="00E27FC1">
            <w:pPr>
              <w:spacing w:line="360" w:lineRule="auto"/>
              <w:ind w:firstLine="284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27FC1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Հայաստանի Հանրապետության աշխատանքային օրենսգրքի 100-րդ հոդվածի 1-ին մասը նախատեսում է, որ ս</w:t>
            </w:r>
            <w:r w:rsidRPr="00E27FC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եզոնային է համարվում այն աշխատանքը, որը բնակլիմայական պայմանների պատճառով կատարվում է ոչ թե ամբողջ տարին, </w:t>
            </w:r>
            <w:r w:rsidRPr="00E27FC1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ութ ամիսը չգերազանցող </w:t>
            </w:r>
            <w:r w:rsidRPr="00E27FC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որոշակի ժամանակահատվածում (սեզոնում), և որը սահմանված է սեզոնային աշխատանքների ցանկով:</w:t>
            </w:r>
          </w:p>
          <w:p w:rsidR="00E27FC1" w:rsidRPr="00E27FC1" w:rsidRDefault="00E27FC1" w:rsidP="00E27FC1">
            <w:pPr>
              <w:spacing w:line="360" w:lineRule="auto"/>
              <w:ind w:firstLine="284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27FC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Վերը նշվածից հետևում է, որ օրենսդիրը հստակ սահմանել է սեզոնային աշխատանքային պայմանագրի կնքման առավելագույն՝ ութ ամիսը չգերազանցող ժամկետ, մինչդեռ Հավելվածով սեզոնային աշխատանքային պայմանագրի կնքման ժամկետ սահմանվել է 12 ամիսը:</w:t>
            </w:r>
          </w:p>
          <w:p w:rsidR="00E27FC1" w:rsidRPr="00E27FC1" w:rsidRDefault="00E27FC1" w:rsidP="00E27FC1">
            <w:pPr>
              <w:spacing w:line="360" w:lineRule="auto"/>
              <w:ind w:firstLine="284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27FC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Հաշվի առնելով վերոգրյալը՝ հայտնում ենք, որ անհրաժեշտ է վերը նշված դրույթը խմբագրել՝ համապատասխանեցնելով ՀՀ աշխատանքային օրենսգրքի 100-րդ հոդվածի պահանջին:</w:t>
            </w:r>
          </w:p>
          <w:p w:rsidR="00E27FC1" w:rsidRPr="001A140C" w:rsidRDefault="00E27FC1" w:rsidP="00FE5C8C">
            <w:pPr>
              <w:spacing w:line="360" w:lineRule="auto"/>
              <w:ind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27FC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Այս համատեքստում հարկ է նկատի ունենալ, որ վերանայման կարիք ունի նաև Հավելվածի 7-րդ կետը:</w:t>
            </w:r>
          </w:p>
        </w:tc>
        <w:tc>
          <w:tcPr>
            <w:tcW w:w="4027" w:type="dxa"/>
          </w:tcPr>
          <w:p w:rsidR="00E27FC1" w:rsidRPr="00E63A87" w:rsidRDefault="00E27FC1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1. Ընդունվել է։</w:t>
            </w:r>
          </w:p>
        </w:tc>
      </w:tr>
      <w:tr w:rsidR="00E27FC1" w:rsidRPr="00E27FC1" w:rsidTr="00124BA0">
        <w:trPr>
          <w:trHeight w:val="547"/>
        </w:trPr>
        <w:tc>
          <w:tcPr>
            <w:tcW w:w="7938" w:type="dxa"/>
          </w:tcPr>
          <w:p w:rsidR="00E27FC1" w:rsidRPr="001A140C" w:rsidRDefault="00E27FC1" w:rsidP="00FE5C8C">
            <w:pPr>
              <w:spacing w:line="360" w:lineRule="auto"/>
              <w:ind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2.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Հավելվածի 2-րդ կետում նշված «իր գտնվելու վայրում» բառերն անհրաժեշտ է փոխարինել «կենտրոնի գտնվելու վայրում»  բառերով:</w:t>
            </w:r>
          </w:p>
        </w:tc>
        <w:tc>
          <w:tcPr>
            <w:tcW w:w="4027" w:type="dxa"/>
          </w:tcPr>
          <w:p w:rsidR="00E27FC1" w:rsidRPr="00E63A87" w:rsidRDefault="008E78EF" w:rsidP="00E63A87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2. Ընդունվել է։</w:t>
            </w:r>
          </w:p>
        </w:tc>
      </w:tr>
      <w:tr w:rsidR="00E27FC1" w:rsidRPr="00E27FC1" w:rsidTr="00124BA0">
        <w:trPr>
          <w:trHeight w:val="547"/>
        </w:trPr>
        <w:tc>
          <w:tcPr>
            <w:tcW w:w="7938" w:type="dxa"/>
          </w:tcPr>
          <w:p w:rsidR="00E27FC1" w:rsidRPr="00E27FC1" w:rsidRDefault="00E27FC1" w:rsidP="00FE5C8C">
            <w:pPr>
              <w:spacing w:line="360" w:lineRule="auto"/>
              <w:ind w:firstLine="284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3.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Հավելվածի 4-րդ կետում նշված «250.0 հազար», «300.0 հազար» բառերն առաջարկում ենք փոխարինել «250 հազար», «300 հազար» բառերով՝ տարընկալո</w:t>
            </w:r>
            <w:r w:rsidR="00BD371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ւ</w:t>
            </w:r>
            <w:r w:rsidRP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մներից խուսափելու նպատակով:</w:t>
            </w:r>
          </w:p>
        </w:tc>
        <w:tc>
          <w:tcPr>
            <w:tcW w:w="4027" w:type="dxa"/>
          </w:tcPr>
          <w:p w:rsidR="00E27FC1" w:rsidRPr="00E63A87" w:rsidRDefault="008E78EF" w:rsidP="008E78EF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3. Ը</w:t>
            </w:r>
            <w:r w:rsid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է</w:t>
            </w:r>
            <w:r w:rsidR="00E27FC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։</w:t>
            </w:r>
          </w:p>
        </w:tc>
      </w:tr>
      <w:tr w:rsidR="00B47A10" w:rsidRPr="00304685" w:rsidTr="00C06014">
        <w:trPr>
          <w:trHeight w:val="547"/>
        </w:trPr>
        <w:tc>
          <w:tcPr>
            <w:tcW w:w="7938" w:type="dxa"/>
            <w:vMerge w:val="restart"/>
            <w:shd w:val="clear" w:color="auto" w:fill="BFBFBF" w:themeFill="background1" w:themeFillShade="BF"/>
          </w:tcPr>
          <w:p w:rsidR="00B47A10" w:rsidRPr="00E63A87" w:rsidRDefault="003F31BB" w:rsidP="00B47A10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7</w:t>
            </w:r>
            <w:r w:rsidR="00B47A10" w:rsidRPr="00E63A8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. Հայաստանի գործատուների հանրապետական միություն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:rsidR="00B47A10" w:rsidRPr="00E63A87" w:rsidRDefault="00B47A10" w:rsidP="00B47A10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</w:tr>
      <w:tr w:rsidR="00B47A10" w:rsidRPr="00304685" w:rsidTr="00B455D8">
        <w:trPr>
          <w:trHeight w:val="547"/>
        </w:trPr>
        <w:tc>
          <w:tcPr>
            <w:tcW w:w="7938" w:type="dxa"/>
            <w:vMerge/>
            <w:shd w:val="clear" w:color="auto" w:fill="BFBFBF" w:themeFill="background1" w:themeFillShade="BF"/>
          </w:tcPr>
          <w:p w:rsidR="00B47A10" w:rsidRPr="00E63A87" w:rsidRDefault="00B47A10" w:rsidP="00B47A10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4027" w:type="dxa"/>
            <w:tcBorders>
              <w:top w:val="nil"/>
            </w:tcBorders>
            <w:shd w:val="clear" w:color="auto" w:fill="BFBFBF" w:themeFill="background1" w:themeFillShade="BF"/>
          </w:tcPr>
          <w:p w:rsidR="00B47A10" w:rsidRPr="00E27FC1" w:rsidRDefault="00B47A10" w:rsidP="00B47A10">
            <w:pPr>
              <w:spacing w:line="360" w:lineRule="auto"/>
              <w:ind w:firstLine="306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</w:tr>
      <w:tr w:rsidR="00B47A10" w:rsidRPr="00304685" w:rsidTr="00AC481B">
        <w:trPr>
          <w:trHeight w:val="547"/>
        </w:trPr>
        <w:tc>
          <w:tcPr>
            <w:tcW w:w="7938" w:type="dxa"/>
            <w:shd w:val="clear" w:color="auto" w:fill="auto"/>
          </w:tcPr>
          <w:p w:rsidR="00B47A10" w:rsidRPr="00735340" w:rsidRDefault="00B47A10" w:rsidP="00B47A10">
            <w:pPr>
              <w:shd w:val="clear" w:color="auto" w:fill="FFFFFF"/>
              <w:spacing w:line="360" w:lineRule="auto"/>
              <w:ind w:firstLine="283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695EE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Սահմանված ժամկետում կարծիք չի ստացվել։</w:t>
            </w:r>
          </w:p>
        </w:tc>
        <w:tc>
          <w:tcPr>
            <w:tcW w:w="4027" w:type="dxa"/>
            <w:shd w:val="clear" w:color="auto" w:fill="auto"/>
          </w:tcPr>
          <w:p w:rsidR="00B47A10" w:rsidRPr="00E63A87" w:rsidRDefault="00B47A10" w:rsidP="00B47A10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</w:tc>
      </w:tr>
      <w:tr w:rsidR="00B47A10" w:rsidRPr="00304685" w:rsidTr="00C06014">
        <w:trPr>
          <w:trHeight w:val="547"/>
        </w:trPr>
        <w:tc>
          <w:tcPr>
            <w:tcW w:w="7938" w:type="dxa"/>
          </w:tcPr>
          <w:p w:rsidR="00B47A10" w:rsidRPr="004C20CD" w:rsidRDefault="00B47A10" w:rsidP="00BD3710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lang w:val="hy-AM"/>
              </w:rPr>
            </w:pPr>
            <w:r w:rsidRPr="004C20CD">
              <w:rPr>
                <w:rFonts w:ascii="GHEA Grapalat" w:hAnsi="GHEA Grapalat" w:cs="Sylfaen"/>
                <w:b/>
                <w:bCs/>
                <w:sz w:val="24"/>
                <w:szCs w:val="24"/>
                <w:lang w:val="de-DE"/>
              </w:rPr>
              <w:t>Նախագ</w:t>
            </w:r>
            <w:r w:rsidR="00BD3710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</w:t>
            </w:r>
            <w:r w:rsidRPr="004C20CD">
              <w:rPr>
                <w:rFonts w:ascii="GHEA Grapalat" w:hAnsi="GHEA Grapalat" w:cs="Sylfaen"/>
                <w:b/>
                <w:bCs/>
                <w:sz w:val="24"/>
                <w:szCs w:val="24"/>
                <w:lang w:val="de-DE"/>
              </w:rPr>
              <w:t>ծը</w:t>
            </w:r>
            <w:r w:rsidRPr="00FB569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4C20CD">
              <w:rPr>
                <w:rFonts w:ascii="GHEA Grapalat" w:hAnsi="GHEA Grapalat" w:cs="Sylfaen"/>
                <w:b/>
                <w:bCs/>
                <w:sz w:val="24"/>
                <w:szCs w:val="24"/>
                <w:lang w:val="de-DE"/>
              </w:rPr>
              <w:t>տեղադրվել</w:t>
            </w:r>
            <w:r w:rsidRPr="00FB569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BD3710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է</w:t>
            </w:r>
            <w:r w:rsidRPr="00FB569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www.e-draft.am </w:t>
            </w:r>
            <w:r w:rsidRPr="004C20CD">
              <w:rPr>
                <w:rFonts w:ascii="GHEA Grapalat" w:hAnsi="GHEA Grapalat" w:cs="Sylfaen"/>
                <w:b/>
                <w:bCs/>
                <w:sz w:val="24"/>
                <w:szCs w:val="24"/>
                <w:lang w:val="de-DE"/>
              </w:rPr>
              <w:t>կայքում</w:t>
            </w:r>
            <w:r w:rsidRPr="00FB569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` </w:t>
            </w:r>
            <w:r w:rsidRPr="004C20CD">
              <w:rPr>
                <w:rFonts w:ascii="GHEA Grapalat" w:hAnsi="GHEA Grapalat" w:cs="Sylfaen"/>
                <w:b/>
                <w:bCs/>
                <w:sz w:val="24"/>
                <w:szCs w:val="24"/>
                <w:lang w:val="de-DE"/>
              </w:rPr>
              <w:t>հանրային</w:t>
            </w:r>
            <w:r w:rsidRPr="00FB569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4C20CD">
              <w:rPr>
                <w:rFonts w:ascii="GHEA Grapalat" w:hAnsi="GHEA Grapalat" w:cs="Sylfaen"/>
                <w:b/>
                <w:bCs/>
                <w:sz w:val="24"/>
                <w:szCs w:val="24"/>
                <w:lang w:val="de-DE"/>
              </w:rPr>
              <w:t>քննարկման</w:t>
            </w:r>
            <w:r w:rsidRPr="00FB569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4C20CD">
              <w:rPr>
                <w:rFonts w:ascii="GHEA Grapalat" w:hAnsi="GHEA Grapalat" w:cs="Sylfaen"/>
                <w:b/>
                <w:bCs/>
                <w:sz w:val="24"/>
                <w:szCs w:val="24"/>
                <w:lang w:val="de-DE"/>
              </w:rPr>
              <w:t>նպատակով</w:t>
            </w:r>
          </w:p>
        </w:tc>
        <w:tc>
          <w:tcPr>
            <w:tcW w:w="4027" w:type="dxa"/>
            <w:shd w:val="clear" w:color="auto" w:fill="auto"/>
          </w:tcPr>
          <w:p w:rsidR="00B47A10" w:rsidRPr="00E63A87" w:rsidRDefault="00B47A10" w:rsidP="00B47A10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</w:tc>
      </w:tr>
      <w:tr w:rsidR="00B47A10" w:rsidRPr="00304685" w:rsidTr="00C06014">
        <w:trPr>
          <w:trHeight w:val="547"/>
        </w:trPr>
        <w:tc>
          <w:tcPr>
            <w:tcW w:w="7938" w:type="dxa"/>
          </w:tcPr>
          <w:p w:rsidR="00B47A10" w:rsidRDefault="00B47A10" w:rsidP="00B47A10">
            <w:pPr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4C20C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</w:t>
            </w:r>
            <w:r w:rsidRPr="004C20CD">
              <w:rPr>
                <w:rFonts w:ascii="GHEA Grapalat" w:hAnsi="GHEA Grapalat" w:cs="Sylfaen"/>
                <w:bCs/>
                <w:sz w:val="24"/>
                <w:szCs w:val="24"/>
                <w:lang w:val="de-DE"/>
              </w:rPr>
              <w:t>անրային</w:t>
            </w:r>
            <w:r w:rsidRPr="00FB569B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4C20CD">
              <w:rPr>
                <w:rFonts w:ascii="GHEA Grapalat" w:hAnsi="GHEA Grapalat" w:cs="Sylfaen"/>
                <w:bCs/>
                <w:sz w:val="24"/>
                <w:szCs w:val="24"/>
                <w:lang w:val="de-DE"/>
              </w:rPr>
              <w:t>քննարկման</w:t>
            </w:r>
            <w:r w:rsidRPr="00FB569B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4C20CD">
              <w:rPr>
                <w:rFonts w:ascii="GHEA Grapalat" w:hAnsi="GHEA Grapalat" w:cs="Sylfaen"/>
                <w:bCs/>
                <w:sz w:val="24"/>
                <w:szCs w:val="24"/>
                <w:lang w:val="de-DE"/>
              </w:rPr>
              <w:t>դնելու</w:t>
            </w:r>
            <w:r w:rsidRPr="00FB569B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4C20CD">
              <w:rPr>
                <w:rFonts w:ascii="GHEA Grapalat" w:hAnsi="GHEA Grapalat" w:cs="Sylfaen"/>
                <w:bCs/>
                <w:sz w:val="24"/>
                <w:szCs w:val="24"/>
                <w:lang w:val="de-DE"/>
              </w:rPr>
              <w:t>արդյունքում</w:t>
            </w:r>
            <w:r w:rsidRPr="00FB569B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AC481B">
              <w:rPr>
                <w:rFonts w:ascii="GHEA Grapalat" w:eastAsia="Calibri" w:hAnsi="GHEA Grapalat"/>
                <w:sz w:val="24"/>
                <w:szCs w:val="24"/>
                <w:lang w:val="hy-AM"/>
              </w:rPr>
              <w:t>«Գ</w:t>
            </w:r>
            <w:r w:rsidRPr="00AC481B">
              <w:rPr>
                <w:rFonts w:ascii="GHEA Grapalat" w:hAnsi="GHEA Grapalat" w:cs="Arial"/>
                <w:sz w:val="24"/>
                <w:szCs w:val="24"/>
                <w:lang w:val="hy-AM"/>
              </w:rPr>
              <w:t>ործազուրկների զբաղվածության ապահովման</w:t>
            </w:r>
            <w:r w:rsidRPr="00AC481B">
              <w:rPr>
                <w:rFonts w:ascii="GHEA Grapalat" w:eastAsia="Tahoma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C481B">
              <w:rPr>
                <w:rFonts w:ascii="GHEA Grapalat" w:eastAsia="Calibri" w:hAnsi="GHEA Grapalat"/>
                <w:bCs/>
                <w:sz w:val="24"/>
                <w:szCs w:val="24"/>
                <w:shd w:val="clear" w:color="auto" w:fill="FFFFFF"/>
                <w:lang w:val="hy-AM"/>
              </w:rPr>
              <w:t>միջոցառումը հաստատելու մասին</w:t>
            </w:r>
            <w:r w:rsidRPr="00AC481B">
              <w:rPr>
                <w:rFonts w:ascii="GHEA Grapalat" w:eastAsia="Calibri" w:hAnsi="GHEA Grapalat" w:cs="Courier New"/>
                <w:sz w:val="24"/>
                <w:szCs w:val="24"/>
                <w:lang w:val="hy-AM"/>
              </w:rPr>
              <w:t>» ՀՀ կառավարության որոշման նախագ</w:t>
            </w:r>
            <w:r>
              <w:rPr>
                <w:rFonts w:ascii="GHEA Grapalat" w:eastAsia="Calibri" w:hAnsi="GHEA Grapalat" w:cs="Courier New"/>
                <w:sz w:val="24"/>
                <w:szCs w:val="24"/>
                <w:lang w:val="hy-AM"/>
              </w:rPr>
              <w:t>ծ</w:t>
            </w:r>
            <w:r w:rsidRPr="00AC481B">
              <w:rPr>
                <w:rFonts w:ascii="GHEA Grapalat" w:eastAsia="Calibri" w:hAnsi="GHEA Grapalat" w:cs="Courier New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Calibri" w:hAnsi="GHEA Grapalat" w:cs="Courier New"/>
                <w:sz w:val="24"/>
                <w:szCs w:val="24"/>
                <w:lang w:val="hy-AM"/>
              </w:rPr>
              <w:t xml:space="preserve"> վերաբերյալ</w:t>
            </w:r>
            <w:r w:rsidRPr="00AC481B">
              <w:rPr>
                <w:rFonts w:ascii="GHEA Grapalat" w:eastAsia="Calibri" w:hAnsi="GHEA Grapalat" w:cs="Courier New"/>
                <w:sz w:val="24"/>
                <w:szCs w:val="24"/>
                <w:lang w:val="hy-AM"/>
              </w:rPr>
              <w:t xml:space="preserve"> </w:t>
            </w:r>
            <w:r w:rsidRPr="004C20C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 չի ներկայացվել</w:t>
            </w:r>
            <w:r w:rsidRPr="00FB569B">
              <w:rPr>
                <w:rFonts w:ascii="GHEA Grapalat" w:hAnsi="GHEA Grapalat" w:cs="Sylfaen"/>
                <w:bCs/>
                <w:sz w:val="24"/>
                <w:szCs w:val="24"/>
              </w:rPr>
              <w:t>:</w:t>
            </w:r>
          </w:p>
          <w:p w:rsidR="00BD3710" w:rsidRPr="004C20CD" w:rsidRDefault="00BD3710" w:rsidP="00B47A10">
            <w:pPr>
              <w:spacing w:line="360" w:lineRule="auto"/>
              <w:jc w:val="both"/>
              <w:rPr>
                <w:rFonts w:ascii="GHEA Grapalat" w:hAnsi="GHEA Grapalat" w:cs="Times New Roman"/>
                <w:b/>
                <w:lang w:val="hy-AM"/>
              </w:rPr>
            </w:pPr>
          </w:p>
        </w:tc>
        <w:tc>
          <w:tcPr>
            <w:tcW w:w="4027" w:type="dxa"/>
            <w:shd w:val="clear" w:color="auto" w:fill="auto"/>
          </w:tcPr>
          <w:p w:rsidR="00B47A10" w:rsidRPr="00E63A87" w:rsidRDefault="00B47A10" w:rsidP="00B47A10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</w:tc>
      </w:tr>
      <w:tr w:rsidR="003F31BB" w:rsidRPr="003F31BB" w:rsidTr="00966E56">
        <w:trPr>
          <w:trHeight w:val="547"/>
        </w:trPr>
        <w:tc>
          <w:tcPr>
            <w:tcW w:w="7938" w:type="dxa"/>
            <w:vMerge w:val="restart"/>
            <w:shd w:val="clear" w:color="auto" w:fill="BFBFBF" w:themeFill="background1" w:themeFillShade="BF"/>
          </w:tcPr>
          <w:p w:rsidR="003F31BB" w:rsidRPr="003F31BB" w:rsidRDefault="003F31BB" w:rsidP="003F31BB">
            <w:pPr>
              <w:pStyle w:val="ListParagraph"/>
              <w:spacing w:line="360" w:lineRule="auto"/>
              <w:ind w:left="360"/>
              <w:jc w:val="center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="Calibri" w:hAnsi="GHEA Grapalat" w:cs="Sylfaen"/>
                <w:b/>
                <w:sz w:val="24"/>
                <w:szCs w:val="24"/>
              </w:rPr>
              <w:t>8</w:t>
            </w:r>
            <w:r w:rsidRPr="003F31BB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. ՀՀ վարչապետի աշխատակազմի սոցիալական հարցերի վարչություն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14.07.2022 թ.</w:t>
            </w:r>
          </w:p>
        </w:tc>
      </w:tr>
      <w:tr w:rsidR="003F31BB" w:rsidRPr="003F31BB" w:rsidTr="00966E56">
        <w:trPr>
          <w:trHeight w:val="547"/>
        </w:trPr>
        <w:tc>
          <w:tcPr>
            <w:tcW w:w="7938" w:type="dxa"/>
            <w:vMerge/>
            <w:shd w:val="clear" w:color="auto" w:fill="BFBFBF" w:themeFill="background1" w:themeFillShade="BF"/>
          </w:tcPr>
          <w:p w:rsidR="003F31BB" w:rsidRPr="003F31BB" w:rsidRDefault="003F31BB" w:rsidP="003F31BB">
            <w:pPr>
              <w:pStyle w:val="ListParagraph"/>
              <w:spacing w:line="360" w:lineRule="auto"/>
              <w:ind w:left="36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027" w:type="dxa"/>
            <w:shd w:val="clear" w:color="auto" w:fill="BFBFBF" w:themeFill="background1" w:themeFillShade="BF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N 01/11.4/24301-2022</w:t>
            </w:r>
          </w:p>
        </w:tc>
      </w:tr>
      <w:tr w:rsidR="003F31BB" w:rsidRPr="00C41D25" w:rsidTr="001A7860">
        <w:trPr>
          <w:trHeight w:val="4949"/>
        </w:trPr>
        <w:tc>
          <w:tcPr>
            <w:tcW w:w="7938" w:type="dxa"/>
            <w:shd w:val="clear" w:color="auto" w:fill="auto"/>
          </w:tcPr>
          <w:p w:rsidR="001A7860" w:rsidRPr="003F31BB" w:rsidRDefault="003F31BB" w:rsidP="001A7860">
            <w:pPr>
              <w:spacing w:line="360" w:lineRule="auto"/>
              <w:ind w:firstLine="306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 Համաձայն «Գործազուրկների զբաղվածության ապահովման միջոցառումը հաստատելու մասին» ՀՀ կառավարության որոշման</w:t>
            </w:r>
            <w:r w:rsidRPr="003F31BB">
              <w:rPr>
                <w:rFonts w:ascii="GHEA Grapalat" w:eastAsia="Times New Roman" w:hAnsi="GHEA Grapalat" w:cs="Arial"/>
                <w:sz w:val="24"/>
                <w:szCs w:val="20"/>
                <w:lang w:val="hy-AM" w:eastAsia="ru-RU"/>
              </w:rPr>
              <w:t xml:space="preserve">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2-րդ կետի 3-րդ ենթակետի՝ միջոցառումը որպես զբաղվածության պետական ծրագիր պետք է դառնա միայն 2024թ.-ի դեկտեմբերի 3-րդ տասնօրյակում միջոցառման իրականացման վերջնական գնահատումից հետո: «Զբաղվածության մասին» ՀՀ օրենքի (այսուհետ՝ օրենք) 21-րդ հոդվածով սահմանվում են գործազուրկի՝ զբաղվածության պետական ծրագրերում ընդգրկման ուղղությունները: Հետևաբար </w:t>
            </w:r>
            <w:r w:rsidRPr="006D77CB">
              <w:rPr>
                <w:rFonts w:ascii="GHEA Grapalat" w:hAnsi="GHEA Grapalat"/>
                <w:sz w:val="24"/>
                <w:szCs w:val="24"/>
                <w:lang w:val="hy-AM"/>
              </w:rPr>
              <w:t>լրացուցիչ քննարկման կարիք ունի նման որոշման ընդունման իրավական հիմքը:</w:t>
            </w:r>
          </w:p>
        </w:tc>
        <w:tc>
          <w:tcPr>
            <w:tcW w:w="4027" w:type="dxa"/>
            <w:shd w:val="clear" w:color="auto" w:fill="auto"/>
          </w:tcPr>
          <w:p w:rsidR="002C3CDD" w:rsidRPr="00A607C2" w:rsidRDefault="002C3CDD" w:rsidP="002C3CDD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A607C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1. </w:t>
            </w:r>
            <w:r w:rsidR="001A7860" w:rsidRPr="00A607C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Ը</w:t>
            </w:r>
            <w:r w:rsidRPr="00A607C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նդունվել</w:t>
            </w:r>
            <w:r w:rsidR="001A7860" w:rsidRPr="00A607C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է</w:t>
            </w:r>
            <w:r w:rsidRPr="00A607C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։</w:t>
            </w:r>
          </w:p>
          <w:p w:rsidR="003F31BB" w:rsidRPr="00A607C2" w:rsidRDefault="002C3CDD" w:rsidP="001A7860">
            <w:pPr>
              <w:spacing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607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Նախագծում «միջոցառում» բառը փոխարինվել է «ծրագիր» բառով։ </w:t>
            </w:r>
          </w:p>
          <w:p w:rsidR="001A7860" w:rsidRDefault="001A7860" w:rsidP="001A7860">
            <w:pPr>
              <w:spacing w:line="360" w:lineRule="auto"/>
              <w:jc w:val="both"/>
              <w:rPr>
                <w:rFonts w:ascii="GHEA Grapalat" w:eastAsia="Calibri" w:hAnsi="GHEA Grapalat" w:cs="Times New Roman"/>
                <w:color w:val="FF0000"/>
                <w:sz w:val="24"/>
                <w:szCs w:val="24"/>
                <w:lang w:val="hy-AM"/>
              </w:rPr>
            </w:pPr>
          </w:p>
          <w:p w:rsidR="001A7860" w:rsidRDefault="001A7860" w:rsidP="001A7860">
            <w:pPr>
              <w:spacing w:line="360" w:lineRule="auto"/>
              <w:jc w:val="both"/>
              <w:rPr>
                <w:rFonts w:ascii="GHEA Grapalat" w:eastAsia="Calibri" w:hAnsi="GHEA Grapalat" w:cs="Times New Roman"/>
                <w:color w:val="FF0000"/>
                <w:sz w:val="24"/>
                <w:szCs w:val="24"/>
                <w:lang w:val="hy-AM"/>
              </w:rPr>
            </w:pPr>
          </w:p>
          <w:p w:rsidR="001A7860" w:rsidRDefault="001A7860" w:rsidP="001A7860">
            <w:pPr>
              <w:spacing w:line="360" w:lineRule="auto"/>
              <w:jc w:val="both"/>
              <w:rPr>
                <w:rFonts w:ascii="GHEA Grapalat" w:eastAsia="Calibri" w:hAnsi="GHEA Grapalat" w:cs="Times New Roman"/>
                <w:color w:val="FF0000"/>
                <w:sz w:val="24"/>
                <w:szCs w:val="24"/>
                <w:lang w:val="hy-AM"/>
              </w:rPr>
            </w:pPr>
          </w:p>
          <w:p w:rsidR="001A7860" w:rsidRDefault="001A7860" w:rsidP="001A7860">
            <w:pPr>
              <w:spacing w:line="360" w:lineRule="auto"/>
              <w:jc w:val="both"/>
              <w:rPr>
                <w:rFonts w:ascii="GHEA Grapalat" w:eastAsia="Calibri" w:hAnsi="GHEA Grapalat" w:cs="Times New Roman"/>
                <w:color w:val="FF0000"/>
                <w:sz w:val="24"/>
                <w:szCs w:val="24"/>
                <w:lang w:val="hy-AM"/>
              </w:rPr>
            </w:pPr>
          </w:p>
          <w:p w:rsidR="001A7860" w:rsidRDefault="001A7860" w:rsidP="001A7860">
            <w:pPr>
              <w:spacing w:line="360" w:lineRule="auto"/>
              <w:jc w:val="both"/>
              <w:rPr>
                <w:rFonts w:ascii="GHEA Grapalat" w:eastAsia="Calibri" w:hAnsi="GHEA Grapalat" w:cs="Times New Roman"/>
                <w:color w:val="FF0000"/>
                <w:sz w:val="24"/>
                <w:szCs w:val="24"/>
                <w:lang w:val="hy-AM"/>
              </w:rPr>
            </w:pPr>
          </w:p>
          <w:p w:rsidR="001A7860" w:rsidRDefault="001A7860" w:rsidP="001A7860">
            <w:pPr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1A7860" w:rsidRPr="003F31BB" w:rsidRDefault="001A7860" w:rsidP="001A7860">
            <w:pPr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</w:tc>
      </w:tr>
      <w:tr w:rsidR="003F31BB" w:rsidRPr="00C41D25" w:rsidTr="00C06014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306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F31BB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 xml:space="preserve">2. </w:t>
            </w:r>
            <w:r w:rsidRPr="00BD3710">
              <w:rPr>
                <w:rFonts w:ascii="GHEA Grapalat" w:hAnsi="GHEA Grapalat"/>
                <w:sz w:val="24"/>
                <w:szCs w:val="24"/>
                <w:lang w:val="hy-AM"/>
              </w:rPr>
              <w:t>Որոշման նախագծի 2-րդ կետի 2-րդ ենթակետով նախատեսվում է մինչև 15.02.2023</w:t>
            </w:r>
            <w:r w:rsidR="00BD3710" w:rsidRPr="00BD37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D3710">
              <w:rPr>
                <w:rFonts w:ascii="GHEA Grapalat" w:hAnsi="GHEA Grapalat"/>
                <w:sz w:val="24"/>
                <w:szCs w:val="24"/>
                <w:lang w:val="hy-AM"/>
              </w:rPr>
              <w:t>թ.-ը իրականացնել 2022</w:t>
            </w:r>
            <w:r w:rsidR="00BD3710" w:rsidRPr="00BD37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D3710">
              <w:rPr>
                <w:rFonts w:ascii="GHEA Grapalat" w:hAnsi="GHEA Grapalat"/>
                <w:sz w:val="24"/>
                <w:szCs w:val="24"/>
                <w:lang w:val="hy-AM"/>
              </w:rPr>
              <w:t>թ.-ին միջոցառման իրականացման ընթացիկ գնահատում, որից հետո միայն ՀՀ 2023 թվականի պետական բյուջեում կնախատեսվեն ֆինանսական միջոցներ: Կետը խմբագրման կարիք ունի, քանի որ 2023 թվականի պետական բյուջեն մինչ այդ արդեն իսկ ընդունված է լինելու: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2. </w:t>
            </w:r>
            <w:r w:rsidR="001A7860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Ը</w:t>
            </w: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նդունվել</w:t>
            </w:r>
            <w:r w:rsidR="001A7860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է</w:t>
            </w: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։</w:t>
            </w:r>
          </w:p>
          <w:p w:rsidR="003F31BB" w:rsidRPr="003F31BB" w:rsidRDefault="001A7860" w:rsidP="001A7860">
            <w:pPr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Նախագծի 2-րդ կետի 2-րդ ենթակետը հանվել է։ </w:t>
            </w:r>
          </w:p>
        </w:tc>
      </w:tr>
      <w:tr w:rsidR="003F31BB" w:rsidRPr="00C41D25" w:rsidTr="00C06014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3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>3.  Որոշման նախագծի 2-րդ կետի 3-րդ ենթակետով նախատեսվում է 2024</w:t>
            </w:r>
            <w:r w:rsidR="00BD37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>թ.-ի դեկտեմբերի 3-րդ տասնօրյակում իրականացնել 2022</w:t>
            </w:r>
            <w:r w:rsidR="00BD37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թ.-ին միջոցառման իրականացման վերջնական գնահատում: Անհասկանալի է նման ձևակերպումը, քանի որ ենթադրաբար 2023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թվականին պետք է շարունակվի միջոցառումը, հետևաբար անհասկանալի է, թե ինչու է միայն 2022 թվականի արդյունքների գնահատում իրականացվելու: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lastRenderedPageBreak/>
              <w:t xml:space="preserve">3. </w:t>
            </w:r>
            <w:r w:rsidR="002C3CDD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Ը</w:t>
            </w: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նդունվել</w:t>
            </w:r>
            <w:r w:rsidR="002C3CDD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է</w:t>
            </w: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։</w:t>
            </w:r>
          </w:p>
          <w:p w:rsidR="003F31BB" w:rsidRPr="003F31BB" w:rsidRDefault="001A7860" w:rsidP="001A7860">
            <w:pPr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Նախագծի 2-րդ կետի 3-րդ ենթակետը խմբագրվել է։</w:t>
            </w:r>
          </w:p>
        </w:tc>
      </w:tr>
      <w:tr w:rsidR="003F31BB" w:rsidRPr="001A7860" w:rsidTr="00C06014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731"/>
              </w:tabs>
              <w:spacing w:line="360" w:lineRule="auto"/>
              <w:ind w:right="-1" w:firstLine="30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4. Լրացուցիչ հիմնավորման կարիք ունի հավելվածի 3-րդ կետով՝ ծրագրին մասնակցող գործատուների համար սահմանվող պահանջները: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4. 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A786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նդունվել</w:t>
            </w:r>
            <w:r w:rsidR="001A786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է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։ </w:t>
            </w:r>
          </w:p>
          <w:p w:rsidR="003F31BB" w:rsidRPr="003F31BB" w:rsidRDefault="003F31BB" w:rsidP="003F31BB">
            <w:pPr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</w:tc>
      </w:tr>
      <w:tr w:rsidR="003F31BB" w:rsidRPr="00C41D25" w:rsidTr="00C06014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F429DF">
            <w:pPr>
              <w:tabs>
                <w:tab w:val="left" w:pos="731"/>
              </w:tabs>
              <w:spacing w:line="360" w:lineRule="auto"/>
              <w:ind w:right="-1" w:firstLine="447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5. Հավելվածի 4-րդ կետով նախատեսվում է, որ գործազուրկի հետ աշխատանքային պայմանագիրը կնքվում է նորմալ աշխատաժամանակի ռեժիմով (1 դրույքով)՝ 1 տարի ժամկետով: Համաձայն օրենքի 4-րդ հոդվածի 3-րդ մասի՝ </w:t>
            </w:r>
            <w:r w:rsidRPr="003F31B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գործազուրկը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տարիքային կենսաթոշակի իրավունք տվող տարիքը չլրացած՝ աշխատանք փնտրող....... անձն է: Նույն հոդվածի 2-րդ մասի համաձայն՝ </w:t>
            </w:r>
            <w:r w:rsidRPr="003F31B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աշխատանք փնտրող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անձը </w:t>
            </w:r>
            <w:r w:rsidRPr="003F31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16 տարին լրացած անձն է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>, որը........ : ՀՀ աշխատանքային օրենսգրքի 140-րդ հոդվածի 1-ին մասով սահմանվում են կրճատ աշխատաժամանակի դեպքերը, որի 5-րդ մասով նախատեսվում է նաև 16-18 տարեկանների դեպքը: Հաշվի առնելով վերոնշյալ դիտարկումները՝ նախագծով նախատեսված՝ նորմալ աշխատաժամանակի ռեժիմով (1 դրույքով) աշխատանքային պայմանագրի կնքման դրույթը վերանայման կարիք ունի:</w:t>
            </w:r>
          </w:p>
        </w:tc>
        <w:tc>
          <w:tcPr>
            <w:tcW w:w="4027" w:type="dxa"/>
            <w:shd w:val="clear" w:color="auto" w:fill="auto"/>
          </w:tcPr>
          <w:p w:rsidR="003F31BB" w:rsidRDefault="003F31BB" w:rsidP="00F429DF">
            <w:pPr>
              <w:tabs>
                <w:tab w:val="center" w:pos="1905"/>
                <w:tab w:val="left" w:pos="2805"/>
              </w:tabs>
              <w:spacing w:line="360" w:lineRule="auto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ab/>
              <w:t xml:space="preserve">5. </w:t>
            </w:r>
            <w:r w:rsidR="008863B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Չի ը</w:t>
            </w: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նդունվել։</w:t>
            </w:r>
          </w:p>
          <w:p w:rsidR="008863B2" w:rsidRPr="003F31BB" w:rsidRDefault="00B45B35" w:rsidP="00F429DF">
            <w:pPr>
              <w:tabs>
                <w:tab w:val="center" w:pos="1905"/>
                <w:tab w:val="left" w:pos="2805"/>
              </w:tabs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ՀՀ ա</w:t>
            </w:r>
            <w:r w:rsidR="008863B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շխատանքային օրենսգրքի 140-րդ հոդվածի համաձայն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՝</w:t>
            </w:r>
            <w:r w:rsidR="008863B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կրճատ աշխատաժամանակի ռեժիմը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տվյալ կատեգորիայի աշխատողների համար համարվում է նորմալ աշխատաժամանակի տևողություն։ Միաժամանակ, տարընկալումներից խուսափելու նպատակով նախագծի հավելվածի 4-րդ կետը հստակեցվել է։</w:t>
            </w:r>
          </w:p>
        </w:tc>
      </w:tr>
      <w:tr w:rsidR="003F31BB" w:rsidRPr="00C41D25" w:rsidTr="00F429DF">
        <w:trPr>
          <w:trHeight w:val="4810"/>
        </w:trPr>
        <w:tc>
          <w:tcPr>
            <w:tcW w:w="7938" w:type="dxa"/>
            <w:shd w:val="clear" w:color="auto" w:fill="auto"/>
          </w:tcPr>
          <w:p w:rsidR="003F31BB" w:rsidRDefault="003F31BB" w:rsidP="00F429DF">
            <w:pPr>
              <w:tabs>
                <w:tab w:val="left" w:pos="1276"/>
              </w:tabs>
              <w:spacing w:line="360" w:lineRule="auto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31B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6. Անհասկանալի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հավելվածի 4-րդ կետով՝ նպաստառու գործազուրկին սեզոնային աշխատանքով ապահովելու դեպքում աշխատանքային պայմանագրի կնքումը 8 ամիս տևողությամբ սահմանելու դրույթը:</w:t>
            </w:r>
          </w:p>
          <w:p w:rsidR="00F429DF" w:rsidRDefault="00F429DF" w:rsidP="00F429DF">
            <w:pPr>
              <w:tabs>
                <w:tab w:val="left" w:pos="1276"/>
              </w:tabs>
              <w:spacing w:line="360" w:lineRule="auto"/>
              <w:ind w:firstLine="44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429DF" w:rsidRPr="00F429DF" w:rsidRDefault="00F429DF" w:rsidP="00F429DF">
            <w:pPr>
              <w:spacing w:line="360" w:lineRule="auto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429DF" w:rsidRPr="00F429DF" w:rsidRDefault="00F429DF" w:rsidP="00F429DF">
            <w:pPr>
              <w:spacing w:line="360" w:lineRule="auto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429DF" w:rsidRPr="00F429DF" w:rsidRDefault="00F429DF" w:rsidP="00F429DF">
            <w:pPr>
              <w:tabs>
                <w:tab w:val="left" w:pos="1740"/>
              </w:tabs>
              <w:spacing w:line="360" w:lineRule="auto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027" w:type="dxa"/>
            <w:shd w:val="clear" w:color="auto" w:fill="auto"/>
          </w:tcPr>
          <w:p w:rsidR="00F429DF" w:rsidRPr="00A607C2" w:rsidRDefault="003F31BB" w:rsidP="00F429DF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A607C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6. </w:t>
            </w:r>
            <w:r w:rsidR="00F429DF" w:rsidRPr="00A607C2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Չի ընդունվել։</w:t>
            </w:r>
          </w:p>
          <w:p w:rsidR="00F429DF" w:rsidRPr="00A607C2" w:rsidRDefault="00F429DF" w:rsidP="00F429DF">
            <w:pPr>
              <w:spacing w:line="360" w:lineRule="auto"/>
              <w:jc w:val="both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Սահմանված դրույթը պայմանավորված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ընտանիքների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անապահովության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գնահատման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համակարգում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հաշվառված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«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գործազուրկ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»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«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սեզոնային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ժամանակավոր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աշխատանք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կատարող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անձ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»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սոցիալական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խմբերի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ամրագրման</w:t>
            </w:r>
            <w:r w:rsidRPr="00A607C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A607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առանձնահատկություններով։</w:t>
            </w:r>
          </w:p>
          <w:p w:rsidR="003F31BB" w:rsidRPr="003F31BB" w:rsidRDefault="003F31BB" w:rsidP="00F429DF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</w:tc>
      </w:tr>
      <w:tr w:rsidR="003F31BB" w:rsidRPr="00C41D25" w:rsidTr="008D58F3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44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7.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Չնայած հիմնավորմամբ ներկայացված պարզաբանմանը՝ լրացուցիչ քննարկման կարիք ունի հավելվածի 5-րդ կետով գործազուրկին և նպաստառու գործազուրկին աշխատանքի տեղավորման դեպքում գործատուին տրվող միանվագ փոխհատուցման չափի տարբերակված մոտեցումը: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7. Չի ընդունվել։</w:t>
            </w:r>
          </w:p>
          <w:p w:rsidR="003F31BB" w:rsidRPr="003F31BB" w:rsidRDefault="003F31BB" w:rsidP="003F31BB">
            <w:pPr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Գործատուին տրամադրվող միանվագ փոխհատուցման չափի տարբերակված մոտեցումը պայմանավորված է այն հանգամանքով, որ </w:t>
            </w: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ոլորտային գերակայություն է համարվում նպաստառու ընտանիքների աղքատության հաղթահարումը՝ </w:t>
            </w: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lastRenderedPageBreak/>
              <w:t xml:space="preserve">նրա գործազուրկ անդանի աշխատանքի տեղավորման հնարավորությունների մեծացման միջոցով, որն ամրագրված է նաև  ՀՀ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2021-2026 թթ. ծրագրի</w:t>
            </w:r>
            <w:r w:rsidRPr="003F31B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«4.6 Աշխատանք և սոցիալական պաշտպանություն» բաժնում։ </w:t>
            </w:r>
          </w:p>
        </w:tc>
      </w:tr>
      <w:tr w:rsidR="003F31BB" w:rsidRPr="00C41D25" w:rsidTr="008D58F3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44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 xml:space="preserve">8. 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Հավելվածի 8-րդ կետում առաջարկում ենք հստակ նշել միանվագ փոխհատուցումը տրամադրելու ժամկետը՝ առանց տարբերակներից որևէ մեկի ընտրության նախապատվության՝ հաշվի առնելով նաև այն, թե ինչ սկզբունքով է որոշվելու որ գործատուին է տրամադրվելու 1-ին, իսկ որին՝ 2-րդ տարբերակով: 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8. 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C41D2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Ընդունվել է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։</w:t>
            </w:r>
          </w:p>
          <w:p w:rsidR="003F31BB" w:rsidRPr="003F31BB" w:rsidRDefault="003F31BB" w:rsidP="00C41D25">
            <w:pPr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Հավելվածի 8-րդ (ներկայիս 9-րդ) կետ</w:t>
            </w:r>
            <w:r w:rsidR="00C41D2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 խմբագրվել է։</w:t>
            </w:r>
          </w:p>
        </w:tc>
      </w:tr>
      <w:tr w:rsidR="003F31BB" w:rsidRPr="00C41D25" w:rsidTr="008D58F3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447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>9. 8-րդ դիտարկման շրջանակում խնդրահարույց է նաև հավելվածի 9-րդ կետն այն իմաստով, որ պայմանագիրը ժամկետից շուտ լուծվելու դեպքում միանվագ գումարը ենթակա է վերադարձման՝ սահմանելով դրա չվերադարձման դեպքերը: Հետևաբար, եթե տարածքային կենտրոնը մի գործատուին վճարի ժամկետի սկզբում, ապա ըստ բացառության դեպքերի պայմանագրի լուծման պարագայում այն ենթակա չի լինի վերադարձման, իսկ 9-րդ կետի 2-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րդ ենթակետի ընտրության պարագայում այդ գումարը գործատուին չի վճարվի: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9. </w:t>
            </w:r>
            <w:r w:rsidR="00C41D2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նդունվել</w:t>
            </w:r>
            <w:r w:rsidR="00C41D2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է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։</w:t>
            </w:r>
          </w:p>
          <w:p w:rsidR="003F31BB" w:rsidRPr="003F31BB" w:rsidRDefault="003F31BB" w:rsidP="00EA1B84">
            <w:pPr>
              <w:spacing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Նախագծի հավելվածի</w:t>
            </w:r>
            <w:r w:rsidR="00C41D25" w:rsidRPr="00C41D25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9-րդ</w:t>
            </w:r>
            <w:r w:rsidR="00C41D25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կետը հանվել է։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</w:tr>
      <w:tr w:rsidR="003F31BB" w:rsidRPr="00EA1B84" w:rsidTr="008D58F3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44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 xml:space="preserve">10. </w:t>
            </w:r>
            <w:r w:rsidRPr="003F31BB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 xml:space="preserve"> Հավելվածի 9-րդ կետի 2-րդ ենթակետում առաջարկում ենք գործազուրկի նախաձեռ</w:t>
            </w: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>նությամբ աշխատանքային պայմանագրի լուծման պարագայում բացառություններ սահմանել՝ հիմք ընդունելով ՀՀ աշխատանքային օրենսգրքի 112-րդ հոդվածը:</w:t>
            </w:r>
          </w:p>
        </w:tc>
        <w:tc>
          <w:tcPr>
            <w:tcW w:w="4027" w:type="dxa"/>
            <w:shd w:val="clear" w:color="auto" w:fill="auto"/>
          </w:tcPr>
          <w:p w:rsid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10. Ընդունվել է։</w:t>
            </w:r>
          </w:p>
          <w:p w:rsidR="00EA1B84" w:rsidRPr="003F31BB" w:rsidRDefault="00EA1B84" w:rsidP="00EA1B84">
            <w:pPr>
              <w:spacing w:line="360" w:lineRule="auto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Նախագծի հավելվածի 9-րդ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կետը հանվել է։</w:t>
            </w:r>
          </w:p>
        </w:tc>
      </w:tr>
      <w:tr w:rsidR="003F31BB" w:rsidRPr="00C41D25" w:rsidTr="008D58F3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447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>11. Հավելվածի 9-րդ կետի 3-րդ ենթակետն առաջարկում ենք ևս մեկ անգամ վերանայել՝ հնարավորության դեպքում սահմանելով բացառություններ: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11. </w:t>
            </w:r>
            <w:r w:rsidR="00EA1B84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Ընդունվել է</w:t>
            </w: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։</w:t>
            </w:r>
          </w:p>
          <w:p w:rsidR="003F31BB" w:rsidRPr="003F31BB" w:rsidRDefault="00EA1B84" w:rsidP="004814EC">
            <w:pPr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Նախագծի հավելվածի</w:t>
            </w:r>
            <w:r w:rsidRPr="00C41D25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31B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9-րդ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կետը հանվել է։</w:t>
            </w:r>
          </w:p>
        </w:tc>
      </w:tr>
      <w:tr w:rsidR="003F31BB" w:rsidRPr="003F31BB" w:rsidTr="008D58F3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447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37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12. Հավելվածի 10-րդ կետերում անհրաժեշտ է հստակեցնել, թե տարածքային կենտրոնի կողմից ինչ կարգով է իրականացվելու մոնիթորինգը: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12. Ընդունվել է։</w:t>
            </w:r>
          </w:p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</w:tc>
      </w:tr>
      <w:tr w:rsidR="003F31BB" w:rsidRPr="00C41D25" w:rsidTr="008D58F3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447"/>
              <w:contextualSpacing/>
              <w:jc w:val="both"/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</w:pPr>
            <w:r w:rsidRPr="003F31BB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>13</w:t>
            </w:r>
            <w:r w:rsidRPr="003F31B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 Նախագծի վերաբերյալ բացակայում է հանրային քննարկման տեղեկանքը՝ համաձայն Կառավարության 25.02.2021</w:t>
            </w:r>
            <w:r w:rsidR="00BD37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F31B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 N 252-Լ որոշմամբ հաստատված հավելվածի 20-րդ կետի 4-րդ ենթակետի և Կառավարության 10.10.2018</w:t>
            </w:r>
            <w:r w:rsidR="00BD37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F31B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 N 1146-Ն որոշմամբ հաստատված հավելվածի 3-րդ կետի:</w:t>
            </w:r>
          </w:p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right="-1"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նախագծի վերաբերյալ վերոնշյալ դիտարկումները՝ առաջարկում ենք ևս մեկ անգամ քննարկել նախագծի նպատակահարմարությունը: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13. Չի ընդունվել։</w:t>
            </w:r>
          </w:p>
          <w:p w:rsidR="003F31BB" w:rsidRPr="003F31BB" w:rsidRDefault="003F31BB" w:rsidP="003F31BB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hy-AM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Նախագծի հանրային քննարկման տեղեկանքը ՀՀ վարչապետի աշխատակազմ է ներկայացվել մեր 02.06.2022 թ. N </w:t>
            </w:r>
            <w:r w:rsidRPr="003F31B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ՄՆ</w:t>
            </w:r>
            <w:r w:rsidRPr="003F31B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/</w:t>
            </w:r>
            <w:r w:rsidRPr="003F31B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ԺՍ</w:t>
            </w:r>
            <w:r w:rsidRPr="003F31B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-2-1/14711-2022 գրությամբ</w:t>
            </w:r>
            <w:r w:rsidRPr="003F31BB"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3F31BB" w:rsidRPr="003F31BB" w:rsidRDefault="003F31BB" w:rsidP="003F31BB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hy-AM"/>
              </w:rPr>
            </w:pPr>
          </w:p>
          <w:p w:rsidR="003F31BB" w:rsidRPr="003F31BB" w:rsidRDefault="003F31BB" w:rsidP="003F31BB">
            <w:pPr>
              <w:spacing w:line="360" w:lineRule="auto"/>
              <w:jc w:val="both"/>
              <w:rPr>
                <w:rFonts w:ascii="GHEA Grapalat" w:eastAsia="Times New Roman" w:hAnsi="GHEA Grapalat" w:cs="Tahoma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</w:tc>
      </w:tr>
      <w:tr w:rsidR="003F31BB" w:rsidRPr="003F31BB" w:rsidTr="008D58F3">
        <w:trPr>
          <w:trHeight w:val="547"/>
        </w:trPr>
        <w:tc>
          <w:tcPr>
            <w:tcW w:w="7938" w:type="dxa"/>
            <w:vMerge w:val="restart"/>
            <w:shd w:val="clear" w:color="auto" w:fill="BFBFBF" w:themeFill="background1" w:themeFillShade="BF"/>
          </w:tcPr>
          <w:p w:rsidR="003F31BB" w:rsidRPr="003F31BB" w:rsidRDefault="003F31BB" w:rsidP="003F31BB">
            <w:pPr>
              <w:pStyle w:val="ListParagraph"/>
              <w:spacing w:line="360" w:lineRule="auto"/>
              <w:ind w:left="360"/>
              <w:jc w:val="center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Theme="minorEastAsia" w:hAnsi="GHEA Grapalat"/>
                <w:b/>
                <w:sz w:val="24"/>
                <w:szCs w:val="24"/>
                <w:lang w:val="hy-AM" w:eastAsia="ru-RU"/>
              </w:rPr>
              <w:lastRenderedPageBreak/>
              <w:t>9. ՀՀ վարչապետի աշխատակազմի կարգավորման ազդեցության գնահատման վարչություն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14.07.2022 թ.</w:t>
            </w:r>
          </w:p>
        </w:tc>
      </w:tr>
      <w:tr w:rsidR="003F31BB" w:rsidRPr="003F31BB" w:rsidTr="008D58F3">
        <w:trPr>
          <w:trHeight w:val="547"/>
        </w:trPr>
        <w:tc>
          <w:tcPr>
            <w:tcW w:w="7938" w:type="dxa"/>
            <w:vMerge/>
            <w:shd w:val="clear" w:color="auto" w:fill="BFBFBF" w:themeFill="background1" w:themeFillShade="BF"/>
          </w:tcPr>
          <w:p w:rsidR="003F31BB" w:rsidRPr="003F31BB" w:rsidRDefault="003F31BB" w:rsidP="003F31BB">
            <w:pPr>
              <w:tabs>
                <w:tab w:val="left" w:pos="1276"/>
              </w:tabs>
              <w:spacing w:line="360" w:lineRule="auto"/>
              <w:ind w:firstLine="447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27" w:type="dxa"/>
            <w:shd w:val="clear" w:color="auto" w:fill="BFBFBF" w:themeFill="background1" w:themeFillShade="BF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N 01/11.4/24301-2022</w:t>
            </w:r>
          </w:p>
        </w:tc>
      </w:tr>
      <w:tr w:rsidR="003F31BB" w:rsidRPr="00C41D25" w:rsidTr="008D58F3">
        <w:trPr>
          <w:trHeight w:val="547"/>
        </w:trPr>
        <w:tc>
          <w:tcPr>
            <w:tcW w:w="7938" w:type="dxa"/>
            <w:shd w:val="clear" w:color="auto" w:fill="auto"/>
          </w:tcPr>
          <w:p w:rsidR="003F31BB" w:rsidRPr="003F31BB" w:rsidRDefault="003F31BB" w:rsidP="00E20169">
            <w:pPr>
              <w:pStyle w:val="CommentText"/>
              <w:tabs>
                <w:tab w:val="left" w:pos="7879"/>
              </w:tabs>
              <w:spacing w:after="0" w:line="360" w:lineRule="auto"/>
              <w:ind w:firstLine="447"/>
              <w:jc w:val="both"/>
              <w:rPr>
                <w:rFonts w:ascii="GHEA Grapalat" w:eastAsia="Times New Roman" w:hAnsi="GHEA Grapalat" w:cs="Times New Roman"/>
                <w:sz w:val="24"/>
                <w:lang w:val="hy-AM"/>
              </w:rPr>
            </w:pPr>
            <w:r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«Գործազուրկների զբաղվածության ապահովման միջոցառումը հաստատելու մասին» ՀՀ կառավարության որոշման նախագծի </w:t>
            </w:r>
            <w:r w:rsidRPr="003F31BB">
              <w:rPr>
                <w:rFonts w:ascii="GHEA Grapalat" w:eastAsia="Times New Roman" w:hAnsi="GHEA Grapalat" w:cs="Arial"/>
                <w:sz w:val="24"/>
                <w:lang w:val="hy-AM"/>
              </w:rPr>
              <w:t xml:space="preserve"> Հավելվածով հաստատվող գործազուրկների զբաղվածության ապահովման միջոցառմամբ նախատեսվում է յուրաքանչյուր գործազուրկի </w:t>
            </w:r>
            <w:r w:rsidRPr="003F31BB">
              <w:rPr>
                <w:rFonts w:ascii="GHEA Grapalat" w:eastAsia="Times New Roman" w:hAnsi="GHEA Grapalat" w:cs="Times New Roman"/>
                <w:sz w:val="24"/>
                <w:lang w:val="hy-AM"/>
              </w:rPr>
              <w:t xml:space="preserve">աշխատանքի տեղավորման համար գործատուին վճարել 250 000 դրամի չափով, իսկ նպաստառու գործազուրկի (այդ թվում նաև՝ սեզոնային աշխատանքի ապահովման համար) աշխատանքի տեղավորման համար՝ 300 000 դրամի չափով միանվագ փոխհատուցում։ </w:t>
            </w:r>
          </w:p>
          <w:p w:rsidR="003F31BB" w:rsidRPr="003F31BB" w:rsidRDefault="003F31BB" w:rsidP="00E20169">
            <w:pPr>
              <w:tabs>
                <w:tab w:val="left" w:pos="7879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31BB"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  <w:t xml:space="preserve">Հարկ է նշել, որ գործազուրկի կարգավիճակ կարող են ստանալ բոլոր այն անձինք, ովքեր բավարարում են  «Զբաղվածության մասին» օրենքի 4-րդ հոդվածի 1-ին մասի 3-րդ կետի պահանջներին, ովքեր տարբեր պատճառներով չունեն զբաղվածություն, սակայն որոշ գործազուրկ անձիք՝ պայմանավորված աշխատաշուկայում իրենց մրցունակության մակարդակով, այնուամենայնիվ, համեմատաբար ավելի մեծ հնարավորություն ունեն տեղավորվել աշխատանքի, քան նույն օրենքի 22-րդ հոդվածով անմրցունակ որոշարկված գործազուրկ անձիք: Ուստի, պետության կողմից տրամադրվող ֆինանսական </w:t>
            </w:r>
            <w:r w:rsidRPr="003F31BB">
              <w:rPr>
                <w:rFonts w:ascii="GHEA Grapalat" w:eastAsia="Times New Roman" w:hAnsi="GHEA Grapalat" w:cs="Times New Roman"/>
                <w:sz w:val="24"/>
                <w:szCs w:val="20"/>
                <w:lang w:val="hy-AM" w:eastAsia="ru-RU"/>
              </w:rPr>
              <w:lastRenderedPageBreak/>
              <w:t>հատկացումները խնայելու և առավել հասցեական դարձնելու նպատակով առաջարկում ենք սույն կարգավորումը տարածել բացառապես օրենքով սահմանված կարգով անմրցունակ որոշարկված գործազուրկ անձանց վրա:</w:t>
            </w:r>
          </w:p>
        </w:tc>
        <w:tc>
          <w:tcPr>
            <w:tcW w:w="4027" w:type="dxa"/>
            <w:shd w:val="clear" w:color="auto" w:fill="auto"/>
          </w:tcPr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3F31BB" w:rsidRPr="003F31BB" w:rsidRDefault="003F31BB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</w:p>
          <w:p w:rsidR="003F31BB" w:rsidRPr="003F31BB" w:rsidRDefault="00D16DA0" w:rsidP="003F31BB">
            <w:pPr>
              <w:spacing w:line="360" w:lineRule="auto"/>
              <w:jc w:val="center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Ը</w:t>
            </w:r>
            <w:r w:rsidR="003F31BB"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նդունվել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է ի գիտություն</w:t>
            </w:r>
            <w:r w:rsidR="003F31BB"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։</w:t>
            </w:r>
          </w:p>
          <w:p w:rsidR="003F31BB" w:rsidRPr="003F31BB" w:rsidRDefault="00AA0423" w:rsidP="00AA0423">
            <w:pPr>
              <w:spacing w:line="360" w:lineRule="auto"/>
              <w:jc w:val="both"/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</w:pP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Ձեր ա</w:t>
            </w:r>
            <w:r w:rsidR="004F7154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ռաջարկում նշված տրամաբանությունից ելնելով է, որ նախագծով առաջարկվել է տարանջատել նպաստառու ընտանիքի գործազուրկ անդամների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ն</w:t>
            </w:r>
            <w:r w:rsidR="004F7154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,  որոնք օրենսդրության համաձայն 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լինելով</w:t>
            </w:r>
            <w:r w:rsidR="004F7154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աշխատաշուկայում անմրցունակ </w:t>
            </w:r>
            <w:r w:rsidR="00B5192D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lastRenderedPageBreak/>
              <w:t>գործազուր</w:t>
            </w:r>
            <w:r w:rsidR="00EA1B84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կ</w:t>
            </w:r>
            <w:r w:rsidR="00B5192D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</w:t>
            </w:r>
            <w:r w:rsidR="004F7154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անձինք,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եթե սույն ծրագրի աջակցությամբ ընդունվեն աշխատանքի, ապա գործատուների</w:t>
            </w:r>
            <w:r w:rsidR="00EA1B84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ն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տրվող միանվագ աջակցությունը կլինի</w:t>
            </w:r>
            <w:r w:rsidR="00EA1B84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35</w:t>
            </w:r>
            <w:r w:rsidR="004F7154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0 000 դրամ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՝ 250 000 դրամի փոխարեն։ Միաժամանակ, ընդհանուր առմամբ, գործազուրկի կարգավիճակ ունեցողներին աշխատանքի տեղավորելու դեպքում գործատուներին միանվագ փոխատուցում՝ </w:t>
            </w:r>
            <w:r w:rsidR="00B5192D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այն է 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>250 000 դրամի չափով, նախատեսելու սույն նախագծով առաջարկվող կարգավորումը բխում է</w:t>
            </w:r>
            <w:r w:rsidR="00B5192D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</w:t>
            </w:r>
            <w:r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  </w:t>
            </w:r>
            <w:r w:rsidR="00B5192D" w:rsidRPr="003F31BB">
              <w:rPr>
                <w:rFonts w:ascii="GHEA Grapalat" w:eastAsia="Times New Roman" w:hAnsi="GHEA Grapalat" w:cs="Calibri"/>
                <w:bCs/>
                <w:kern w:val="2"/>
                <w:sz w:val="24"/>
                <w:szCs w:val="24"/>
                <w:lang w:val="hy-AM" w:eastAsia="ru-RU" w:bidi="hi-IN"/>
              </w:rPr>
              <w:t xml:space="preserve">ՀՀ </w:t>
            </w:r>
            <w:r w:rsidR="00B5192D"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2021-2026 թթ. ծրագրի</w:t>
            </w:r>
            <w:r w:rsidR="00B5192D" w:rsidRPr="003F31B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B5192D" w:rsidRPr="003F31BB">
              <w:rPr>
                <w:rFonts w:ascii="GHEA Grapalat" w:hAnsi="GHEA Grapalat"/>
                <w:sz w:val="24"/>
                <w:szCs w:val="24"/>
                <w:lang w:val="hy-AM"/>
              </w:rPr>
              <w:t xml:space="preserve">«4.6 Աշխատանք և սոցիալական պաշտպանություն» </w:t>
            </w:r>
            <w:r w:rsidR="00B5192D">
              <w:rPr>
                <w:rFonts w:ascii="GHEA Grapalat" w:hAnsi="GHEA Grapalat"/>
                <w:sz w:val="24"/>
                <w:szCs w:val="24"/>
                <w:lang w:val="hy-AM"/>
              </w:rPr>
              <w:t>բաժնի դրույթներից</w:t>
            </w:r>
            <w:r w:rsidR="00B5192D" w:rsidRPr="003F31BB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</w:tbl>
    <w:p w:rsidR="00FF7DB3" w:rsidRPr="003F31BB" w:rsidRDefault="00FF7DB3" w:rsidP="00CB5899">
      <w:pPr>
        <w:tabs>
          <w:tab w:val="left" w:pos="5505"/>
        </w:tabs>
        <w:rPr>
          <w:rFonts w:ascii="GHEA Grapalat" w:hAnsi="GHEA Grapalat"/>
          <w:lang w:val="hy-AM"/>
        </w:rPr>
      </w:pPr>
    </w:p>
    <w:sectPr w:rsidR="00FF7DB3" w:rsidRPr="003F31BB" w:rsidSect="00CB5899">
      <w:pgSz w:w="15840" w:h="12240" w:orient="landscape"/>
      <w:pgMar w:top="127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 Courier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568F"/>
    <w:multiLevelType w:val="hybridMultilevel"/>
    <w:tmpl w:val="D0446B80"/>
    <w:lvl w:ilvl="0" w:tplc="81B20DA4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C71"/>
    <w:multiLevelType w:val="hybridMultilevel"/>
    <w:tmpl w:val="5D781F88"/>
    <w:lvl w:ilvl="0" w:tplc="272653E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554C"/>
    <w:multiLevelType w:val="hybridMultilevel"/>
    <w:tmpl w:val="844CD038"/>
    <w:lvl w:ilvl="0" w:tplc="789C5A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ABC4111"/>
    <w:multiLevelType w:val="hybridMultilevel"/>
    <w:tmpl w:val="F7AC3C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01D9"/>
    <w:multiLevelType w:val="hybridMultilevel"/>
    <w:tmpl w:val="25208898"/>
    <w:lvl w:ilvl="0" w:tplc="776CFEF2">
      <w:start w:val="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F3DC7"/>
    <w:multiLevelType w:val="hybridMultilevel"/>
    <w:tmpl w:val="844CD038"/>
    <w:lvl w:ilvl="0" w:tplc="789C5A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C005865"/>
    <w:multiLevelType w:val="hybridMultilevel"/>
    <w:tmpl w:val="D3B8DABC"/>
    <w:lvl w:ilvl="0" w:tplc="E9C4B2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5A6573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225D5"/>
    <w:rsid w:val="00111B5F"/>
    <w:rsid w:val="00124BA0"/>
    <w:rsid w:val="001521AC"/>
    <w:rsid w:val="0018428B"/>
    <w:rsid w:val="001A140C"/>
    <w:rsid w:val="001A7860"/>
    <w:rsid w:val="00226BE6"/>
    <w:rsid w:val="002C3CDD"/>
    <w:rsid w:val="00301DE5"/>
    <w:rsid w:val="00304685"/>
    <w:rsid w:val="00317272"/>
    <w:rsid w:val="0033246B"/>
    <w:rsid w:val="003662B5"/>
    <w:rsid w:val="003D5B3C"/>
    <w:rsid w:val="003F31BB"/>
    <w:rsid w:val="00405240"/>
    <w:rsid w:val="00425129"/>
    <w:rsid w:val="004340A5"/>
    <w:rsid w:val="00447086"/>
    <w:rsid w:val="00477258"/>
    <w:rsid w:val="004814EC"/>
    <w:rsid w:val="00481BF7"/>
    <w:rsid w:val="00485EAD"/>
    <w:rsid w:val="00492240"/>
    <w:rsid w:val="004A2341"/>
    <w:rsid w:val="004B77B5"/>
    <w:rsid w:val="004F5556"/>
    <w:rsid w:val="004F7154"/>
    <w:rsid w:val="005A0954"/>
    <w:rsid w:val="00660BB3"/>
    <w:rsid w:val="006937BE"/>
    <w:rsid w:val="00695EEA"/>
    <w:rsid w:val="006B6D9A"/>
    <w:rsid w:val="006D6426"/>
    <w:rsid w:val="006D647E"/>
    <w:rsid w:val="006D77CB"/>
    <w:rsid w:val="006F1C27"/>
    <w:rsid w:val="00735340"/>
    <w:rsid w:val="00740E10"/>
    <w:rsid w:val="00840AF3"/>
    <w:rsid w:val="008863B2"/>
    <w:rsid w:val="00890154"/>
    <w:rsid w:val="008A379B"/>
    <w:rsid w:val="008E78EF"/>
    <w:rsid w:val="0093327D"/>
    <w:rsid w:val="009611CD"/>
    <w:rsid w:val="0098479D"/>
    <w:rsid w:val="00986F42"/>
    <w:rsid w:val="009B26E8"/>
    <w:rsid w:val="009C67F1"/>
    <w:rsid w:val="009D3607"/>
    <w:rsid w:val="009D43EC"/>
    <w:rsid w:val="00A219C5"/>
    <w:rsid w:val="00A607C2"/>
    <w:rsid w:val="00A94AED"/>
    <w:rsid w:val="00AA0423"/>
    <w:rsid w:val="00AA0EA9"/>
    <w:rsid w:val="00AB706C"/>
    <w:rsid w:val="00AC481B"/>
    <w:rsid w:val="00B4531A"/>
    <w:rsid w:val="00B45B35"/>
    <w:rsid w:val="00B47A10"/>
    <w:rsid w:val="00B5192D"/>
    <w:rsid w:val="00BA6A85"/>
    <w:rsid w:val="00BB3F61"/>
    <w:rsid w:val="00BB5BAA"/>
    <w:rsid w:val="00BD3710"/>
    <w:rsid w:val="00C005FC"/>
    <w:rsid w:val="00C41D25"/>
    <w:rsid w:val="00CB5899"/>
    <w:rsid w:val="00CC0AC9"/>
    <w:rsid w:val="00CD1B2E"/>
    <w:rsid w:val="00D15290"/>
    <w:rsid w:val="00D16D06"/>
    <w:rsid w:val="00D16DA0"/>
    <w:rsid w:val="00D36108"/>
    <w:rsid w:val="00D64755"/>
    <w:rsid w:val="00E20169"/>
    <w:rsid w:val="00E27FC1"/>
    <w:rsid w:val="00E63A87"/>
    <w:rsid w:val="00E67DAA"/>
    <w:rsid w:val="00E701B3"/>
    <w:rsid w:val="00E74CF3"/>
    <w:rsid w:val="00E829AA"/>
    <w:rsid w:val="00E83F5E"/>
    <w:rsid w:val="00EA1B84"/>
    <w:rsid w:val="00EF41BB"/>
    <w:rsid w:val="00EF7BEF"/>
    <w:rsid w:val="00F232FA"/>
    <w:rsid w:val="00F429DF"/>
    <w:rsid w:val="00FB569B"/>
    <w:rsid w:val="00FE5C8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794CC-ECB9-474D-8482-95FFAFD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33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327D"/>
  </w:style>
  <w:style w:type="paragraph" w:styleId="ListParagraph">
    <w:name w:val="List Paragraph"/>
    <w:basedOn w:val="Normal"/>
    <w:uiPriority w:val="34"/>
    <w:qFormat/>
    <w:rsid w:val="001521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D5B3C"/>
    <w:pPr>
      <w:spacing w:after="20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B3C"/>
    <w:rPr>
      <w:rFonts w:eastAsiaTheme="minorEastAsi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NairaBubushyan</dc:creator>
  <cp:keywords>https:/mul2-mss.gov.am/tasks/642998/oneclick/Ampopatert.docx?token=b937954b2727487cfe3ed93d85887f94</cp:keywords>
  <dc:description/>
  <cp:lastModifiedBy>Armenuhi Gargaloyan</cp:lastModifiedBy>
  <cp:revision>2</cp:revision>
  <dcterms:created xsi:type="dcterms:W3CDTF">2022-08-17T10:35:00Z</dcterms:created>
  <dcterms:modified xsi:type="dcterms:W3CDTF">2022-08-17T10:35:00Z</dcterms:modified>
</cp:coreProperties>
</file>