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F310F" w14:textId="77777777" w:rsidR="00756176" w:rsidRDefault="00EF16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 Ի Մ Ն Ա Վ Ո Ր ՈՒ Մ</w:t>
      </w:r>
    </w:p>
    <w:p w14:paraId="6A29C83D" w14:textId="77777777" w:rsidR="00756176" w:rsidRDefault="007561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5FF3CA6A" w14:textId="25C4862B" w:rsidR="00756176" w:rsidRDefault="00EF16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ՀԱԿԱԿՈՌՈՒՊՑԻՈՆ ԿՈՄԻՏԵԻ ԽՈՐՀՐԴԱՆԻՇԻ ՁԵՎԸ ԵՎ ՆԿԱՐԱԳԻՐԸ ՍԱՀՄԱՆԵԼՈՒ ՄԱՍԻՆ ԿԱՌԱՎԱՐՈՒԹՅԱՆ ՈՐՈՇՄԱՆ ՆԱԽԱԳԾԻ ԸՆԴՈՒՆՄԱՆ </w:t>
      </w:r>
    </w:p>
    <w:p w14:paraId="26A920D2" w14:textId="77777777" w:rsidR="00756176" w:rsidRDefault="007561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u w:val="single"/>
        </w:rPr>
      </w:pPr>
    </w:p>
    <w:p w14:paraId="415CE9BD" w14:textId="77777777" w:rsidR="00756176" w:rsidRDefault="00EF16ED">
      <w:pPr>
        <w:spacing w:line="360" w:lineRule="auto"/>
        <w:ind w:firstLine="567"/>
        <w:rPr>
          <w:rFonts w:ascii="GHEA Grapalat" w:eastAsia="GHEA Grapalat" w:hAnsi="GHEA Grapalat" w:cs="GHEA Grapalat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GHEA Grapalat" w:eastAsia="GHEA Grapalat" w:hAnsi="GHEA Grapalat" w:cs="GHEA Grapalat"/>
          <w:b/>
          <w:sz w:val="24"/>
          <w:szCs w:val="24"/>
        </w:rPr>
        <w:t>Իրավական ակտի ընդունման անհրաժեշտությունը.</w:t>
      </w:r>
    </w:p>
    <w:p w14:paraId="247FBC26" w14:textId="34C8785F" w:rsidR="00756176" w:rsidRDefault="00EF16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«Հակակոռուպցիոն կոմիտեի խորհրդանիշի ձևը և նկարագիրը սահմանելու մասին» Հայաստանի Հանրապետության կառավարության որոշման նախագծի (այսուհետ նաև՝ Նախագիծ) ընդունման անհրաժեշտությունը պայմանավորված է 2021 թվականի մարտի 24-ին ընդունված «Հակակոռուպցիոն կոմիտեի մասին» օրենքի 44-րդ հոդվածի 1-ին մասի կարգավորումներով: </w:t>
      </w:r>
    </w:p>
    <w:p w14:paraId="5361B207" w14:textId="1B283F2D" w:rsidR="00756176" w:rsidRDefault="007561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u w:val="single"/>
        </w:rPr>
      </w:pPr>
    </w:p>
    <w:p w14:paraId="58167083" w14:textId="77777777" w:rsidR="00D21264" w:rsidRPr="00D21264" w:rsidRDefault="00D21264" w:rsidP="00D21264">
      <w:pPr>
        <w:spacing w:after="200" w:line="360" w:lineRule="auto"/>
        <w:ind w:firstLine="567"/>
        <w:contextualSpacing/>
        <w:jc w:val="both"/>
        <w:rPr>
          <w:rFonts w:ascii="GHEA Grapalat" w:eastAsia="Calibri" w:hAnsi="GHEA Grapalat" w:cs="Times New Roman"/>
          <w:b/>
          <w:bCs/>
          <w:sz w:val="24"/>
          <w:szCs w:val="24"/>
          <w:lang w:eastAsia="en-US"/>
        </w:rPr>
      </w:pPr>
      <w:r w:rsidRPr="00D21264">
        <w:rPr>
          <w:rFonts w:ascii="GHEA Grapalat" w:eastAsia="Calibri" w:hAnsi="GHEA Grapalat" w:cs="Times New Roman"/>
          <w:b/>
          <w:bCs/>
          <w:sz w:val="24"/>
          <w:szCs w:val="24"/>
          <w:lang w:eastAsia="en-US"/>
        </w:rPr>
        <w:t>Կապը ռազմավարական փաստաթղթերի հետ. Հայաստանի վերափոխման ռազմավարություն 2050, Կառավարության 2021-2026թթ. ծրագիր, Հայաստանի Հանրապետության հակակոռուպցիոն ռազմավարության և դրա իրականացման 2019-2022 թվականների միջոցառումների ծրագիր.</w:t>
      </w:r>
    </w:p>
    <w:p w14:paraId="6FE74713" w14:textId="77777777" w:rsidR="00D21264" w:rsidRPr="00D21264" w:rsidRDefault="00D21264" w:rsidP="00D21264">
      <w:pPr>
        <w:spacing w:after="200" w:line="360" w:lineRule="auto"/>
        <w:ind w:firstLine="567"/>
        <w:contextualSpacing/>
        <w:jc w:val="both"/>
        <w:rPr>
          <w:rFonts w:ascii="GHEA Grapalat" w:eastAsia="Calibri" w:hAnsi="GHEA Grapalat" w:cs="Times New Roman"/>
          <w:bCs/>
          <w:sz w:val="24"/>
          <w:szCs w:val="24"/>
          <w:lang w:eastAsia="en-US"/>
        </w:rPr>
      </w:pPr>
      <w:r w:rsidRPr="00D21264">
        <w:rPr>
          <w:rFonts w:ascii="GHEA Grapalat" w:eastAsia="Calibri" w:hAnsi="GHEA Grapalat" w:cs="Times New Roman"/>
          <w:bCs/>
          <w:sz w:val="24"/>
          <w:szCs w:val="24"/>
          <w:lang w:eastAsia="en-US"/>
        </w:rPr>
        <w:t xml:space="preserve">Նախագծերի ընդունումը պայմանավորված է նաև Հայաստանի Հանրապետության կառավարության 2019 թվականի հոկտեմբերի 3-ի «Հայաստանի Հանրապետության հակակոռուպցիոն ռազմավարությունը և դրա իրականացման 2019-2022 թվականների միջոցառումների ծրագիրը հաստատելու մասին» N 1332-Ն որոշման (այսուհետ՝ Հակակոռուպցիոն ռազմավարություն) միջոցառումների ծրագրի 2-րդ կետի կարգավորմամբ, որով նախատեսվում է, որ 2021 թվականին կձևավորվի անկախության բավարար երաշխիքներ ունեցող հակակոռուպցիոն իրավապահ մարմին` Հակակոռուպցիոն կոմիտե (այսուհետ նաև՝ Կոմիտե), որը ապահովված կլինի </w:t>
      </w:r>
      <w:r w:rsidRPr="00D21264">
        <w:rPr>
          <w:rFonts w:ascii="GHEA Grapalat" w:eastAsia="Calibri" w:hAnsi="GHEA Grapalat" w:cs="Times New Roman"/>
          <w:sz w:val="24"/>
          <w:szCs w:val="24"/>
          <w:lang w:eastAsia="en-US"/>
        </w:rPr>
        <w:t xml:space="preserve">բյուջետային ինքնուրույն </w:t>
      </w:r>
      <w:r w:rsidRPr="00D21264">
        <w:rPr>
          <w:rFonts w:ascii="GHEA Grapalat" w:eastAsia="Calibri" w:hAnsi="GHEA Grapalat" w:cs="Times New Roman"/>
          <w:sz w:val="24"/>
          <w:szCs w:val="24"/>
          <w:lang w:eastAsia="en-US"/>
        </w:rPr>
        <w:lastRenderedPageBreak/>
        <w:t>ֆինանսավորմամբ, իր գործառույթների իրականացման համար անհրաժեշտ գործիքակազմով:</w:t>
      </w:r>
    </w:p>
    <w:p w14:paraId="169E9CEA" w14:textId="77777777" w:rsidR="00D21264" w:rsidRPr="00D21264" w:rsidRDefault="00D21264" w:rsidP="00D21264">
      <w:pPr>
        <w:spacing w:after="200" w:line="360" w:lineRule="auto"/>
        <w:ind w:firstLine="567"/>
        <w:contextualSpacing/>
        <w:jc w:val="both"/>
        <w:rPr>
          <w:rFonts w:ascii="GHEA Grapalat" w:eastAsia="Calibri" w:hAnsi="GHEA Grapalat" w:cs="Times New Roman"/>
          <w:sz w:val="24"/>
          <w:szCs w:val="24"/>
          <w:lang w:eastAsia="en-US"/>
        </w:rPr>
      </w:pPr>
      <w:r w:rsidRPr="00D21264">
        <w:rPr>
          <w:rFonts w:ascii="GHEA Grapalat" w:eastAsia="Calibri" w:hAnsi="GHEA Grapalat" w:cs="Times New Roman"/>
          <w:sz w:val="24"/>
          <w:szCs w:val="24"/>
          <w:lang w:eastAsia="en-US"/>
        </w:rPr>
        <w:t>Բացի այդ, Հայաստանի Հանրապետության կառավարության 2021 թվականի օգոստոսի 18-ի «</w:t>
      </w:r>
      <w:r w:rsidRPr="00D21264">
        <w:rPr>
          <w:rFonts w:ascii="GHEA Grapalat" w:eastAsia="Calibri" w:hAnsi="GHEA Grapalat" w:cs="Times New Roman"/>
          <w:bCs/>
          <w:sz w:val="24"/>
          <w:szCs w:val="24"/>
          <w:lang w:eastAsia="en-US"/>
        </w:rPr>
        <w:t>Հայաստանի Հանրապետության կառավարության ծրագրի մասին» N 1363-Ա որոշմամբ «Կոռուպցիայի դեմ պայքարը» 5.5-րդ կետում նշվել է, որ ակնկալվում է առավել սեղմ ժամկետում ամբողջ ծավալով գործարկել Կոմիտեն, որը հագեցված կլինի անհրաժեշտ նյութատեխնիկական և մարդկային ռեսուրսներով:</w:t>
      </w:r>
    </w:p>
    <w:p w14:paraId="5DF67DF8" w14:textId="40FA1450" w:rsidR="00D21264" w:rsidRPr="00D21264" w:rsidRDefault="00D21264" w:rsidP="00D21264">
      <w:pPr>
        <w:spacing w:line="360" w:lineRule="auto"/>
        <w:ind w:firstLine="567"/>
        <w:contextualSpacing/>
        <w:jc w:val="both"/>
        <w:rPr>
          <w:rFonts w:ascii="GHEA Grapalat" w:eastAsia="Calibri" w:hAnsi="GHEA Grapalat" w:cs="Times New Roman"/>
          <w:sz w:val="24"/>
          <w:szCs w:val="24"/>
          <w:lang w:eastAsia="en-US"/>
        </w:rPr>
      </w:pPr>
      <w:r w:rsidRPr="00D21264">
        <w:rPr>
          <w:rFonts w:ascii="GHEA Grapalat" w:eastAsia="Calibri" w:hAnsi="GHEA Grapalat" w:cs="Times New Roman"/>
          <w:sz w:val="24"/>
          <w:szCs w:val="24"/>
          <w:lang w:eastAsia="en-US"/>
        </w:rPr>
        <w:t>Ուստի, սույն Նախագծով, հաշվի առնելով այն հանգամանքը, որ Կոմիտեի ձևավորումը ամրագրված է ռազմավարական նշված փաստաթղթերով, կապահովվեն Կոմիտեի բնականոն գործունեության համար անհրաժեշտ տարրերը:</w:t>
      </w:r>
    </w:p>
    <w:p w14:paraId="720C6382" w14:textId="60525AFA" w:rsidR="00D21264" w:rsidRDefault="00D212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u w:val="single"/>
        </w:rPr>
      </w:pPr>
    </w:p>
    <w:p w14:paraId="65F7A788" w14:textId="77777777" w:rsidR="00756176" w:rsidRDefault="00EF16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Ընթացիկ իրավիճակը և խնդիրները.</w:t>
      </w:r>
    </w:p>
    <w:p w14:paraId="68E3094F" w14:textId="25E4FF82" w:rsidR="00756176" w:rsidRDefault="00EF16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 Հանրապետության Ազգային ժողովի կողմից</w:t>
      </w:r>
      <w:r w:rsidR="002A3BB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2021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թվականի մարտի 24-ին ընդունվել է «Հակակոռուպցիոն կոմիտեի մասին» Հայաստանի Հանրապետության օրենքը (այսուհետ նաև՝ Օրենք): </w:t>
      </w:r>
    </w:p>
    <w:p w14:paraId="68E91408" w14:textId="77777777" w:rsidR="00756176" w:rsidRDefault="00EF16ED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Օրենքի 44-րդ հոդվածի 1-ին մասի համաձայն՝ Հակակոռուպցիոն կոմիտեի խորհրդանիշի ձևը և նկարագիրը սահմանում է Կառավարությունը։</w:t>
      </w:r>
    </w:p>
    <w:p w14:paraId="50B26C2B" w14:textId="77777777" w:rsidR="00756176" w:rsidRDefault="00EF16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Հիմք ընդունելով վերոգրյալը՝ անհրաժեշտություն է առաջացել ընդունել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Հակակոռուպցիոն կոմիտեի խորհրդանիշի ձևը և նկարագիրը սահմանող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իրավական կարգավորում։</w:t>
      </w:r>
    </w:p>
    <w:p w14:paraId="67EC91B9" w14:textId="77777777" w:rsidR="00756176" w:rsidRDefault="007561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</w:p>
    <w:p w14:paraId="799F59D1" w14:textId="77777777" w:rsidR="00756176" w:rsidRDefault="00EF16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Առաջարկվող կարգավորման բնույթը.</w:t>
      </w:r>
    </w:p>
    <w:p w14:paraId="7145B18A" w14:textId="77777777" w:rsidR="00756176" w:rsidRDefault="00EF16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Հաշվի առնելով վերոգրյալը՝ մշակվել է «Հակակոռուպցիոն կոմիտեի խորհրդանիշի ձևը և նկարագիրը սահմանելու մասին» Կառավարության որոշման նախագիծը, որով առաջարկվում է սահմանել Հակակոռուպցիոն կոմիտեի խորհրդանիշի ձևը և նկարագիրը։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</w:p>
    <w:p w14:paraId="19B8FCD6" w14:textId="77777777" w:rsidR="00756176" w:rsidRDefault="007561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u w:val="single"/>
        </w:rPr>
      </w:pPr>
    </w:p>
    <w:p w14:paraId="68C86166" w14:textId="77777777" w:rsidR="00756176" w:rsidRDefault="00EF16ED">
      <w:pPr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Նախագծի ընդունման կապակցությամբ ֆինանսական միջոցների անհրաժեշտության և պետական բյուջեի եկամուտներում և ծախսերում սպասվելիք փոփոխությունների մասին.</w:t>
      </w:r>
    </w:p>
    <w:p w14:paraId="6A4D8714" w14:textId="77777777" w:rsidR="00756176" w:rsidRDefault="00EF16ED">
      <w:pPr>
        <w:spacing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Նախագծի ընդունմամբ Հայաստանի Հանրապետության պետական բյուջեում եկամուտների ավելացում կամ նվազեցում չի նախատեսվում։</w:t>
      </w:r>
    </w:p>
    <w:p w14:paraId="3B44023A" w14:textId="77777777" w:rsidR="00756176" w:rsidRDefault="007561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u w:val="single"/>
        </w:rPr>
      </w:pPr>
    </w:p>
    <w:p w14:paraId="3B163D7E" w14:textId="77777777" w:rsidR="00756176" w:rsidRDefault="00EF16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Նախագծի մշակման գործընթացում ներգրավված ինստիտուտները և անձինք.</w:t>
      </w:r>
    </w:p>
    <w:p w14:paraId="5F41DD1E" w14:textId="45D25836" w:rsidR="00756176" w:rsidRPr="003F7134" w:rsidRDefault="00EF16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Նախագիծը մշակվել է Հայաստանի Հանրապետության արդարադատության նախարարության</w:t>
      </w:r>
      <w:r w:rsidR="003F7134" w:rsidRPr="003F713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Հակակոռուպցիոն կոմիտեի</w:t>
      </w:r>
      <w:bookmarkStart w:id="1" w:name="_GoBack"/>
      <w:bookmarkEnd w:id="1"/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կողմից:</w:t>
      </w:r>
    </w:p>
    <w:p w14:paraId="7CCCB9A3" w14:textId="77777777" w:rsidR="00756176" w:rsidRDefault="007561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u w:val="single"/>
        </w:rPr>
      </w:pPr>
    </w:p>
    <w:p w14:paraId="54FA9813" w14:textId="77777777" w:rsidR="00756176" w:rsidRDefault="00EF16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Ակնկալվող արդյունքը.</w:t>
      </w:r>
    </w:p>
    <w:p w14:paraId="2CA90677" w14:textId="4D5E9800" w:rsidR="00756176" w:rsidRDefault="00EF16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Նախագծի ընդունմամբ կկատարվեն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«Հակակոռուպցիոն կոմիտեի մասին» Հայաստանի Հանրապետության օրենքի պահանջները, ինչպես նաև կապահովվ</w:t>
      </w:r>
      <w:r w:rsidR="000F7449" w:rsidRPr="00DD125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են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Հակակոռուպցիոն կոմիտեի</w:t>
      </w:r>
      <w:r w:rsidR="000F7449" w:rsidRPr="00DD125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լիարժեք ու պատշաճ գործունեության պայմանները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։</w:t>
      </w:r>
    </w:p>
    <w:p w14:paraId="6B69DCD8" w14:textId="77777777" w:rsidR="00756176" w:rsidRDefault="007561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</w:p>
    <w:sectPr w:rsidR="00756176">
      <w:headerReference w:type="default" r:id="rId8"/>
      <w:pgSz w:w="11909" w:h="16834"/>
      <w:pgMar w:top="1440" w:right="1440" w:bottom="85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8D121" w14:textId="77777777" w:rsidR="000F1F7E" w:rsidRDefault="000F1F7E">
      <w:pPr>
        <w:spacing w:line="240" w:lineRule="auto"/>
      </w:pPr>
      <w:r>
        <w:separator/>
      </w:r>
    </w:p>
  </w:endnote>
  <w:endnote w:type="continuationSeparator" w:id="0">
    <w:p w14:paraId="47674E9D" w14:textId="77777777" w:rsidR="000F1F7E" w:rsidRDefault="000F1F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">
    <w:altName w:val="Courier New"/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71338" w14:textId="77777777" w:rsidR="000F1F7E" w:rsidRDefault="000F1F7E">
      <w:pPr>
        <w:spacing w:line="240" w:lineRule="auto"/>
      </w:pPr>
      <w:r>
        <w:separator/>
      </w:r>
    </w:p>
  </w:footnote>
  <w:footnote w:type="continuationSeparator" w:id="0">
    <w:p w14:paraId="4191DFDA" w14:textId="77777777" w:rsidR="000F1F7E" w:rsidRDefault="000F1F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6BBC9" w14:textId="77777777" w:rsidR="00756176" w:rsidRDefault="00EF16ED">
    <w:pPr>
      <w:pBdr>
        <w:left w:val="single" w:sz="18" w:space="4" w:color="FF0000"/>
      </w:pBdr>
      <w:tabs>
        <w:tab w:val="center" w:pos="4320"/>
        <w:tab w:val="right" w:pos="8640"/>
      </w:tabs>
      <w:spacing w:line="240" w:lineRule="auto"/>
      <w:ind w:left="-180"/>
      <w:rPr>
        <w:rFonts w:ascii="Merriweather" w:eastAsia="Merriweather" w:hAnsi="Merriweather" w:cs="Merriweather"/>
        <w:color w:val="FF0000"/>
      </w:rPr>
    </w:pPr>
    <w:r>
      <w:rPr>
        <w:rFonts w:ascii="GHEA Grapalat" w:eastAsia="GHEA Grapalat" w:hAnsi="GHEA Grapalat" w:cs="GHEA Grapalat"/>
        <w:sz w:val="24"/>
        <w:szCs w:val="24"/>
      </w:rPr>
      <w:t>Արդարադատության</w:t>
    </w:r>
    <w:r>
      <w:rPr>
        <w:rFonts w:ascii="Arial Armenian" w:eastAsia="Arial Armenian" w:hAnsi="Arial Armenian" w:cs="Arial Armenian"/>
      </w:rPr>
      <w:t xml:space="preserve">                                                                                       </w:t>
    </w:r>
    <w:r>
      <w:rPr>
        <w:rFonts w:ascii="Merriweather" w:eastAsia="Merriweather" w:hAnsi="Merriweather" w:cs="Merriweather"/>
      </w:rPr>
      <w:t xml:space="preserve"> </w:t>
    </w:r>
    <w:r>
      <w:rPr>
        <w:rFonts w:ascii="Merriweather" w:eastAsia="Merriweather" w:hAnsi="Merriweather" w:cs="Merriweather"/>
        <w:sz w:val="24"/>
        <w:szCs w:val="24"/>
      </w:rPr>
      <w:t xml:space="preserve"> </w:t>
    </w:r>
    <w:r>
      <w:rPr>
        <w:rFonts w:ascii="GHEA Grapalat" w:eastAsia="GHEA Grapalat" w:hAnsi="GHEA Grapalat" w:cs="GHEA Grapalat"/>
        <w:sz w:val="24"/>
        <w:szCs w:val="24"/>
      </w:rPr>
      <w:t>ՆԱԽԱԳԻԾ</w:t>
    </w:r>
    <w:r>
      <w:rPr>
        <w:rFonts w:ascii="Arial Armenian" w:eastAsia="Arial Armenian" w:hAnsi="Arial Armenian" w:cs="Arial Armenian"/>
        <w:sz w:val="24"/>
        <w:szCs w:val="24"/>
      </w:rPr>
      <w:t xml:space="preserve">                                                                                                                           </w:t>
    </w:r>
    <w:r>
      <w:rPr>
        <w:noProof/>
        <w:lang w:val="en-US" w:eastAsia="en-US"/>
      </w:rPr>
      <w:drawing>
        <wp:anchor distT="0" distB="0" distL="0" distR="0" simplePos="0" relativeHeight="251658240" behindDoc="1" locked="0" layoutInCell="1" hidden="0" allowOverlap="1" wp14:anchorId="0215C5B6" wp14:editId="184E8ABF">
          <wp:simplePos x="0" y="0"/>
          <wp:positionH relativeFrom="column">
            <wp:posOffset>-685799</wp:posOffset>
          </wp:positionH>
          <wp:positionV relativeFrom="paragraph">
            <wp:posOffset>-8889</wp:posOffset>
          </wp:positionV>
          <wp:extent cx="457200" cy="444500"/>
          <wp:effectExtent l="0" t="0" r="0" b="0"/>
          <wp:wrapNone/>
          <wp:docPr id="3" name="image2.jpg" descr="GERB_H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GERB_H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9BEB5E2" w14:textId="77777777" w:rsidR="00756176" w:rsidRDefault="00EF16ED">
    <w:pPr>
      <w:pBdr>
        <w:left w:val="single" w:sz="18" w:space="4" w:color="0000FF"/>
      </w:pBdr>
      <w:tabs>
        <w:tab w:val="center" w:pos="4320"/>
        <w:tab w:val="right" w:pos="8640"/>
      </w:tabs>
      <w:spacing w:line="240" w:lineRule="auto"/>
      <w:ind w:left="-180"/>
      <w:rPr>
        <w:rFonts w:ascii="Arial Armenian" w:eastAsia="Arial Armenian" w:hAnsi="Arial Armenian" w:cs="Arial Armenian"/>
      </w:rPr>
    </w:pPr>
    <w:r>
      <w:rPr>
        <w:rFonts w:ascii="GHEA Grapalat" w:eastAsia="GHEA Grapalat" w:hAnsi="GHEA Grapalat" w:cs="GHEA Grapalat"/>
        <w:sz w:val="24"/>
        <w:szCs w:val="24"/>
      </w:rPr>
      <w:t>Նախարարություն</w:t>
    </w:r>
    <w:r>
      <w:rPr>
        <w:rFonts w:ascii="Arial Armenian" w:eastAsia="Arial Armenian" w:hAnsi="Arial Armenian" w:cs="Arial Armenian"/>
        <w:sz w:val="24"/>
        <w:szCs w:val="24"/>
      </w:rPr>
      <w:t xml:space="preserve"> </w:t>
    </w:r>
    <w:r>
      <w:rPr>
        <w:rFonts w:ascii="Arial Armenian" w:eastAsia="Arial Armenian" w:hAnsi="Arial Armenian" w:cs="Arial Armenian"/>
      </w:rPr>
      <w:t xml:space="preserve">                      </w:t>
    </w:r>
  </w:p>
  <w:p w14:paraId="64546ADA" w14:textId="77777777" w:rsidR="00756176" w:rsidRDefault="00EF16ED">
    <w:pPr>
      <w:pBdr>
        <w:left w:val="single" w:sz="18" w:space="4" w:color="FF6600"/>
      </w:pBdr>
      <w:tabs>
        <w:tab w:val="center" w:pos="4320"/>
        <w:tab w:val="right" w:pos="8640"/>
      </w:tabs>
      <w:spacing w:line="240" w:lineRule="auto"/>
      <w:ind w:left="-180"/>
      <w:rPr>
        <w:rFonts w:ascii="Art" w:eastAsia="Art" w:hAnsi="Art" w:cs="Art"/>
      </w:rPr>
    </w:pPr>
    <w:r>
      <w:rPr>
        <w:rFonts w:ascii="Art" w:eastAsia="Art" w:hAnsi="Art" w:cs="Art"/>
      </w:rPr>
      <w:t xml:space="preserve">                                                                                                                                                            </w:t>
    </w:r>
  </w:p>
  <w:p w14:paraId="15941F8A" w14:textId="77777777" w:rsidR="00756176" w:rsidRDefault="00756176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line="240" w:lineRule="auto"/>
      <w:rPr>
        <w:color w:val="000000"/>
      </w:rPr>
    </w:pPr>
  </w:p>
  <w:p w14:paraId="6E8AABA6" w14:textId="77777777" w:rsidR="00756176" w:rsidRDefault="00756176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80CE7"/>
    <w:multiLevelType w:val="multilevel"/>
    <w:tmpl w:val="409606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76"/>
    <w:rsid w:val="000F1F7E"/>
    <w:rsid w:val="000F7449"/>
    <w:rsid w:val="00266AE5"/>
    <w:rsid w:val="002A3BBB"/>
    <w:rsid w:val="0039231E"/>
    <w:rsid w:val="003F7134"/>
    <w:rsid w:val="0040622E"/>
    <w:rsid w:val="006B7A7A"/>
    <w:rsid w:val="00756176"/>
    <w:rsid w:val="00A0601B"/>
    <w:rsid w:val="00B22C4E"/>
    <w:rsid w:val="00B80113"/>
    <w:rsid w:val="00BF195E"/>
    <w:rsid w:val="00D21264"/>
    <w:rsid w:val="00D73F1C"/>
    <w:rsid w:val="00DA25E5"/>
    <w:rsid w:val="00DD125F"/>
    <w:rsid w:val="00E00ED6"/>
    <w:rsid w:val="00EF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68101"/>
  <w15:docId w15:val="{B1BF5C11-CB86-40AB-934C-C419425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y-AM" w:eastAsia="hy-AM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E28"/>
  </w:style>
  <w:style w:type="paragraph" w:styleId="Heading1">
    <w:name w:val="heading 1"/>
    <w:basedOn w:val="Normal1"/>
    <w:next w:val="Normal1"/>
    <w:uiPriority w:val="9"/>
    <w:qFormat/>
    <w:rsid w:val="009D2AE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9D2AE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9D2AE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9D2AE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9D2AE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9D2AE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9D2AED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9D2AED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A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AE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D2AE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B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4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AA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979A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2DF8"/>
    <w:pPr>
      <w:tabs>
        <w:tab w:val="center" w:pos="4844"/>
        <w:tab w:val="right" w:pos="968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DF8"/>
  </w:style>
  <w:style w:type="paragraph" w:styleId="Footer">
    <w:name w:val="footer"/>
    <w:basedOn w:val="Normal"/>
    <w:link w:val="FooterChar"/>
    <w:uiPriority w:val="99"/>
    <w:semiHidden/>
    <w:unhideWhenUsed/>
    <w:rsid w:val="00952DF8"/>
    <w:pPr>
      <w:tabs>
        <w:tab w:val="center" w:pos="4844"/>
        <w:tab w:val="right" w:pos="968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2DF8"/>
  </w:style>
  <w:style w:type="table" w:styleId="TableGrid">
    <w:name w:val="Table Grid"/>
    <w:basedOn w:val="TableNormal"/>
    <w:uiPriority w:val="59"/>
    <w:rsid w:val="009F6F94"/>
    <w:pPr>
      <w:spacing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E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E3A66"/>
    <w:rPr>
      <w:b/>
      <w:bCs/>
    </w:rPr>
  </w:style>
  <w:style w:type="character" w:styleId="Emphasis">
    <w:name w:val="Emphasis"/>
    <w:basedOn w:val="DefaultParagraphFont"/>
    <w:uiPriority w:val="20"/>
    <w:qFormat/>
    <w:rsid w:val="001E3A66"/>
    <w:rPr>
      <w:i/>
      <w:iCs/>
    </w:rPr>
  </w:style>
  <w:style w:type="table" w:customStyle="1" w:styleId="a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3ZzFu2Od3cetIqLpOSk1/sMmfQ==">AMUW2mVXltO5R6lY9HzF0f4eoNXOG8FsA8gDNxrqiJvAKQOrhdIKDaFJu7QA2jUYCyp/PVnAUcXzkRKS0aDWh5Z02mnXAeP8vVJdw5LV0f8kjZJM66kIuFlwrsxGIgR3egZuq0JW6pkw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2022-06-07T12:25:00Z</dcterms:created>
  <dcterms:modified xsi:type="dcterms:W3CDTF">2022-06-07T12:28:00Z</dcterms:modified>
</cp:coreProperties>
</file>