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31" w:rsidRDefault="00D02497" w:rsidP="00576611">
      <w:pPr>
        <w:spacing w:after="0" w:line="360" w:lineRule="auto"/>
        <w:ind w:left="-630" w:right="-275" w:hanging="90"/>
        <w:jc w:val="center"/>
        <w:rPr>
          <w:rFonts w:ascii="GHEA Grapalat" w:hAnsi="GHEA Grapalat" w:cs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Ի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Ն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Ա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Վ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97487E" w:rsidRDefault="00993331" w:rsidP="00576611">
      <w:pPr>
        <w:spacing w:after="0" w:line="360" w:lineRule="auto"/>
        <w:ind w:left="-806" w:right="187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 w:rsidR="00F8616D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</w:t>
      </w:r>
      <w:r w:rsidR="003A6E7B">
        <w:rPr>
          <w:rFonts w:ascii="GHEA Grapalat" w:hAnsi="GHEA Grapalat"/>
          <w:b/>
          <w:i w:val="0"/>
          <w:sz w:val="24"/>
          <w:szCs w:val="24"/>
          <w:lang w:val="hy-AM"/>
        </w:rPr>
        <w:t xml:space="preserve"> ՔՆՆՉԱԿԱՆ ԿՈՄԻՏԵԻՆ ԳՈՒՅՔ ԱՄՐԱՑՆԵԼՈՒ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</w:p>
    <w:p w:rsidR="00993331" w:rsidRDefault="00993331" w:rsidP="00576611">
      <w:pPr>
        <w:spacing w:line="360" w:lineRule="auto"/>
        <w:ind w:left="-810" w:right="189" w:firstLine="72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D02497" w:rsidRDefault="00D02497" w:rsidP="00A207FC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3A6E7B" w:rsidRDefault="00A207FC" w:rsidP="00A207FC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Ներկայացված նախագծով առաջարկվում է </w:t>
      </w:r>
      <w:r w:rsidR="003A6E7B">
        <w:rPr>
          <w:rFonts w:ascii="GHEA Grapalat" w:hAnsi="GHEA Grapalat"/>
          <w:i w:val="0"/>
          <w:sz w:val="24"/>
          <w:szCs w:val="24"/>
          <w:lang w:val="hy-AM"/>
        </w:rPr>
        <w:t xml:space="preserve">ուժը կորցրած ճանաչել </w:t>
      </w:r>
      <w:r w:rsidR="003A6E7B" w:rsidRPr="003A6E7B">
        <w:rPr>
          <w:rFonts w:ascii="GHEA Grapalat" w:hAnsi="GHEA Grapalat"/>
          <w:i w:val="0"/>
          <w:sz w:val="24"/>
          <w:szCs w:val="24"/>
          <w:lang w:val="hy-AM"/>
        </w:rPr>
        <w:t>ՀՀ կառավարության 01.02.2018 թվականի թիվ 83-Ա որոշ</w:t>
      </w:r>
      <w:r w:rsidR="003A6E7B">
        <w:rPr>
          <w:rFonts w:ascii="GHEA Grapalat" w:hAnsi="GHEA Grapalat"/>
          <w:i w:val="0"/>
          <w:sz w:val="24"/>
          <w:szCs w:val="24"/>
          <w:lang w:val="hy-AM"/>
        </w:rPr>
        <w:t>ու</w:t>
      </w:r>
      <w:r w:rsidR="003A6E7B" w:rsidRPr="003A6E7B">
        <w:rPr>
          <w:rFonts w:ascii="GHEA Grapalat" w:hAnsi="GHEA Grapalat"/>
          <w:i w:val="0"/>
          <w:sz w:val="24"/>
          <w:szCs w:val="24"/>
          <w:lang w:val="hy-AM"/>
        </w:rPr>
        <w:t>մ</w:t>
      </w:r>
      <w:r w:rsidR="003A6E7B">
        <w:rPr>
          <w:rFonts w:ascii="GHEA Grapalat" w:hAnsi="GHEA Grapalat"/>
          <w:i w:val="0"/>
          <w:sz w:val="24"/>
          <w:szCs w:val="24"/>
          <w:lang w:val="hy-AM"/>
        </w:rPr>
        <w:t>ը</w:t>
      </w:r>
      <w:r w:rsidR="003A6E7B"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(այսուհետ՝ Որոշում)</w:t>
      </w:r>
      <w:r w:rsidR="003A6E7B">
        <w:rPr>
          <w:rFonts w:ascii="GHEA Grapalat" w:hAnsi="GHEA Grapalat"/>
          <w:i w:val="0"/>
          <w:sz w:val="24"/>
          <w:szCs w:val="24"/>
          <w:lang w:val="hy-AM"/>
        </w:rPr>
        <w:t xml:space="preserve"> և </w:t>
      </w:r>
      <w:r w:rsidR="003A6E7B"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Երևան քաղաքի Թաիրով թիվ 14 </w:t>
      </w:r>
      <w:r w:rsidR="003A6E7B">
        <w:rPr>
          <w:rFonts w:ascii="GHEA Grapalat" w:hAnsi="GHEA Grapalat"/>
          <w:i w:val="0"/>
          <w:sz w:val="24"/>
          <w:szCs w:val="24"/>
          <w:lang w:val="hy-AM"/>
        </w:rPr>
        <w:t xml:space="preserve">հասցեում գտնվող գույն ամրացնել ՀՀ քննչական կոմիտեին։ </w:t>
      </w:r>
    </w:p>
    <w:p w:rsidR="003A6E7B" w:rsidRDefault="003A6E7B" w:rsidP="003A6E7B">
      <w:pPr>
        <w:spacing w:after="0" w:line="360" w:lineRule="auto"/>
        <w:ind w:left="-709" w:firstLine="72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3A6E7B">
        <w:rPr>
          <w:rFonts w:ascii="GHEA Grapalat" w:hAnsi="GHEA Grapalat"/>
          <w:i w:val="0"/>
          <w:sz w:val="24"/>
          <w:szCs w:val="24"/>
          <w:lang w:val="hy-AM"/>
        </w:rPr>
        <w:t>Որոշմ</w:t>
      </w:r>
      <w:r>
        <w:rPr>
          <w:rFonts w:ascii="GHEA Grapalat" w:hAnsi="GHEA Grapalat"/>
          <w:i w:val="0"/>
          <w:sz w:val="24"/>
          <w:szCs w:val="24"/>
          <w:lang w:val="hy-AM"/>
        </w:rPr>
        <w:t>ան համաձայն ՀՀ ՏԿԵՆ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պետական գույքի կառավարման </w:t>
      </w:r>
      <w:r>
        <w:rPr>
          <w:rFonts w:ascii="GHEA Grapalat" w:hAnsi="GHEA Grapalat"/>
          <w:i w:val="0"/>
          <w:sz w:val="24"/>
          <w:szCs w:val="24"/>
          <w:lang w:val="hy-AM"/>
        </w:rPr>
        <w:t>կոմիտեին (այսուհետ՝ Կոմիտե)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ա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>մրացված Երևան քաղաքի Ռուսթավելու N 17 հասցեում գտնվող նախկին Երևանի Շ. Ռուսթավելու անվան N 23 հիմնական դպրոցի շենքը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-շինությունները 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i w:val="0"/>
          <w:sz w:val="24"/>
          <w:szCs w:val="24"/>
          <w:lang w:val="hy-AM"/>
        </w:rPr>
        <w:t>դրանց օգտագործման ու սպասարկման համար հատկացված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հողա</w:t>
      </w:r>
      <w:r>
        <w:rPr>
          <w:rFonts w:ascii="GHEA Grapalat" w:hAnsi="GHEA Grapalat"/>
          <w:i w:val="0"/>
          <w:sz w:val="24"/>
          <w:szCs w:val="24"/>
          <w:lang w:val="hy-AM"/>
        </w:rPr>
        <w:t>մաս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>ը,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ինչպես նաև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Երևան քաղաքի Թաիրովի N 14 հասցեում գտնվող նախկին Երևանի N 81 միջնակարգ դպրոցի շենքը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-շինությունները 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i w:val="0"/>
          <w:sz w:val="24"/>
          <w:szCs w:val="24"/>
          <w:lang w:val="hy-AM"/>
        </w:rPr>
        <w:t>դրանց օգտագործման ու սպասարկման համար հատկացված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հողա</w:t>
      </w:r>
      <w:r>
        <w:rPr>
          <w:rFonts w:ascii="GHEA Grapalat" w:hAnsi="GHEA Grapalat"/>
          <w:i w:val="0"/>
          <w:sz w:val="24"/>
          <w:szCs w:val="24"/>
          <w:lang w:val="hy-AM"/>
        </w:rPr>
        <w:t>մաս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>ը նվիրաբեր</w:t>
      </w:r>
      <w:r>
        <w:rPr>
          <w:rFonts w:ascii="GHEA Grapalat" w:hAnsi="GHEA Grapalat"/>
          <w:i w:val="0"/>
          <w:sz w:val="24"/>
          <w:szCs w:val="24"/>
          <w:lang w:val="hy-AM"/>
        </w:rPr>
        <w:t>վ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ել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են 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>Երևանի համայնքին</w:t>
      </w:r>
      <w:r w:rsidR="00624543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24543"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(այսուհետ՝ Համայնք) 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>՝ այդ շենքերում նախադպրոցական կրթություն (մանկապարտեզ) և (կամ) արտադպրոցական դաստիարակություն (երաժշտական, սպորտի, արվեստի դպրոց և այլն) կազմակերպելու նպատակով:</w:t>
      </w:r>
    </w:p>
    <w:p w:rsidR="00D85050" w:rsidRDefault="00624543" w:rsidP="00624543">
      <w:pPr>
        <w:spacing w:after="0" w:line="360" w:lineRule="auto"/>
        <w:ind w:left="-709" w:firstLine="72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Կոմիտեի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i w:val="0"/>
          <w:sz w:val="24"/>
          <w:szCs w:val="24"/>
          <w:lang w:val="hy-AM"/>
        </w:rPr>
        <w:t>Հ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>ամայնքի միջև 01.03.2018 թվականին կնքվել են նվիրաբերության թիվ 01-2018 և թիվ 02-2018 պայմանագրերը</w:t>
      </w:r>
      <w:r>
        <w:rPr>
          <w:rFonts w:ascii="GHEA Grapalat" w:hAnsi="GHEA Grapalat"/>
          <w:i w:val="0"/>
          <w:sz w:val="24"/>
          <w:szCs w:val="24"/>
          <w:lang w:val="hy-AM"/>
        </w:rPr>
        <w:t>՝</w:t>
      </w:r>
      <w:r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համապատասխանաբար Երևան քաղաքի Թաիրով թիվ 14 և Երևան քաղաքի Ռուսթավելու թիվ 17 հասցեներում գտնվող շենք-շինությունների վերաբերյալ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85050">
        <w:rPr>
          <w:rFonts w:ascii="GHEA Grapalat" w:hAnsi="GHEA Grapalat"/>
          <w:i w:val="0"/>
          <w:sz w:val="24"/>
          <w:szCs w:val="24"/>
          <w:lang w:val="hy-AM"/>
        </w:rPr>
        <w:t xml:space="preserve">և ներկայումս դրանց նկատմամբ գրանցված է </w:t>
      </w:r>
      <w:r>
        <w:rPr>
          <w:rFonts w:ascii="GHEA Grapalat" w:hAnsi="GHEA Grapalat"/>
          <w:i w:val="0"/>
          <w:sz w:val="24"/>
          <w:szCs w:val="24"/>
          <w:lang w:val="hy-AM"/>
        </w:rPr>
        <w:t>Հ</w:t>
      </w:r>
      <w:r w:rsidR="00D85050">
        <w:rPr>
          <w:rFonts w:ascii="GHEA Grapalat" w:hAnsi="GHEA Grapalat"/>
          <w:i w:val="0"/>
          <w:sz w:val="24"/>
          <w:szCs w:val="24"/>
          <w:lang w:val="hy-AM"/>
        </w:rPr>
        <w:t>ամայնքի սեփականության իրավունքը։</w:t>
      </w:r>
    </w:p>
    <w:p w:rsidR="00D85050" w:rsidRDefault="00D85050" w:rsidP="003A6E7B">
      <w:pPr>
        <w:spacing w:after="0" w:line="360" w:lineRule="auto"/>
        <w:ind w:left="-709" w:firstLine="72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Կոմիտե է դիմել Երևանի քաղաքապետը՝ տեղեկացնելով, որ որոշման ընդունումից մինչ օրս նվիրաբերված գույքը դեռևս Որոշմամբ նախատեսված պայմաններով նպատակային նշանակությամբ չի օգտագործվել և Երևան համայնքի կողմից չի նախատեսվում դրանք ըստ նպատակային նշանակության օգտագործել՝ միաժամանակ տեղեկացնելով, որ նշված տարածքներում բնակությունը սակավ է և նոր մանակապարտեզներ հիմնելու անհրաժեշտություն չկա և առաջարկել </w:t>
      </w:r>
      <w:r w:rsidR="003807F7">
        <w:rPr>
          <w:rFonts w:ascii="GHEA Grapalat" w:hAnsi="GHEA Grapalat"/>
          <w:i w:val="0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հարցը կարգավորել </w:t>
      </w:r>
      <w:r w:rsidR="00624543">
        <w:rPr>
          <w:rFonts w:ascii="GHEA Grapalat" w:hAnsi="GHEA Grapalat"/>
          <w:i w:val="0"/>
          <w:sz w:val="24"/>
          <w:szCs w:val="24"/>
          <w:lang w:val="hy-AM"/>
        </w:rPr>
        <w:t xml:space="preserve">ՀՀ քաղաքացիական օրենսգրքի 605-րդ հոդվածի 6-րդ մասի պահանջներին համապատասխան՝ նվիրաբերությունը վերացնելու միջոցով, որի պարագայում Երևանի </w:t>
      </w:r>
      <w:r w:rsidR="00624543">
        <w:rPr>
          <w:rFonts w:ascii="GHEA Grapalat" w:hAnsi="GHEA Grapalat"/>
          <w:i w:val="0"/>
          <w:sz w:val="24"/>
          <w:szCs w:val="24"/>
          <w:lang w:val="hy-AM"/>
        </w:rPr>
        <w:lastRenderedPageBreak/>
        <w:t xml:space="preserve">քաղաքապետարանը պատրաստակամ է կնքել համապատասխան </w:t>
      </w:r>
      <w:r w:rsidR="000F101A">
        <w:rPr>
          <w:rFonts w:ascii="GHEA Grapalat" w:hAnsi="GHEA Grapalat"/>
          <w:i w:val="0"/>
          <w:sz w:val="24"/>
          <w:szCs w:val="24"/>
          <w:lang w:val="hy-AM"/>
        </w:rPr>
        <w:t>համաձայնագ</w:t>
      </w:r>
      <w:r w:rsidR="00624543">
        <w:rPr>
          <w:rFonts w:ascii="GHEA Grapalat" w:hAnsi="GHEA Grapalat"/>
          <w:i w:val="0"/>
          <w:sz w:val="24"/>
          <w:szCs w:val="24"/>
          <w:lang w:val="hy-AM"/>
        </w:rPr>
        <w:t>ր</w:t>
      </w:r>
      <w:r w:rsidR="000F101A">
        <w:rPr>
          <w:rFonts w:ascii="GHEA Grapalat" w:hAnsi="GHEA Grapalat"/>
          <w:i w:val="0"/>
          <w:sz w:val="24"/>
          <w:szCs w:val="24"/>
          <w:lang w:val="hy-AM"/>
        </w:rPr>
        <w:t>եր</w:t>
      </w:r>
      <w:r w:rsidR="00624543">
        <w:rPr>
          <w:rFonts w:ascii="GHEA Grapalat" w:hAnsi="GHEA Grapalat"/>
          <w:i w:val="0"/>
          <w:sz w:val="24"/>
          <w:szCs w:val="24"/>
          <w:lang w:val="hy-AM"/>
        </w:rPr>
        <w:t xml:space="preserve"> նվիրաբերության պայմանագրերը լուծելու մասին։</w:t>
      </w:r>
    </w:p>
    <w:p w:rsidR="00624543" w:rsidRDefault="00624543" w:rsidP="00A22938">
      <w:pPr>
        <w:spacing w:after="0" w:line="360" w:lineRule="auto"/>
        <w:ind w:left="-709" w:firstLine="72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Կոմիտե է դիմել նաև ՀՀ քննչական կոմիտեի ղեկավարը՝ տեղեկացնելով, որ </w:t>
      </w:r>
      <w:r w:rsidR="00640FD1">
        <w:rPr>
          <w:rFonts w:ascii="GHEA Grapalat" w:hAnsi="GHEA Grapalat"/>
          <w:i w:val="0"/>
          <w:sz w:val="24"/>
          <w:szCs w:val="24"/>
          <w:lang w:val="hy-AM"/>
        </w:rPr>
        <w:t>ՀՀ քրեական և քրեական դատավարության նոր օրենսգրքերի կիրարկման տարբերությամբ պայմանավորված՝ առաջիկայում նախատեսվում է ՀՀ քննչական կոմիտեի գործառույթների, կառուցված</w:t>
      </w:r>
      <w:r w:rsidR="00BD57FE">
        <w:rPr>
          <w:rFonts w:ascii="GHEA Grapalat" w:hAnsi="GHEA Grapalat"/>
          <w:i w:val="0"/>
          <w:sz w:val="24"/>
          <w:szCs w:val="24"/>
          <w:lang w:val="hy-AM"/>
        </w:rPr>
        <w:t>ք</w:t>
      </w:r>
      <w:r w:rsidR="00640FD1">
        <w:rPr>
          <w:rFonts w:ascii="GHEA Grapalat" w:hAnsi="GHEA Grapalat"/>
          <w:i w:val="0"/>
          <w:sz w:val="24"/>
          <w:szCs w:val="24"/>
          <w:lang w:val="hy-AM"/>
        </w:rPr>
        <w:t>ի և աշխատակիցների թվաքանակի էական ընդլայնում, որով պայմանավորված՝ հրատապ անհրաժեշտություն է առաջանում համակարգն ապահովել նաև նոր շենքային պայմաններով և համապատասխան աշխատանքային հնարավորություններով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 xml:space="preserve">՝ միաժամանակ խնդրելով </w:t>
      </w:r>
      <w:r w:rsidR="00A22938" w:rsidRPr="003A6E7B">
        <w:rPr>
          <w:rFonts w:ascii="GHEA Grapalat" w:hAnsi="GHEA Grapalat"/>
          <w:i w:val="0"/>
          <w:sz w:val="24"/>
          <w:szCs w:val="24"/>
          <w:lang w:val="hy-AM"/>
        </w:rPr>
        <w:t>Երևան քաղաքի Թաիրովի N 14 հասցեում գտնվող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 xml:space="preserve"> շենքը տրամադրել ՀՀ քննչական կոմիտեին։</w:t>
      </w:r>
    </w:p>
    <w:p w:rsidR="00A22938" w:rsidRDefault="003A6E7B" w:rsidP="00A22938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 xml:space="preserve">Ներկայացված նախագծով առաջարկվում է ուժը կորցրած ճանաչել </w:t>
      </w:r>
      <w:r w:rsidR="00A22938" w:rsidRPr="003A6E7B">
        <w:rPr>
          <w:rFonts w:ascii="GHEA Grapalat" w:hAnsi="GHEA Grapalat"/>
          <w:i w:val="0"/>
          <w:sz w:val="24"/>
          <w:szCs w:val="24"/>
          <w:lang w:val="hy-AM"/>
        </w:rPr>
        <w:t>Որոշում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>ը</w:t>
      </w:r>
      <w:r w:rsidR="007A2A56">
        <w:rPr>
          <w:rFonts w:ascii="GHEA Grapalat" w:hAnsi="GHEA Grapalat"/>
          <w:i w:val="0"/>
          <w:sz w:val="24"/>
          <w:szCs w:val="24"/>
          <w:lang w:val="hy-AM"/>
        </w:rPr>
        <w:t xml:space="preserve">, Համայնքի հետ կնքել </w:t>
      </w:r>
      <w:r w:rsidR="007A2A56" w:rsidRPr="003A6E7B">
        <w:rPr>
          <w:rFonts w:ascii="GHEA Grapalat" w:hAnsi="GHEA Grapalat"/>
          <w:i w:val="0"/>
          <w:sz w:val="24"/>
          <w:szCs w:val="24"/>
          <w:lang w:val="hy-AM"/>
        </w:rPr>
        <w:t>01.03.2018 թվականին կնքվ</w:t>
      </w:r>
      <w:r w:rsidR="007A2A56">
        <w:rPr>
          <w:rFonts w:ascii="GHEA Grapalat" w:hAnsi="GHEA Grapalat"/>
          <w:i w:val="0"/>
          <w:sz w:val="24"/>
          <w:szCs w:val="24"/>
          <w:lang w:val="hy-AM"/>
        </w:rPr>
        <w:t>ած</w:t>
      </w:r>
      <w:r w:rsidR="007A2A56"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 թիվ 01-2018 և թիվ 02-2018 պայմանագրերը</w:t>
      </w:r>
      <w:r w:rsidR="007A2A56">
        <w:rPr>
          <w:rFonts w:ascii="GHEA Grapalat" w:hAnsi="GHEA Grapalat"/>
          <w:i w:val="0"/>
          <w:sz w:val="24"/>
          <w:szCs w:val="24"/>
          <w:lang w:val="hy-AM"/>
        </w:rPr>
        <w:t xml:space="preserve"> լուծելու մասին </w:t>
      </w:r>
      <w:r w:rsidR="00B37D61">
        <w:rPr>
          <w:rFonts w:ascii="GHEA Grapalat" w:hAnsi="GHEA Grapalat"/>
          <w:i w:val="0"/>
          <w:sz w:val="24"/>
          <w:szCs w:val="24"/>
          <w:lang w:val="hy-AM"/>
        </w:rPr>
        <w:t>համաձայնագ</w:t>
      </w:r>
      <w:r w:rsidR="007A2A56">
        <w:rPr>
          <w:rFonts w:ascii="GHEA Grapalat" w:hAnsi="GHEA Grapalat"/>
          <w:i w:val="0"/>
          <w:sz w:val="24"/>
          <w:szCs w:val="24"/>
          <w:lang w:val="hy-AM"/>
        </w:rPr>
        <w:t>ր</w:t>
      </w:r>
      <w:r w:rsidR="00B37D61">
        <w:rPr>
          <w:rFonts w:ascii="GHEA Grapalat" w:hAnsi="GHEA Grapalat"/>
          <w:i w:val="0"/>
          <w:sz w:val="24"/>
          <w:szCs w:val="24"/>
          <w:lang w:val="hy-AM"/>
        </w:rPr>
        <w:t>եր</w:t>
      </w:r>
      <w:r w:rsidR="007A2A56">
        <w:rPr>
          <w:rFonts w:ascii="GHEA Grapalat" w:hAnsi="GHEA Grapalat"/>
          <w:i w:val="0"/>
          <w:sz w:val="24"/>
          <w:szCs w:val="24"/>
          <w:lang w:val="hy-AM"/>
        </w:rPr>
        <w:t xml:space="preserve"> երկու անվանում գույքի նկատմամբ գրանցել ՀՀ սեփականության իրավունքը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 xml:space="preserve"> և </w:t>
      </w:r>
      <w:r w:rsidR="00A22938" w:rsidRPr="003A6E7B">
        <w:rPr>
          <w:rFonts w:ascii="GHEA Grapalat" w:hAnsi="GHEA Grapalat"/>
          <w:i w:val="0"/>
          <w:sz w:val="24"/>
          <w:szCs w:val="24"/>
          <w:lang w:val="hy-AM"/>
        </w:rPr>
        <w:t xml:space="preserve">Երևան քաղաքի Թաիրով թիվ 14 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>հասցեում գտնվող գույ</w:t>
      </w:r>
      <w:r w:rsidR="00652BE8">
        <w:rPr>
          <w:rFonts w:ascii="GHEA Grapalat" w:hAnsi="GHEA Grapalat"/>
          <w:i w:val="0"/>
          <w:sz w:val="24"/>
          <w:szCs w:val="24"/>
          <w:lang w:val="hy-AM"/>
        </w:rPr>
        <w:t>ք</w:t>
      </w:r>
      <w:r w:rsidR="00A22938">
        <w:rPr>
          <w:rFonts w:ascii="GHEA Grapalat" w:hAnsi="GHEA Grapalat"/>
          <w:i w:val="0"/>
          <w:sz w:val="24"/>
          <w:szCs w:val="24"/>
          <w:lang w:val="hy-AM"/>
        </w:rPr>
        <w:t xml:space="preserve">ն ամրացնել ՀՀ քննչական կոմիտեին։ </w:t>
      </w:r>
    </w:p>
    <w:p w:rsidR="007A2A56" w:rsidRDefault="002C09D4" w:rsidP="007A2A56">
      <w:pPr>
        <w:spacing w:after="0" w:line="360" w:lineRule="auto"/>
        <w:ind w:left="-567" w:firstLine="412"/>
        <w:jc w:val="both"/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</w:pP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արդյունավետության և գրավչության բարձրացմանը, միասնական բազայի հաշվառմանը, բնակչության սոցիալ-տնտեսական խնդիրների լուծմանն ուղղված մի շարք կատարման ենթակա միջոցառումներ։ </w:t>
      </w:r>
      <w:r w:rsidR="00F8616D">
        <w:rPr>
          <w:rFonts w:ascii="GHEA Grapalat" w:eastAsia="Times New Roman" w:hAnsi="GHEA Grapalat"/>
          <w:b/>
          <w:i w:val="0"/>
          <w:sz w:val="24"/>
          <w:szCs w:val="24"/>
          <w:lang w:val="hy-AM"/>
        </w:rPr>
        <w:t>Որոժման ընդունման</w:t>
      </w:r>
      <w:r w:rsidR="00A634FB"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 xml:space="preserve"> արդյունքում, </w:t>
      </w:r>
      <w:r w:rsidR="00F8616D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>երկու անվանում անշարժ գույքի նկատմամբ կգրանցվի ՀՀ սեփականության իրավունքը և հնարավորություն կստեղծվի դրանք շահագործել պետության կարիքների համար,</w:t>
      </w:r>
      <w:r w:rsidR="00A634FB"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 xml:space="preserve"> ինչը </w:t>
      </w: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բխում է ՀՀ կառավարության 2021-2026թթ. ծրագրի պահանջներից։</w:t>
      </w:r>
    </w:p>
    <w:p w:rsidR="006E0CA5" w:rsidRPr="00F8616D" w:rsidRDefault="002C09D4" w:rsidP="00F8616D">
      <w:pPr>
        <w:spacing w:after="0" w:line="360" w:lineRule="auto"/>
        <w:ind w:left="-567" w:firstLine="412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F8616D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«</w:t>
      </w:r>
      <w:bookmarkStart w:id="0" w:name="_GoBack"/>
      <w:bookmarkEnd w:id="0"/>
      <w:r w:rsidR="00F8616D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>Հայաստանի Հանրապետության</w:t>
      </w:r>
      <w:r w:rsidR="00F8616D" w:rsidRPr="00F8616D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 xml:space="preserve"> քննչական կոմիտեին գույք ամրացնելու </w:t>
      </w:r>
      <w:r w:rsidR="0001159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>մ</w:t>
      </w:r>
      <w:r w:rsidR="00F8616D" w:rsidRPr="00F8616D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ասին</w:t>
      </w:r>
      <w:r w:rsidRPr="00F8616D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»</w:t>
      </w:r>
      <w:r w:rsidRPr="002C09D4">
        <w:rPr>
          <w:rFonts w:ascii="GHEA Grapalat" w:eastAsia="Times New Roman" w:hAnsi="GHEA Grapalat" w:cs="Arial"/>
          <w:bCs w:val="0"/>
          <w:i w:val="0"/>
          <w:color w:val="000000"/>
          <w:sz w:val="24"/>
          <w:szCs w:val="24"/>
          <w:lang w:val="af-ZA" w:eastAsia="ru-RU"/>
        </w:rPr>
        <w:t xml:space="preserve"> </w:t>
      </w:r>
      <w:r w:rsidR="00F8616D">
        <w:rPr>
          <w:rFonts w:ascii="GHEA Grapalat" w:eastAsia="Times New Roman" w:hAnsi="GHEA Grapalat" w:cs="Arial"/>
          <w:bCs w:val="0"/>
          <w:i w:val="0"/>
          <w:color w:val="000000"/>
          <w:sz w:val="24"/>
          <w:szCs w:val="24"/>
          <w:lang w:val="hy-AM" w:eastAsia="ru-RU"/>
        </w:rPr>
        <w:t xml:space="preserve">ՀՀ կառավարության որոշման </w:t>
      </w:r>
      <w:r w:rsidR="00F8616D" w:rsidRPr="00F8616D">
        <w:rPr>
          <w:rFonts w:ascii="GHEA Grapalat" w:hAnsi="GHEA Grapalat"/>
          <w:i w:val="0"/>
          <w:sz w:val="24"/>
          <w:szCs w:val="24"/>
          <w:lang w:val="hy-AM"/>
        </w:rPr>
        <w:t>նախագծի ընդունուման արդյունքում ՀՀ պետական բյուջեում եկամուտների էական ավելացում կամ նվազեցում չի առաջանա։</w:t>
      </w:r>
    </w:p>
    <w:sectPr w:rsidR="006E0CA5" w:rsidRPr="00F8616D" w:rsidSect="00F8616D">
      <w:pgSz w:w="11906" w:h="16838"/>
      <w:pgMar w:top="567" w:right="849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C1" w:rsidRDefault="000D72C1" w:rsidP="00C2046D">
      <w:pPr>
        <w:spacing w:after="0" w:line="240" w:lineRule="auto"/>
      </w:pPr>
      <w:r>
        <w:separator/>
      </w:r>
    </w:p>
  </w:endnote>
  <w:endnote w:type="continuationSeparator" w:id="0">
    <w:p w:rsidR="000D72C1" w:rsidRDefault="000D72C1" w:rsidP="00C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C1" w:rsidRDefault="000D72C1" w:rsidP="00C2046D">
      <w:pPr>
        <w:spacing w:after="0" w:line="240" w:lineRule="auto"/>
      </w:pPr>
      <w:r>
        <w:separator/>
      </w:r>
    </w:p>
  </w:footnote>
  <w:footnote w:type="continuationSeparator" w:id="0">
    <w:p w:rsidR="000D72C1" w:rsidRDefault="000D72C1" w:rsidP="00C2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1"/>
    <w:rsid w:val="000006CE"/>
    <w:rsid w:val="0001159C"/>
    <w:rsid w:val="0002382A"/>
    <w:rsid w:val="00046724"/>
    <w:rsid w:val="0005220D"/>
    <w:rsid w:val="0006041A"/>
    <w:rsid w:val="000665EA"/>
    <w:rsid w:val="000869D3"/>
    <w:rsid w:val="0008726B"/>
    <w:rsid w:val="000D0F7D"/>
    <w:rsid w:val="000D72C1"/>
    <w:rsid w:val="000F101A"/>
    <w:rsid w:val="001305A2"/>
    <w:rsid w:val="00140C83"/>
    <w:rsid w:val="00187DB9"/>
    <w:rsid w:val="00194DC2"/>
    <w:rsid w:val="001D5CB3"/>
    <w:rsid w:val="001E6F8E"/>
    <w:rsid w:val="00202321"/>
    <w:rsid w:val="00210EDF"/>
    <w:rsid w:val="00222E3C"/>
    <w:rsid w:val="0028456A"/>
    <w:rsid w:val="002853C3"/>
    <w:rsid w:val="002C09D4"/>
    <w:rsid w:val="00304784"/>
    <w:rsid w:val="00360EA2"/>
    <w:rsid w:val="00363F11"/>
    <w:rsid w:val="0037162E"/>
    <w:rsid w:val="003807F7"/>
    <w:rsid w:val="003A4063"/>
    <w:rsid w:val="003A6E7B"/>
    <w:rsid w:val="003B3222"/>
    <w:rsid w:val="003B5B35"/>
    <w:rsid w:val="00410417"/>
    <w:rsid w:val="0041469D"/>
    <w:rsid w:val="004214D4"/>
    <w:rsid w:val="00431496"/>
    <w:rsid w:val="00453AD4"/>
    <w:rsid w:val="004677E5"/>
    <w:rsid w:val="00474340"/>
    <w:rsid w:val="00486553"/>
    <w:rsid w:val="004A6CB2"/>
    <w:rsid w:val="004D3544"/>
    <w:rsid w:val="004D596E"/>
    <w:rsid w:val="004D7D9A"/>
    <w:rsid w:val="00532B51"/>
    <w:rsid w:val="00543391"/>
    <w:rsid w:val="00562AA0"/>
    <w:rsid w:val="00573381"/>
    <w:rsid w:val="00575F21"/>
    <w:rsid w:val="00576611"/>
    <w:rsid w:val="005B38D0"/>
    <w:rsid w:val="005D0FD5"/>
    <w:rsid w:val="005D2A42"/>
    <w:rsid w:val="005D4CBF"/>
    <w:rsid w:val="005D7506"/>
    <w:rsid w:val="005F2ED7"/>
    <w:rsid w:val="00615F56"/>
    <w:rsid w:val="00624444"/>
    <w:rsid w:val="00624543"/>
    <w:rsid w:val="00640FD1"/>
    <w:rsid w:val="00652BE8"/>
    <w:rsid w:val="00660B1D"/>
    <w:rsid w:val="006652C1"/>
    <w:rsid w:val="00673013"/>
    <w:rsid w:val="00680560"/>
    <w:rsid w:val="006A7E6C"/>
    <w:rsid w:val="006D5AC7"/>
    <w:rsid w:val="006E0CA5"/>
    <w:rsid w:val="007036C0"/>
    <w:rsid w:val="00706400"/>
    <w:rsid w:val="00710FDB"/>
    <w:rsid w:val="00720816"/>
    <w:rsid w:val="007305DD"/>
    <w:rsid w:val="007410D0"/>
    <w:rsid w:val="0075319E"/>
    <w:rsid w:val="00770BBA"/>
    <w:rsid w:val="007747A9"/>
    <w:rsid w:val="00784DDC"/>
    <w:rsid w:val="0078634A"/>
    <w:rsid w:val="007943D4"/>
    <w:rsid w:val="007A2A56"/>
    <w:rsid w:val="007A3879"/>
    <w:rsid w:val="007B23F7"/>
    <w:rsid w:val="007C3254"/>
    <w:rsid w:val="007C449A"/>
    <w:rsid w:val="008066DB"/>
    <w:rsid w:val="00806E03"/>
    <w:rsid w:val="0081510C"/>
    <w:rsid w:val="00816FCF"/>
    <w:rsid w:val="0084207F"/>
    <w:rsid w:val="0084546A"/>
    <w:rsid w:val="00865277"/>
    <w:rsid w:val="00883456"/>
    <w:rsid w:val="00884A99"/>
    <w:rsid w:val="00896010"/>
    <w:rsid w:val="008A0A28"/>
    <w:rsid w:val="008A14AF"/>
    <w:rsid w:val="008A2137"/>
    <w:rsid w:val="008A6738"/>
    <w:rsid w:val="008B6EB3"/>
    <w:rsid w:val="008D7267"/>
    <w:rsid w:val="008E7FF6"/>
    <w:rsid w:val="00937C12"/>
    <w:rsid w:val="009552D8"/>
    <w:rsid w:val="009644D5"/>
    <w:rsid w:val="00965A22"/>
    <w:rsid w:val="009678BF"/>
    <w:rsid w:val="00972859"/>
    <w:rsid w:val="0097487E"/>
    <w:rsid w:val="00993331"/>
    <w:rsid w:val="009940E1"/>
    <w:rsid w:val="009A36EF"/>
    <w:rsid w:val="009C68BB"/>
    <w:rsid w:val="009E3B65"/>
    <w:rsid w:val="009E6304"/>
    <w:rsid w:val="00A040D3"/>
    <w:rsid w:val="00A05EAF"/>
    <w:rsid w:val="00A07DE1"/>
    <w:rsid w:val="00A1202A"/>
    <w:rsid w:val="00A207FC"/>
    <w:rsid w:val="00A22938"/>
    <w:rsid w:val="00A25BC1"/>
    <w:rsid w:val="00A47E77"/>
    <w:rsid w:val="00A51E32"/>
    <w:rsid w:val="00A52A42"/>
    <w:rsid w:val="00A5499E"/>
    <w:rsid w:val="00A6241E"/>
    <w:rsid w:val="00A634FB"/>
    <w:rsid w:val="00A85C29"/>
    <w:rsid w:val="00A85F49"/>
    <w:rsid w:val="00A87817"/>
    <w:rsid w:val="00AB3168"/>
    <w:rsid w:val="00AC27DA"/>
    <w:rsid w:val="00AE7397"/>
    <w:rsid w:val="00AF3D05"/>
    <w:rsid w:val="00B15572"/>
    <w:rsid w:val="00B2619D"/>
    <w:rsid w:val="00B37D61"/>
    <w:rsid w:val="00B5639F"/>
    <w:rsid w:val="00B73599"/>
    <w:rsid w:val="00B84459"/>
    <w:rsid w:val="00B8629C"/>
    <w:rsid w:val="00B959FE"/>
    <w:rsid w:val="00B97AA1"/>
    <w:rsid w:val="00BD57FE"/>
    <w:rsid w:val="00C0184C"/>
    <w:rsid w:val="00C04D4E"/>
    <w:rsid w:val="00C07025"/>
    <w:rsid w:val="00C0721E"/>
    <w:rsid w:val="00C0771B"/>
    <w:rsid w:val="00C2046D"/>
    <w:rsid w:val="00C43548"/>
    <w:rsid w:val="00C53361"/>
    <w:rsid w:val="00C6142E"/>
    <w:rsid w:val="00C83A83"/>
    <w:rsid w:val="00CC1C77"/>
    <w:rsid w:val="00CC2263"/>
    <w:rsid w:val="00CE3209"/>
    <w:rsid w:val="00CE35EF"/>
    <w:rsid w:val="00CE750B"/>
    <w:rsid w:val="00D02497"/>
    <w:rsid w:val="00D0747F"/>
    <w:rsid w:val="00D30C3A"/>
    <w:rsid w:val="00D444F7"/>
    <w:rsid w:val="00D471FA"/>
    <w:rsid w:val="00D5186C"/>
    <w:rsid w:val="00D61016"/>
    <w:rsid w:val="00D73FA6"/>
    <w:rsid w:val="00D85050"/>
    <w:rsid w:val="00DA3217"/>
    <w:rsid w:val="00DE1E55"/>
    <w:rsid w:val="00DF382C"/>
    <w:rsid w:val="00DF3C44"/>
    <w:rsid w:val="00E1295D"/>
    <w:rsid w:val="00E16E3D"/>
    <w:rsid w:val="00E34564"/>
    <w:rsid w:val="00E36CC0"/>
    <w:rsid w:val="00E52124"/>
    <w:rsid w:val="00E72635"/>
    <w:rsid w:val="00E76768"/>
    <w:rsid w:val="00E9261A"/>
    <w:rsid w:val="00EA11FB"/>
    <w:rsid w:val="00F139A8"/>
    <w:rsid w:val="00F35B22"/>
    <w:rsid w:val="00F424F4"/>
    <w:rsid w:val="00F46218"/>
    <w:rsid w:val="00F84F6E"/>
    <w:rsid w:val="00F8616D"/>
    <w:rsid w:val="00F86A27"/>
    <w:rsid w:val="00F94289"/>
    <w:rsid w:val="00FB12C2"/>
    <w:rsid w:val="00FB767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5F0B-7A5E-439B-80ED-79EC306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31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993331"/>
    <w:pPr>
      <w:spacing w:after="120" w:line="480" w:lineRule="auto"/>
      <w:ind w:left="283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993331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993331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character" w:customStyle="1" w:styleId="mechtexChar">
    <w:name w:val="mechtex Char"/>
    <w:link w:val="mechtex"/>
    <w:locked/>
    <w:rsid w:val="00993331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a"/>
    <w:link w:val="mechtexChar"/>
    <w:rsid w:val="00993331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a5">
    <w:name w:val="Hyperlink"/>
    <w:basedOn w:val="a0"/>
    <w:uiPriority w:val="99"/>
    <w:semiHidden/>
    <w:unhideWhenUsed/>
    <w:rsid w:val="00993331"/>
    <w:rPr>
      <w:color w:val="0000FF"/>
      <w:u w:val="single"/>
    </w:rPr>
  </w:style>
  <w:style w:type="character" w:styleId="a6">
    <w:name w:val="Strong"/>
    <w:basedOn w:val="a0"/>
    <w:qFormat/>
    <w:rsid w:val="00993331"/>
    <w:rPr>
      <w:b/>
      <w:bCs/>
    </w:rPr>
  </w:style>
  <w:style w:type="paragraph" w:styleId="a7">
    <w:name w:val="header"/>
    <w:basedOn w:val="a"/>
    <w:link w:val="a8"/>
    <w:uiPriority w:val="99"/>
    <w:unhideWhenUsed/>
    <w:rsid w:val="00C2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46D"/>
    <w:rPr>
      <w:rFonts w:ascii="ArTarumianHeghnar" w:eastAsia="Calibri" w:hAnsi="ArTarumianHeghnar" w:cs="Cambria"/>
      <w:bCs/>
      <w:i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C2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46D"/>
    <w:rPr>
      <w:rFonts w:ascii="ArTarumianHeghnar" w:eastAsia="Calibri" w:hAnsi="ArTarumianHeghnar" w:cs="Cambria"/>
      <w:bCs/>
      <w:i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5B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38D0"/>
    <w:rPr>
      <w:rFonts w:ascii="Segoe UI" w:eastAsia="Calibri" w:hAnsi="Segoe UI" w:cs="Segoe UI"/>
      <w:bCs/>
      <w:i/>
      <w:sz w:val="18"/>
      <w:szCs w:val="18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D02497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Body Text Indent 2"/>
    <w:basedOn w:val="a"/>
    <w:link w:val="20"/>
    <w:rsid w:val="002C09D4"/>
    <w:pPr>
      <w:spacing w:after="120" w:line="480" w:lineRule="auto"/>
      <w:ind w:left="283"/>
    </w:pPr>
    <w:rPr>
      <w:rFonts w:ascii="Arial" w:eastAsia="Times New Roman" w:hAnsi="Arial" w:cs="Arial"/>
      <w:bCs w:val="0"/>
      <w:i w:val="0"/>
      <w:spacing w:val="36"/>
      <w:kern w:val="16"/>
      <w:position w:val="-40"/>
      <w:sz w:val="22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C09D4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2020-02-01T05:45:00Z</cp:lastPrinted>
  <dcterms:created xsi:type="dcterms:W3CDTF">2021-12-02T12:45:00Z</dcterms:created>
  <dcterms:modified xsi:type="dcterms:W3CDTF">2022-07-20T07:04:00Z</dcterms:modified>
</cp:coreProperties>
</file>