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1ED" w:rsidRDefault="00B841ED" w:rsidP="009520CD">
      <w:pPr>
        <w:autoSpaceDE w:val="0"/>
        <w:autoSpaceDN w:val="0"/>
        <w:adjustRightInd w:val="0"/>
        <w:spacing w:line="360" w:lineRule="auto"/>
        <w:ind w:firstLine="720"/>
        <w:jc w:val="center"/>
        <w:rPr>
          <w:rFonts w:ascii="GHEA Grapalat" w:hAnsi="GHEA Grapalat"/>
          <w:b/>
          <w:color w:val="000000"/>
          <w:lang w:val="hy-AM"/>
        </w:rPr>
      </w:pPr>
      <w:r>
        <w:rPr>
          <w:rFonts w:ascii="GHEA Grapalat" w:eastAsia="Calibri" w:hAnsi="GHEA Grapalat" w:cs="Sylfaen"/>
          <w:b/>
          <w:lang w:val="hy-AM"/>
        </w:rPr>
        <w:t>ՏԵՂԵԿԱՆՔ</w:t>
      </w:r>
      <w:r w:rsidR="00D518D4">
        <w:rPr>
          <w:rFonts w:ascii="GHEA Grapalat" w:eastAsia="Calibri" w:hAnsi="GHEA Grapalat" w:cs="Sylfaen"/>
          <w:b/>
          <w:lang w:val="hy-AM"/>
        </w:rPr>
        <w:t xml:space="preserve"> </w:t>
      </w:r>
    </w:p>
    <w:p w:rsidR="004215A9" w:rsidRDefault="004215A9" w:rsidP="009520CD">
      <w:pPr>
        <w:spacing w:line="360" w:lineRule="auto"/>
        <w:ind w:firstLine="720"/>
        <w:jc w:val="center"/>
        <w:rPr>
          <w:rFonts w:ascii="GHEA Grapalat" w:hAnsi="GHEA Grapalat"/>
          <w:b/>
          <w:lang w:val="hy-AM"/>
        </w:rPr>
      </w:pPr>
    </w:p>
    <w:p w:rsidR="00B841ED" w:rsidRDefault="00B841ED" w:rsidP="009520CD">
      <w:pPr>
        <w:spacing w:line="360" w:lineRule="auto"/>
        <w:ind w:firstLine="720"/>
        <w:jc w:val="center"/>
        <w:rPr>
          <w:rFonts w:ascii="GHEA Grapalat" w:hAnsi="GHEA Grapalat" w:cs="Arial"/>
          <w:b/>
          <w:lang w:val="hy-AM"/>
        </w:rPr>
      </w:pPr>
      <w:r>
        <w:rPr>
          <w:rFonts w:ascii="GHEA Grapalat" w:hAnsi="GHEA Grapalat"/>
          <w:b/>
          <w:lang w:val="hy-AM"/>
        </w:rPr>
        <w:t>«ԵՐՐՈՐԴ ԵՐԿՐՆԵՐԻ ՀԵՏ ՓՈԽԱԴԱՐՁ ԱՌԵՎՏՐՈՒՄ ՏԵԽՆԻԿԱԿԱՆ ԽՈՉԸՆԴՈՏՆԵՐԻ ՎԵՐԱՑՄԱՆ ԿԱՐԳԻ ԵՎ ՊԱՅՄԱՆՆԵՐԻ ՄԱՍԻՆ</w:t>
      </w:r>
      <w:r>
        <w:rPr>
          <w:rFonts w:ascii="GHEA Grapalat" w:hAnsi="GHEA Grapalat" w:cs="Arial"/>
          <w:b/>
          <w:lang w:val="hy-AM"/>
        </w:rPr>
        <w:t xml:space="preserve">» </w:t>
      </w:r>
      <w:r>
        <w:rPr>
          <w:rFonts w:ascii="GHEA Grapalat" w:hAnsi="GHEA Grapalat"/>
          <w:b/>
          <w:lang w:val="hy-AM"/>
        </w:rPr>
        <w:t xml:space="preserve">ՀԱՄԱՁԱՅՆԱԳՐԻ ԿՆՔՄԱՆ ՆՊԱՏԱԿԱՀԱՐՄԱՐՈՒԹՅԱՆ </w:t>
      </w:r>
      <w:r>
        <w:rPr>
          <w:rFonts w:ascii="GHEA Grapalat" w:hAnsi="GHEA Grapalat" w:cs="Sylfaen"/>
          <w:b/>
          <w:lang w:val="hy-AM"/>
        </w:rPr>
        <w:t>ՄԱՍԻՆ</w:t>
      </w:r>
    </w:p>
    <w:p w:rsidR="00B841ED" w:rsidRDefault="00B841ED" w:rsidP="009520CD">
      <w:pPr>
        <w:spacing w:line="360" w:lineRule="auto"/>
        <w:ind w:right="-31" w:firstLine="720"/>
        <w:jc w:val="both"/>
        <w:rPr>
          <w:rFonts w:ascii="GHEA Grapalat" w:hAnsi="GHEA Grapalat"/>
          <w:b/>
          <w:lang w:val="hy-AM"/>
        </w:rPr>
      </w:pPr>
    </w:p>
    <w:p w:rsidR="004215A9" w:rsidRDefault="004215A9" w:rsidP="009520CD">
      <w:pPr>
        <w:autoSpaceDE w:val="0"/>
        <w:autoSpaceDN w:val="0"/>
        <w:adjustRightInd w:val="0"/>
        <w:spacing w:line="360" w:lineRule="auto"/>
        <w:ind w:firstLine="720"/>
        <w:jc w:val="both"/>
        <w:rPr>
          <w:rFonts w:ascii="GHEA Grapalat" w:hAnsi="GHEA Grapalat"/>
          <w:lang w:val="hy-AM"/>
        </w:rPr>
      </w:pPr>
    </w:p>
    <w:p w:rsidR="00B841ED" w:rsidRDefault="00B841ED" w:rsidP="009520CD">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t xml:space="preserve"> «Երրորդ երկրների հետ փոխադարձ առևտրում տեխնիկական խոչընդոտների վերացման կարգի և պայմանների մասին</w:t>
      </w:r>
      <w:r>
        <w:rPr>
          <w:rFonts w:ascii="GHEA Grapalat" w:hAnsi="GHEA Grapalat" w:cs="Arial"/>
          <w:lang w:val="hy-AM"/>
        </w:rPr>
        <w:t>»</w:t>
      </w:r>
      <w:r>
        <w:rPr>
          <w:rFonts w:ascii="GHEA Grapalat" w:hAnsi="GHEA Grapalat"/>
          <w:lang w:val="hy-AM"/>
        </w:rPr>
        <w:t xml:space="preserve"> համաձայնագիրը (այսուհետ՝ </w:t>
      </w:r>
      <w:r>
        <w:rPr>
          <w:rFonts w:ascii="GHEA Grapalat" w:hAnsi="GHEA Grapalat" w:cs="Arial"/>
          <w:lang w:val="hy-AM"/>
        </w:rPr>
        <w:t xml:space="preserve">Համաձայնագիր) </w:t>
      </w:r>
      <w:r>
        <w:rPr>
          <w:rFonts w:ascii="GHEA Grapalat" w:hAnsi="GHEA Grapalat"/>
          <w:lang w:val="hy-AM"/>
        </w:rPr>
        <w:t>սահմանում է երրորդ երկրների հետ Եվրասիական տնտեսական միության (այսուհետ՝ Միություն) տեխնիկական կանոնակարգերի տեխնիկական կանոնակարգման օբյեկտ հանդիսացող արտադրանքով անդամ պետությունների փոխադարձ առևտրում տեխնիկական խոչընդոտների վերացման կարգն ու պայմանները:</w:t>
      </w:r>
    </w:p>
    <w:p w:rsidR="00B841ED" w:rsidRDefault="00B841ED" w:rsidP="009520CD">
      <w:pPr>
        <w:spacing w:line="360" w:lineRule="auto"/>
        <w:ind w:firstLine="720"/>
        <w:jc w:val="both"/>
        <w:rPr>
          <w:rFonts w:ascii="GHEA Grapalat" w:hAnsi="GHEA Grapalat"/>
          <w:lang w:val="hy-AM"/>
        </w:rPr>
      </w:pPr>
      <w:r>
        <w:rPr>
          <w:rFonts w:ascii="GHEA Grapalat" w:hAnsi="GHEA Grapalat"/>
          <w:lang w:val="hy-AM"/>
        </w:rPr>
        <w:t>Համաձայնագրով նախատեսվել են դրույթներ երրորդ երկրների հետ փոխադարձ առևտրում տեխնիկական խոչընդոտների վերացումն ապահովելու նպատակով՝ այդ երկրների հետ Միության միջազգային պայմանագրերի կնքման միջոցով։ Միջազգային պայմանագրերի կնքման սկզբունքները կիրառվում են հաշվի առնելով միության և երրորդ երկրի տարածքում գործող օրենսդրական պահանջները.</w:t>
      </w:r>
    </w:p>
    <w:p w:rsidR="00B841ED" w:rsidRDefault="00B841ED" w:rsidP="009520CD">
      <w:pPr>
        <w:pStyle w:val="ListParagraph"/>
        <w:numPr>
          <w:ilvl w:val="0"/>
          <w:numId w:val="1"/>
        </w:numPr>
        <w:tabs>
          <w:tab w:val="left" w:pos="990"/>
        </w:tabs>
        <w:spacing w:after="0" w:line="360" w:lineRule="auto"/>
        <w:ind w:left="0" w:firstLine="720"/>
        <w:jc w:val="both"/>
        <w:rPr>
          <w:rFonts w:ascii="GHEA Grapalat" w:hAnsi="GHEA Grapalat"/>
          <w:sz w:val="24"/>
          <w:szCs w:val="24"/>
          <w:lang w:val="hy-AM"/>
        </w:rPr>
      </w:pPr>
      <w:r>
        <w:rPr>
          <w:rFonts w:ascii="GHEA Grapalat" w:hAnsi="GHEA Grapalat" w:cs="Sylfaen"/>
          <w:sz w:val="24"/>
          <w:szCs w:val="24"/>
          <w:lang w:val="hy-AM"/>
        </w:rPr>
        <w:t>տ</w:t>
      </w:r>
      <w:r>
        <w:rPr>
          <w:rFonts w:ascii="GHEA Grapalat" w:hAnsi="GHEA Grapalat"/>
          <w:sz w:val="24"/>
          <w:szCs w:val="24"/>
          <w:lang w:val="hy-AM"/>
        </w:rPr>
        <w:t xml:space="preserve">եխնիկական կանոնակարգերի տեխնիկական կանոնակարգման օբյեկտ հանդիսացող արտադրանքի համար, </w:t>
      </w:r>
    </w:p>
    <w:p w:rsidR="00B841ED" w:rsidRDefault="00B841ED" w:rsidP="009520CD">
      <w:pPr>
        <w:pStyle w:val="ListParagraph"/>
        <w:numPr>
          <w:ilvl w:val="0"/>
          <w:numId w:val="1"/>
        </w:numPr>
        <w:tabs>
          <w:tab w:val="left" w:pos="990"/>
        </w:tabs>
        <w:spacing w:after="0" w:line="360" w:lineRule="auto"/>
        <w:ind w:left="0" w:firstLine="720"/>
        <w:jc w:val="both"/>
        <w:rPr>
          <w:rFonts w:ascii="GHEA Grapalat" w:hAnsi="GHEA Grapalat"/>
          <w:sz w:val="24"/>
          <w:szCs w:val="24"/>
        </w:rPr>
      </w:pPr>
      <w:r>
        <w:rPr>
          <w:rFonts w:ascii="GHEA Grapalat" w:hAnsi="GHEA Grapalat"/>
          <w:sz w:val="24"/>
          <w:szCs w:val="24"/>
          <w:lang w:val="hy-AM"/>
        </w:rPr>
        <w:t xml:space="preserve">համապատասխանության գնահատման ընթացակարգերի համար, </w:t>
      </w:r>
    </w:p>
    <w:p w:rsidR="00B841ED" w:rsidRDefault="00B841ED" w:rsidP="009520CD">
      <w:pPr>
        <w:pStyle w:val="ListParagraph"/>
        <w:numPr>
          <w:ilvl w:val="0"/>
          <w:numId w:val="1"/>
        </w:numPr>
        <w:tabs>
          <w:tab w:val="left" w:pos="990"/>
        </w:tabs>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ինչպես նաև կիրառվող համապատասխանության գնահատման մարմինների հավատարմագրման ընթացակարգերի համարժեքության ապահովման համար: </w:t>
      </w:r>
    </w:p>
    <w:p w:rsidR="00B841ED" w:rsidRDefault="00B841ED" w:rsidP="009520CD">
      <w:pPr>
        <w:spacing w:line="360" w:lineRule="auto"/>
        <w:ind w:firstLine="720"/>
        <w:jc w:val="both"/>
        <w:rPr>
          <w:rFonts w:ascii="GHEA Grapalat" w:hAnsi="GHEA Grapalat"/>
          <w:lang w:val="hy-AM"/>
        </w:rPr>
      </w:pPr>
      <w:r>
        <w:rPr>
          <w:rFonts w:ascii="GHEA Grapalat" w:hAnsi="GHEA Grapalat"/>
          <w:lang w:val="hy-AM"/>
        </w:rPr>
        <w:t>Համաձայնագրում հաշվի է առնվել նաև անդամ պետությունների և երրորդ երկրի հավատարմագրման մարմինների կողմից հավատարմագրման ոլորտում միջազգային ստանդարտների պահանջներին համապատասխան նշված ընթացակարգերի փոխադարձ համեմատական գնահատումների իրականացման հնարավորությունը:</w:t>
      </w:r>
    </w:p>
    <w:p w:rsidR="00B841ED" w:rsidRDefault="00B841ED" w:rsidP="009520CD">
      <w:pPr>
        <w:autoSpaceDE w:val="0"/>
        <w:autoSpaceDN w:val="0"/>
        <w:adjustRightInd w:val="0"/>
        <w:spacing w:line="360" w:lineRule="auto"/>
        <w:ind w:firstLine="720"/>
        <w:jc w:val="both"/>
        <w:rPr>
          <w:rFonts w:ascii="GHEA Grapalat" w:hAnsi="GHEA Grapalat" w:cs="Arial"/>
          <w:lang w:val="hy-AM"/>
        </w:rPr>
      </w:pPr>
      <w:r>
        <w:rPr>
          <w:rFonts w:ascii="GHEA Grapalat" w:hAnsi="GHEA Grapalat" w:cs="Arial"/>
          <w:lang w:val="hy-AM"/>
        </w:rPr>
        <w:t xml:space="preserve">Համաձայնագիրը չի առնչվում անդամ պետությունների այն իրավունքներին և պարտավորություններին, որոնք բխում են այլ միջազգային պայմանագրերից, ինչպես նաև </w:t>
      </w:r>
      <w:r>
        <w:rPr>
          <w:rFonts w:ascii="GHEA Grapalat" w:hAnsi="GHEA Grapalat" w:cs="Arial"/>
          <w:lang w:val="hy-AM"/>
        </w:rPr>
        <w:lastRenderedPageBreak/>
        <w:t>միջազգային կազմակերպություններին նրանց անդամակցությունից, որոնք կնքվել են մինչև Համաձայնագրի ուժի մեջ մտնելը, և որոնց մասնակիցն են նրանք:</w:t>
      </w:r>
    </w:p>
    <w:p w:rsidR="00B841ED" w:rsidRPr="009520CD" w:rsidRDefault="00B841ED" w:rsidP="009520CD">
      <w:pPr>
        <w:autoSpaceDE w:val="0"/>
        <w:autoSpaceDN w:val="0"/>
        <w:adjustRightInd w:val="0"/>
        <w:spacing w:line="360" w:lineRule="auto"/>
        <w:ind w:firstLine="720"/>
        <w:jc w:val="both"/>
        <w:rPr>
          <w:rFonts w:ascii="GHEA Grapalat" w:hAnsi="GHEA Grapalat" w:cs="Arial"/>
          <w:lang w:val="hy-AM"/>
        </w:rPr>
      </w:pPr>
      <w:r>
        <w:rPr>
          <w:rFonts w:ascii="GHEA Grapalat" w:hAnsi="GHEA Grapalat" w:cs="Arial"/>
          <w:lang w:val="hy-AM"/>
        </w:rPr>
        <w:t>Միո</w:t>
      </w:r>
      <w:r w:rsidRPr="009520CD">
        <w:rPr>
          <w:rFonts w:ascii="GHEA Grapalat" w:hAnsi="GHEA Grapalat" w:cs="Arial"/>
          <w:lang w:val="hy-AM"/>
        </w:rPr>
        <w:t>ւթյան տեխնիկական կանոնակարգերի տեխնիկական կանոնակարգման օբյեկտ հանդիսացող արտադրանքի վերաբերյալ երկկողմ համաձայնագրերը, որոնք անդամ պետությունների կողմից կնքվել են երրորդ երկրների հետ, կիրառվում են պայմանագրի և Համաձայնագրի դրույթներին չհակասող մասով։ Համաձայնագրի ստորագրումը ԵԱՏՄ անդամ-պետությունների համար լրացուցիչ ֆինանսական ծախսեր չի առաջացնում:</w:t>
      </w:r>
    </w:p>
    <w:p w:rsidR="009520CD" w:rsidRPr="009520CD" w:rsidRDefault="003568D7" w:rsidP="009520CD">
      <w:pPr>
        <w:pStyle w:val="BodyText"/>
        <w:spacing w:after="0" w:line="360" w:lineRule="auto"/>
        <w:ind w:firstLine="720"/>
        <w:jc w:val="both"/>
        <w:rPr>
          <w:rFonts w:ascii="GHEA Grapalat" w:hAnsi="GHEA Grapalat"/>
          <w:sz w:val="24"/>
          <w:szCs w:val="24"/>
          <w:lang w:val="hy-AM"/>
        </w:rPr>
      </w:pPr>
      <w:r w:rsidRPr="009520CD">
        <w:rPr>
          <w:rFonts w:ascii="GHEA Grapalat" w:hAnsi="GHEA Grapalat" w:cs="Arial"/>
          <w:sz w:val="24"/>
          <w:szCs w:val="24"/>
          <w:lang w:val="hy-AM"/>
        </w:rPr>
        <w:t>Ելնելով վերոգրյալից</w:t>
      </w:r>
      <w:r w:rsidR="009520CD" w:rsidRPr="009520CD">
        <w:rPr>
          <w:rFonts w:ascii="GHEA Grapalat" w:hAnsi="GHEA Grapalat" w:cs="Arial"/>
          <w:sz w:val="24"/>
          <w:szCs w:val="24"/>
          <w:lang w:val="hy-AM"/>
        </w:rPr>
        <w:t xml:space="preserve"> և հ</w:t>
      </w:r>
      <w:r w:rsidR="009520CD" w:rsidRPr="009520CD">
        <w:rPr>
          <w:rFonts w:ascii="GHEA Grapalat" w:hAnsi="GHEA Grapalat"/>
          <w:sz w:val="24"/>
          <w:szCs w:val="24"/>
          <w:lang w:val="hy-AM"/>
        </w:rPr>
        <w:t xml:space="preserve">իմք ընդունելով 2021թ. նոյեմբերի 22-ին քաղաք Մոսկվայում ստորագրված </w:t>
      </w:r>
      <w:bookmarkStart w:id="0" w:name="_GoBack"/>
      <w:r w:rsidR="009520CD" w:rsidRPr="009520CD">
        <w:rPr>
          <w:rFonts w:ascii="GHEA Grapalat" w:hAnsi="GHEA Grapalat"/>
          <w:sz w:val="24"/>
          <w:szCs w:val="24"/>
          <w:lang w:val="hy-AM"/>
        </w:rPr>
        <w:t xml:space="preserve">«Երրորդ երկրների հետ փոխադարձ առևտրում տեխնիկական խոչընդոտների վերացման կարգի և պայմանների մասին </w:t>
      </w:r>
      <w:bookmarkEnd w:id="0"/>
      <w:r w:rsidR="009520CD" w:rsidRPr="009520CD">
        <w:rPr>
          <w:rFonts w:ascii="GHEA Grapalat" w:hAnsi="GHEA Grapalat"/>
          <w:sz w:val="24"/>
          <w:szCs w:val="24"/>
          <w:lang w:val="hy-AM"/>
        </w:rPr>
        <w:t>համաձայնագրի վերաբերյալ ՀՀ արտաքին գործերի, ՀՀ արդարադատության, ՀՀ ֆինանսների նախարարությունների եզրակացությունները և ՀՀ պետական գույքի կառավարման կոմիտեի գրությունը, ինչպես նաև հաշվի առնելով Համաձայնագրի բովանդակությունը, գտնում ենք, որ այն չի նախատեսում Օրենքի 10-րդ հոդվածի 2-րդ մասով սահմանված՝ Ազգային ժողովի վավերացմանը ենթակա դարձնող հիմքերի առկայությունը, ուստի առաջարկում ենք դիտարկել նույն հոդվածի 3-րդ մասի հիմքով Համաձայնագիրը Հանրապետության նախագահի հաստատմանը ներկայացնելու նպատակահարմարությունը։</w:t>
      </w:r>
    </w:p>
    <w:p w:rsidR="00B841ED" w:rsidRPr="004540EA" w:rsidRDefault="00B841ED" w:rsidP="009520CD">
      <w:pPr>
        <w:widowControl w:val="0"/>
        <w:spacing w:line="360" w:lineRule="auto"/>
        <w:ind w:right="-8" w:firstLine="720"/>
        <w:jc w:val="both"/>
        <w:rPr>
          <w:rFonts w:ascii="GHEA Grapalat" w:hAnsi="GHEA Grapalat"/>
          <w:lang w:val="hy-AM"/>
        </w:rPr>
      </w:pPr>
    </w:p>
    <w:p w:rsidR="00B841ED" w:rsidRDefault="00B841ED" w:rsidP="009520CD">
      <w:pPr>
        <w:widowControl w:val="0"/>
        <w:spacing w:line="360" w:lineRule="auto"/>
        <w:ind w:right="-8" w:firstLine="720"/>
        <w:jc w:val="center"/>
        <w:rPr>
          <w:rFonts w:ascii="GHEA Grapalat" w:hAnsi="GHEA Grapalat"/>
          <w:b/>
          <w:lang w:val="hy-AM"/>
        </w:rPr>
      </w:pPr>
    </w:p>
    <w:p w:rsidR="00356A12" w:rsidRPr="00B841ED" w:rsidRDefault="00356A12" w:rsidP="009520CD">
      <w:pPr>
        <w:spacing w:line="360" w:lineRule="auto"/>
        <w:ind w:firstLine="720"/>
        <w:rPr>
          <w:lang w:val="hy-AM"/>
        </w:rPr>
      </w:pPr>
    </w:p>
    <w:sectPr w:rsidR="00356A12" w:rsidRPr="00B841ED" w:rsidSect="00B841ED">
      <w:pgSz w:w="12240" w:h="15840"/>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034168"/>
    <w:multiLevelType w:val="hybridMultilevel"/>
    <w:tmpl w:val="CA2A56A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2C8"/>
    <w:rsid w:val="000079C1"/>
    <w:rsid w:val="00023A8E"/>
    <w:rsid w:val="000B04AB"/>
    <w:rsid w:val="000E06FC"/>
    <w:rsid w:val="00122543"/>
    <w:rsid w:val="00122766"/>
    <w:rsid w:val="00124597"/>
    <w:rsid w:val="0013259C"/>
    <w:rsid w:val="00154186"/>
    <w:rsid w:val="00177F28"/>
    <w:rsid w:val="001A1596"/>
    <w:rsid w:val="00214275"/>
    <w:rsid w:val="00222C40"/>
    <w:rsid w:val="00290566"/>
    <w:rsid w:val="002A36C9"/>
    <w:rsid w:val="002B1FD6"/>
    <w:rsid w:val="002C2B41"/>
    <w:rsid w:val="002C7065"/>
    <w:rsid w:val="003305A6"/>
    <w:rsid w:val="003568D7"/>
    <w:rsid w:val="00356A12"/>
    <w:rsid w:val="00377BE2"/>
    <w:rsid w:val="003824A9"/>
    <w:rsid w:val="004148C9"/>
    <w:rsid w:val="004215A9"/>
    <w:rsid w:val="004540EA"/>
    <w:rsid w:val="004673E8"/>
    <w:rsid w:val="004E6C49"/>
    <w:rsid w:val="00535B81"/>
    <w:rsid w:val="006970B0"/>
    <w:rsid w:val="00697D9D"/>
    <w:rsid w:val="006A5B63"/>
    <w:rsid w:val="006D31E4"/>
    <w:rsid w:val="006D7BD4"/>
    <w:rsid w:val="006E2A32"/>
    <w:rsid w:val="006F1EF5"/>
    <w:rsid w:val="007207D3"/>
    <w:rsid w:val="00741C21"/>
    <w:rsid w:val="00743326"/>
    <w:rsid w:val="007629BF"/>
    <w:rsid w:val="00766259"/>
    <w:rsid w:val="007762C8"/>
    <w:rsid w:val="007A1376"/>
    <w:rsid w:val="007B23FC"/>
    <w:rsid w:val="007E0D89"/>
    <w:rsid w:val="007E152A"/>
    <w:rsid w:val="00813F8D"/>
    <w:rsid w:val="00876686"/>
    <w:rsid w:val="008E323B"/>
    <w:rsid w:val="008F5A4A"/>
    <w:rsid w:val="00900D3D"/>
    <w:rsid w:val="009520CD"/>
    <w:rsid w:val="00962F2E"/>
    <w:rsid w:val="00973C84"/>
    <w:rsid w:val="009B59EE"/>
    <w:rsid w:val="009E2C3B"/>
    <w:rsid w:val="00A071D6"/>
    <w:rsid w:val="00A14AB9"/>
    <w:rsid w:val="00A14C83"/>
    <w:rsid w:val="00A17016"/>
    <w:rsid w:val="00AE48AE"/>
    <w:rsid w:val="00B169FC"/>
    <w:rsid w:val="00B841ED"/>
    <w:rsid w:val="00BA062C"/>
    <w:rsid w:val="00BB17EE"/>
    <w:rsid w:val="00BF2295"/>
    <w:rsid w:val="00C13408"/>
    <w:rsid w:val="00C55173"/>
    <w:rsid w:val="00C95222"/>
    <w:rsid w:val="00CC77D5"/>
    <w:rsid w:val="00D00454"/>
    <w:rsid w:val="00D518D4"/>
    <w:rsid w:val="00D632FE"/>
    <w:rsid w:val="00DA5475"/>
    <w:rsid w:val="00DE2781"/>
    <w:rsid w:val="00E225E8"/>
    <w:rsid w:val="00E248BE"/>
    <w:rsid w:val="00E30F5B"/>
    <w:rsid w:val="00E4269A"/>
    <w:rsid w:val="00EB4DBF"/>
    <w:rsid w:val="00F219F1"/>
    <w:rsid w:val="00F45229"/>
    <w:rsid w:val="00F664CE"/>
    <w:rsid w:val="00FC3989"/>
    <w:rsid w:val="00FC5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4D42F"/>
  <w15:docId w15:val="{1D8D21FF-CB24-46E5-9727-C230D034B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1E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1ED"/>
    <w:pPr>
      <w:spacing w:after="160" w:line="254" w:lineRule="auto"/>
      <w:ind w:left="720"/>
      <w:contextualSpacing/>
    </w:pPr>
    <w:rPr>
      <w:rFonts w:asciiTheme="minorHAnsi" w:eastAsiaTheme="minorHAnsi" w:hAnsiTheme="minorHAnsi" w:cstheme="minorBidi"/>
      <w:sz w:val="22"/>
      <w:szCs w:val="22"/>
      <w:lang w:val="en-US" w:eastAsia="en-US"/>
    </w:rPr>
  </w:style>
  <w:style w:type="paragraph" w:styleId="BodyText">
    <w:name w:val="Body Text"/>
    <w:basedOn w:val="Normal"/>
    <w:link w:val="BodyTextChar"/>
    <w:rsid w:val="009520CD"/>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rsid w:val="009520CD"/>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041455">
      <w:bodyDiv w:val="1"/>
      <w:marLeft w:val="0"/>
      <w:marRight w:val="0"/>
      <w:marTop w:val="0"/>
      <w:marBottom w:val="0"/>
      <w:divBdr>
        <w:top w:val="none" w:sz="0" w:space="0" w:color="auto"/>
        <w:left w:val="none" w:sz="0" w:space="0" w:color="auto"/>
        <w:bottom w:val="none" w:sz="0" w:space="0" w:color="auto"/>
        <w:right w:val="none" w:sz="0" w:space="0" w:color="auto"/>
      </w:divBdr>
      <w:divsChild>
        <w:div w:id="2091342825">
          <w:marLeft w:val="0"/>
          <w:marRight w:val="0"/>
          <w:marTop w:val="0"/>
          <w:marBottom w:val="0"/>
          <w:divBdr>
            <w:top w:val="none" w:sz="0" w:space="0" w:color="auto"/>
            <w:left w:val="none" w:sz="0" w:space="0" w:color="auto"/>
            <w:bottom w:val="none" w:sz="0" w:space="0" w:color="auto"/>
            <w:right w:val="none" w:sz="0" w:space="0" w:color="auto"/>
          </w:divBdr>
        </w:div>
        <w:div w:id="448404107">
          <w:marLeft w:val="0"/>
          <w:marRight w:val="0"/>
          <w:marTop w:val="0"/>
          <w:marBottom w:val="0"/>
          <w:divBdr>
            <w:top w:val="none" w:sz="0" w:space="0" w:color="auto"/>
            <w:left w:val="none" w:sz="0" w:space="0" w:color="auto"/>
            <w:bottom w:val="none" w:sz="0" w:space="0" w:color="auto"/>
            <w:right w:val="none" w:sz="0" w:space="0" w:color="auto"/>
          </w:divBdr>
        </w:div>
        <w:div w:id="1546479876">
          <w:marLeft w:val="0"/>
          <w:marRight w:val="0"/>
          <w:marTop w:val="0"/>
          <w:marBottom w:val="0"/>
          <w:divBdr>
            <w:top w:val="none" w:sz="0" w:space="0" w:color="auto"/>
            <w:left w:val="none" w:sz="0" w:space="0" w:color="auto"/>
            <w:bottom w:val="none" w:sz="0" w:space="0" w:color="auto"/>
            <w:right w:val="none" w:sz="0" w:space="0" w:color="auto"/>
          </w:divBdr>
        </w:div>
        <w:div w:id="1665010080">
          <w:marLeft w:val="0"/>
          <w:marRight w:val="0"/>
          <w:marTop w:val="0"/>
          <w:marBottom w:val="0"/>
          <w:divBdr>
            <w:top w:val="none" w:sz="0" w:space="0" w:color="auto"/>
            <w:left w:val="none" w:sz="0" w:space="0" w:color="auto"/>
            <w:bottom w:val="none" w:sz="0" w:space="0" w:color="auto"/>
            <w:right w:val="none" w:sz="0" w:space="0" w:color="auto"/>
          </w:divBdr>
        </w:div>
        <w:div w:id="1145854882">
          <w:marLeft w:val="0"/>
          <w:marRight w:val="0"/>
          <w:marTop w:val="0"/>
          <w:marBottom w:val="0"/>
          <w:divBdr>
            <w:top w:val="none" w:sz="0" w:space="0" w:color="auto"/>
            <w:left w:val="none" w:sz="0" w:space="0" w:color="auto"/>
            <w:bottom w:val="none" w:sz="0" w:space="0" w:color="auto"/>
            <w:right w:val="none" w:sz="0" w:space="0" w:color="auto"/>
          </w:divBdr>
        </w:div>
        <w:div w:id="112989102">
          <w:marLeft w:val="0"/>
          <w:marRight w:val="0"/>
          <w:marTop w:val="0"/>
          <w:marBottom w:val="0"/>
          <w:divBdr>
            <w:top w:val="none" w:sz="0" w:space="0" w:color="auto"/>
            <w:left w:val="none" w:sz="0" w:space="0" w:color="auto"/>
            <w:bottom w:val="none" w:sz="0" w:space="0" w:color="auto"/>
            <w:right w:val="none" w:sz="0" w:space="0" w:color="auto"/>
          </w:divBdr>
        </w:div>
        <w:div w:id="299069897">
          <w:marLeft w:val="0"/>
          <w:marRight w:val="0"/>
          <w:marTop w:val="0"/>
          <w:marBottom w:val="0"/>
          <w:divBdr>
            <w:top w:val="none" w:sz="0" w:space="0" w:color="auto"/>
            <w:left w:val="none" w:sz="0" w:space="0" w:color="auto"/>
            <w:bottom w:val="none" w:sz="0" w:space="0" w:color="auto"/>
            <w:right w:val="none" w:sz="0" w:space="0" w:color="auto"/>
          </w:divBdr>
        </w:div>
        <w:div w:id="1186014875">
          <w:marLeft w:val="0"/>
          <w:marRight w:val="0"/>
          <w:marTop w:val="0"/>
          <w:marBottom w:val="0"/>
          <w:divBdr>
            <w:top w:val="none" w:sz="0" w:space="0" w:color="auto"/>
            <w:left w:val="none" w:sz="0" w:space="0" w:color="auto"/>
            <w:bottom w:val="none" w:sz="0" w:space="0" w:color="auto"/>
            <w:right w:val="none" w:sz="0" w:space="0" w:color="auto"/>
          </w:divBdr>
        </w:div>
        <w:div w:id="424958046">
          <w:marLeft w:val="0"/>
          <w:marRight w:val="0"/>
          <w:marTop w:val="0"/>
          <w:marBottom w:val="0"/>
          <w:divBdr>
            <w:top w:val="none" w:sz="0" w:space="0" w:color="auto"/>
            <w:left w:val="none" w:sz="0" w:space="0" w:color="auto"/>
            <w:bottom w:val="none" w:sz="0" w:space="0" w:color="auto"/>
            <w:right w:val="none" w:sz="0" w:space="0" w:color="auto"/>
          </w:divBdr>
        </w:div>
        <w:div w:id="718825654">
          <w:marLeft w:val="0"/>
          <w:marRight w:val="0"/>
          <w:marTop w:val="0"/>
          <w:marBottom w:val="0"/>
          <w:divBdr>
            <w:top w:val="none" w:sz="0" w:space="0" w:color="auto"/>
            <w:left w:val="none" w:sz="0" w:space="0" w:color="auto"/>
            <w:bottom w:val="none" w:sz="0" w:space="0" w:color="auto"/>
            <w:right w:val="none" w:sz="0" w:space="0" w:color="auto"/>
          </w:divBdr>
        </w:div>
        <w:div w:id="1051424044">
          <w:marLeft w:val="0"/>
          <w:marRight w:val="0"/>
          <w:marTop w:val="0"/>
          <w:marBottom w:val="0"/>
          <w:divBdr>
            <w:top w:val="none" w:sz="0" w:space="0" w:color="auto"/>
            <w:left w:val="none" w:sz="0" w:space="0" w:color="auto"/>
            <w:bottom w:val="none" w:sz="0" w:space="0" w:color="auto"/>
            <w:right w:val="none" w:sz="0" w:space="0" w:color="auto"/>
          </w:divBdr>
        </w:div>
        <w:div w:id="1368529990">
          <w:marLeft w:val="0"/>
          <w:marRight w:val="0"/>
          <w:marTop w:val="0"/>
          <w:marBottom w:val="0"/>
          <w:divBdr>
            <w:top w:val="none" w:sz="0" w:space="0" w:color="auto"/>
            <w:left w:val="none" w:sz="0" w:space="0" w:color="auto"/>
            <w:bottom w:val="none" w:sz="0" w:space="0" w:color="auto"/>
            <w:right w:val="none" w:sz="0" w:space="0" w:color="auto"/>
          </w:divBdr>
        </w:div>
        <w:div w:id="1267932658">
          <w:marLeft w:val="0"/>
          <w:marRight w:val="0"/>
          <w:marTop w:val="0"/>
          <w:marBottom w:val="0"/>
          <w:divBdr>
            <w:top w:val="none" w:sz="0" w:space="0" w:color="auto"/>
            <w:left w:val="none" w:sz="0" w:space="0" w:color="auto"/>
            <w:bottom w:val="none" w:sz="0" w:space="0" w:color="auto"/>
            <w:right w:val="none" w:sz="0" w:space="0" w:color="auto"/>
          </w:divBdr>
        </w:div>
        <w:div w:id="1814177167">
          <w:marLeft w:val="0"/>
          <w:marRight w:val="0"/>
          <w:marTop w:val="0"/>
          <w:marBottom w:val="0"/>
          <w:divBdr>
            <w:top w:val="none" w:sz="0" w:space="0" w:color="auto"/>
            <w:left w:val="none" w:sz="0" w:space="0" w:color="auto"/>
            <w:bottom w:val="none" w:sz="0" w:space="0" w:color="auto"/>
            <w:right w:val="none" w:sz="0" w:space="0" w:color="auto"/>
          </w:divBdr>
        </w:div>
        <w:div w:id="1991665640">
          <w:marLeft w:val="0"/>
          <w:marRight w:val="0"/>
          <w:marTop w:val="0"/>
          <w:marBottom w:val="0"/>
          <w:divBdr>
            <w:top w:val="none" w:sz="0" w:space="0" w:color="auto"/>
            <w:left w:val="none" w:sz="0" w:space="0" w:color="auto"/>
            <w:bottom w:val="none" w:sz="0" w:space="0" w:color="auto"/>
            <w:right w:val="none" w:sz="0" w:space="0" w:color="auto"/>
          </w:divBdr>
        </w:div>
        <w:div w:id="1290891280">
          <w:marLeft w:val="0"/>
          <w:marRight w:val="0"/>
          <w:marTop w:val="0"/>
          <w:marBottom w:val="0"/>
          <w:divBdr>
            <w:top w:val="none" w:sz="0" w:space="0" w:color="auto"/>
            <w:left w:val="none" w:sz="0" w:space="0" w:color="auto"/>
            <w:bottom w:val="none" w:sz="0" w:space="0" w:color="auto"/>
            <w:right w:val="none" w:sz="0" w:space="0" w:color="auto"/>
          </w:divBdr>
        </w:div>
        <w:div w:id="763458743">
          <w:marLeft w:val="0"/>
          <w:marRight w:val="0"/>
          <w:marTop w:val="0"/>
          <w:marBottom w:val="0"/>
          <w:divBdr>
            <w:top w:val="none" w:sz="0" w:space="0" w:color="auto"/>
            <w:left w:val="none" w:sz="0" w:space="0" w:color="auto"/>
            <w:bottom w:val="none" w:sz="0" w:space="0" w:color="auto"/>
            <w:right w:val="none" w:sz="0" w:space="0" w:color="auto"/>
          </w:divBdr>
        </w:div>
        <w:div w:id="890195772">
          <w:marLeft w:val="0"/>
          <w:marRight w:val="0"/>
          <w:marTop w:val="0"/>
          <w:marBottom w:val="0"/>
          <w:divBdr>
            <w:top w:val="none" w:sz="0" w:space="0" w:color="auto"/>
            <w:left w:val="none" w:sz="0" w:space="0" w:color="auto"/>
            <w:bottom w:val="none" w:sz="0" w:space="0" w:color="auto"/>
            <w:right w:val="none" w:sz="0" w:space="0" w:color="auto"/>
          </w:divBdr>
        </w:div>
        <w:div w:id="1245262363">
          <w:marLeft w:val="0"/>
          <w:marRight w:val="0"/>
          <w:marTop w:val="0"/>
          <w:marBottom w:val="0"/>
          <w:divBdr>
            <w:top w:val="none" w:sz="0" w:space="0" w:color="auto"/>
            <w:left w:val="none" w:sz="0" w:space="0" w:color="auto"/>
            <w:bottom w:val="none" w:sz="0" w:space="0" w:color="auto"/>
            <w:right w:val="none" w:sz="0" w:space="0" w:color="auto"/>
          </w:divBdr>
        </w:div>
        <w:div w:id="1257900892">
          <w:marLeft w:val="0"/>
          <w:marRight w:val="0"/>
          <w:marTop w:val="0"/>
          <w:marBottom w:val="0"/>
          <w:divBdr>
            <w:top w:val="none" w:sz="0" w:space="0" w:color="auto"/>
            <w:left w:val="none" w:sz="0" w:space="0" w:color="auto"/>
            <w:bottom w:val="none" w:sz="0" w:space="0" w:color="auto"/>
            <w:right w:val="none" w:sz="0" w:space="0" w:color="auto"/>
          </w:divBdr>
        </w:div>
        <w:div w:id="1527257516">
          <w:marLeft w:val="0"/>
          <w:marRight w:val="0"/>
          <w:marTop w:val="0"/>
          <w:marBottom w:val="0"/>
          <w:divBdr>
            <w:top w:val="none" w:sz="0" w:space="0" w:color="auto"/>
            <w:left w:val="none" w:sz="0" w:space="0" w:color="auto"/>
            <w:bottom w:val="none" w:sz="0" w:space="0" w:color="auto"/>
            <w:right w:val="none" w:sz="0" w:space="0" w:color="auto"/>
          </w:divBdr>
        </w:div>
      </w:divsChild>
    </w:div>
    <w:div w:id="180696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 Margaryan</dc:creator>
  <cp:keywords>https:/mul2-mineconomy.gov.am/tasks/335990/oneclick/ee7b90e95fd1cb8d95455e3a6d8e6b6ac10ba36bcf6106bc560075cc3db44123.docx?token=ef41eea2f74efd8cc9e25d91fbd13ccb</cp:keywords>
  <cp:lastModifiedBy>Gayane K. Margaryan</cp:lastModifiedBy>
  <cp:revision>2</cp:revision>
  <dcterms:created xsi:type="dcterms:W3CDTF">2022-06-22T09:05:00Z</dcterms:created>
  <dcterms:modified xsi:type="dcterms:W3CDTF">2022-06-22T09:05:00Z</dcterms:modified>
</cp:coreProperties>
</file>