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D56" w:rsidRPr="00EE5D56" w:rsidRDefault="00EE5D56" w:rsidP="00EE5D56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EE5D56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ՀԻՄՆԱՎՈՐՈՒՄ</w:t>
      </w:r>
    </w:p>
    <w:p w:rsidR="00EE5D56" w:rsidRPr="00EE5D56" w:rsidRDefault="00EE5D56" w:rsidP="00EE5D56">
      <w:pPr>
        <w:spacing w:before="480"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EE5D56">
        <w:rPr>
          <w:rFonts w:ascii="Arial Armenian" w:eastAsia="Times New Roman" w:hAnsi="Arial Armenian" w:cs="Sylfaen"/>
          <w:b/>
          <w:bCs/>
          <w:sz w:val="24"/>
          <w:szCs w:val="24"/>
          <w:lang w:val="af-ZA" w:eastAsia="ru-RU"/>
        </w:rPr>
        <w:t>§</w:t>
      </w:r>
      <w:r w:rsidRPr="00EE5D5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«ՀԱՅԱՍՏԱՆԻ ՀԱՆՐԱՊԵՏՈՒԹՅԱՆ 2022</w:t>
      </w:r>
      <w:r w:rsidR="00C251D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ԹՎԱԿԱՆԻ ՊԵՏԱԿԱՆ ԲՅՈՒՋԵԻ ՄԱՍԻՆ»</w:t>
      </w:r>
      <w:r w:rsidR="005C3F0A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ՀՀ </w:t>
      </w:r>
      <w:r w:rsidRPr="00EE5D5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ՕՐԵՆՔՈՒՄ </w:t>
      </w:r>
      <w:r w:rsidR="00F03C26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ՓՈՓՈԽՈՒԹՅՈՒՆՆԵՐ ԵՎ</w:t>
      </w:r>
      <w:r w:rsidRPr="00EE5D5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ՀԱՅԱՍՏԱՆԻ ՀԱՆՐԱՊԵՏՈՒԹՅԱՆ ԿԱՌԱՎԱՐՈՒԹՅԱՆ 2021 ԹՎԱԿԱՆԻ ԴԵԿՏԵՄԲԵՐԻ 23-Ի N 2121-Ն ՈՐՈՇՄԱՆ ՄԵՋ ՓՈՓՈԽՈՒԹՅՈՒՆՆԵՐ</w:t>
      </w:r>
      <w:r w:rsidR="00223840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 xml:space="preserve"> </w:t>
      </w:r>
      <w:r w:rsidRPr="00EE5D56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ԿԱՏԱՐԵԼՈՒ ՄԱՍԻՆ</w:t>
      </w:r>
      <w:r w:rsidRPr="00EE5D56">
        <w:rPr>
          <w:rFonts w:ascii="Arial Armenian" w:eastAsia="Times New Roman" w:hAnsi="Arial Armenian" w:cs="Sylfaen"/>
          <w:b/>
          <w:bCs/>
          <w:sz w:val="24"/>
          <w:szCs w:val="24"/>
          <w:lang w:val="af-ZA" w:eastAsia="ru-RU"/>
        </w:rPr>
        <w:t>¦</w:t>
      </w:r>
      <w:r w:rsidRPr="00EE5D56" w:rsidDel="004A24AB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ՀԱՆՐԱՊԵՏՈՒԹՅԱՆ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ՈՐՈՇՄԱՆ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ՆԱԽԱԳԾԻ</w:t>
      </w:r>
      <w:r w:rsidRPr="00EE5D56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</w:p>
    <w:p w:rsidR="00EE5D56" w:rsidRPr="00EE5D56" w:rsidRDefault="00EE5D56" w:rsidP="00EE5D56">
      <w:pPr>
        <w:numPr>
          <w:ilvl w:val="0"/>
          <w:numId w:val="1"/>
        </w:numPr>
        <w:suppressAutoHyphens/>
        <w:spacing w:before="600" w:after="0" w:line="360" w:lineRule="auto"/>
        <w:ind w:left="924" w:hanging="357"/>
        <w:jc w:val="both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proofErr w:type="spellStart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 xml:space="preserve"> (</w:t>
      </w:r>
      <w:proofErr w:type="spellStart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նպատակը</w:t>
      </w:r>
      <w:proofErr w:type="spellEnd"/>
      <w:r w:rsidRPr="00EE5D56">
        <w:rPr>
          <w:rFonts w:ascii="GHEA Grapalat" w:eastAsia="Times New Roman" w:hAnsi="GHEA Grapalat" w:cs="Sylfaen"/>
          <w:b/>
          <w:sz w:val="24"/>
          <w:szCs w:val="24"/>
          <w:u w:val="single"/>
          <w:lang w:val="fr-FR"/>
        </w:rPr>
        <w:t>).</w:t>
      </w:r>
      <w:r w:rsidRPr="00EE5D56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</w:p>
    <w:p w:rsidR="00EE5D56" w:rsidRPr="00B27C53" w:rsidRDefault="00EE5D56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EE5D56">
        <w:rPr>
          <w:rFonts w:ascii="Arial Armenian" w:eastAsia="Times New Roman" w:hAnsi="Arial Armenian" w:cs="Sylfaen"/>
          <w:bCs/>
          <w:sz w:val="24"/>
          <w:szCs w:val="24"/>
          <w:lang w:val="af-ZA" w:eastAsia="ru-RU"/>
        </w:rPr>
        <w:t>§</w:t>
      </w:r>
      <w:r w:rsidRPr="00EE5D56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այաստանի </w:t>
      </w:r>
      <w:r w:rsidRPr="00EE5D56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անրապետության 2022 թվականի պետական բյուջեի մասին» </w:t>
      </w:r>
      <w:r w:rsidR="009E6A0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ՀՀ 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օրենքում </w:t>
      </w:r>
      <w:r w:rsidR="00F03C26"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 և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EE5D56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այաստանի </w:t>
      </w:r>
      <w:r w:rsidRPr="00EE5D56">
        <w:rPr>
          <w:rFonts w:ascii="GHEA Grapalat" w:eastAsia="Times New Roman" w:hAnsi="GHEA Grapalat" w:cs="Times New Roman"/>
          <w:sz w:val="24"/>
          <w:szCs w:val="24"/>
          <w:lang w:eastAsia="ru-RU"/>
        </w:rPr>
        <w:t>Հ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անրապետության կառավարության 2021 թվականի դեկտեմբերի 23-ի </w:t>
      </w:r>
      <w:r w:rsidRPr="00EE5D56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eastAsia="ar-SA"/>
        </w:rPr>
        <w:t>N</w:t>
      </w:r>
      <w:r w:rsidRPr="00EE5D5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2121-ն որոշման մեջ փոփոխություններ կատարելու մասին</w:t>
      </w:r>
      <w:r w:rsidRPr="00EE5D56">
        <w:rPr>
          <w:rFonts w:ascii="Arial Armenian" w:eastAsia="Times New Roman" w:hAnsi="Arial Armenian" w:cs="Sylfaen"/>
          <w:bCs/>
          <w:sz w:val="24"/>
          <w:szCs w:val="24"/>
          <w:lang w:val="af-ZA" w:eastAsia="ru-RU"/>
        </w:rPr>
        <w:t>¦</w:t>
      </w:r>
      <w:r w:rsidRPr="00EE5D56">
        <w:rPr>
          <w:rFonts w:ascii="Calibri" w:eastAsia="Times New Roman" w:hAnsi="Calibri" w:cs="Sylfaen"/>
          <w:bCs/>
          <w:sz w:val="24"/>
          <w:szCs w:val="24"/>
          <w:lang w:eastAsia="ru-RU"/>
        </w:rPr>
        <w:t xml:space="preserve"> </w:t>
      </w:r>
      <w:r w:rsidRPr="00EE5D56">
        <w:rPr>
          <w:rFonts w:ascii="GHEA Grapalat" w:eastAsia="Times New Roman" w:hAnsi="GHEA Grapalat" w:cs="Tahoma"/>
          <w:sz w:val="24"/>
          <w:szCs w:val="24"/>
          <w:lang w:eastAsia="ru-RU"/>
        </w:rPr>
        <w:t>Հայաստանի Հանրապետության կառավարության որոշման նախագծի ընդունման նպատակն է</w:t>
      </w:r>
      <w:r w:rsidR="004055C2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Արդարադատության նախարարության 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«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>1093</w:t>
      </w:r>
      <w:r w:rsidR="004055C2" w:rsidRPr="004055C2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Դատական և հանրային պաշտպանություն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»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ծրագրի 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«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>11001</w:t>
      </w:r>
      <w:r w:rsidR="004055C2" w:rsidRPr="004055C2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Հանրային պաշտպանության ծառայություններ</w:t>
      </w:r>
      <w:r w:rsidR="004055C2"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»</w:t>
      </w:r>
      <w:r w:rsid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միջոցառման գծով</w:t>
      </w:r>
      <w:r w:rsidR="004055C2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</w:t>
      </w:r>
      <w:r w:rsidR="004055C2" w:rsidRPr="00D757D8">
        <w:rPr>
          <w:rFonts w:ascii="GHEA Grapalat" w:eastAsia="Times New Roman" w:hAnsi="GHEA Grapalat" w:cs="Tahoma"/>
          <w:sz w:val="24"/>
          <w:szCs w:val="24"/>
          <w:lang w:eastAsia="ru-RU"/>
        </w:rPr>
        <w:t>2022 թվականի երկրորդ</w:t>
      </w:r>
      <w:r w:rsid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կիսամյակի համար </w:t>
      </w:r>
      <w:r w:rsidR="00F03C26" w:rsidRPr="00F03C26">
        <w:rPr>
          <w:rFonts w:ascii="GHEA Grapalat" w:eastAsia="Times New Roman" w:hAnsi="GHEA Grapalat" w:cs="Tahoma"/>
          <w:sz w:val="24"/>
          <w:szCs w:val="24"/>
          <w:lang w:eastAsia="ru-RU"/>
        </w:rPr>
        <w:t>արդարադատության ոլորտի բարեփոխումներին ուղղված բյուջետային աջակցության ծրագրով առաջին փուլում հատկացված միջոցների 2022 թվականի հունվարի 1-ի դրությամբ մնացորդի</w:t>
      </w:r>
      <w:r w:rsidR="00F03C26">
        <w:rPr>
          <w:rFonts w:ascii="GHEA Grapalat" w:eastAsia="Times New Roman" w:hAnsi="GHEA Grapalat" w:cs="Tahoma"/>
          <w:sz w:val="24"/>
          <w:szCs w:val="24"/>
          <w:lang w:eastAsia="ru-RU"/>
        </w:rPr>
        <w:t>ց</w:t>
      </w:r>
      <w:r w:rsidR="00F03C26" w:rsidRPr="00F03C26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B27C53">
        <w:rPr>
          <w:rFonts w:ascii="GHEA Grapalat" w:eastAsia="Times New Roman" w:hAnsi="GHEA Grapalat" w:cs="Tahoma"/>
          <w:sz w:val="24"/>
          <w:szCs w:val="24"/>
          <w:lang w:eastAsia="ru-RU"/>
        </w:rPr>
        <w:t>10 հաստիքի համար</w:t>
      </w:r>
      <w:r w:rsid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հատկացնել հավելյալ միջոցներ՝</w:t>
      </w:r>
      <w:r w:rsidR="007B402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(</w:t>
      </w:r>
      <w:r w:rsidR="007B402C">
        <w:rPr>
          <w:rFonts w:ascii="GHEA Grapalat" w:eastAsia="Times New Roman" w:hAnsi="GHEA Grapalat" w:cs="Tahoma"/>
          <w:sz w:val="24"/>
          <w:szCs w:val="24"/>
          <w:lang w:eastAsia="ru-RU"/>
        </w:rPr>
        <w:t>3</w:t>
      </w:r>
      <w:r w:rsidR="00F03C26">
        <w:rPr>
          <w:rFonts w:ascii="GHEA Grapalat" w:eastAsia="Times New Roman" w:hAnsi="GHEA Grapalat" w:cs="Tahoma"/>
          <w:sz w:val="24"/>
          <w:szCs w:val="24"/>
          <w:lang w:eastAsia="ru-RU"/>
        </w:rPr>
        <w:t>0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,</w:t>
      </w:r>
      <w:r w:rsidR="00F03C26">
        <w:rPr>
          <w:rFonts w:ascii="GHEA Grapalat" w:eastAsia="Times New Roman" w:hAnsi="GHEA Grapalat" w:cs="Tahoma"/>
          <w:sz w:val="24"/>
          <w:szCs w:val="24"/>
          <w:lang w:eastAsia="ru-RU"/>
        </w:rPr>
        <w:t>738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.</w:t>
      </w:r>
      <w:r w:rsidR="00F03C26" w:rsidRPr="00F03C26">
        <w:rPr>
          <w:rFonts w:ascii="GHEA Grapalat" w:eastAsia="Times New Roman" w:hAnsi="GHEA Grapalat" w:cs="Tahoma"/>
          <w:sz w:val="24"/>
          <w:szCs w:val="24"/>
          <w:lang w:val="fr-FR" w:eastAsia="ru-RU"/>
        </w:rPr>
        <w:t>565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</w:t>
      </w:r>
      <w:r w:rsidR="007B402C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հազ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. </w:t>
      </w:r>
      <w:r w:rsidR="007B402C">
        <w:rPr>
          <w:rFonts w:ascii="GHEA Grapalat" w:eastAsia="Times New Roman" w:hAnsi="GHEA Grapalat" w:cs="Tahoma"/>
          <w:sz w:val="24"/>
          <w:szCs w:val="24"/>
          <w:lang w:eastAsia="ru-RU"/>
        </w:rPr>
        <w:t>դրամ</w:t>
      </w:r>
      <w:r w:rsidR="007B402C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՝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429</w:t>
      </w:r>
      <w:r w:rsid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.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910</w:t>
      </w:r>
      <w:r w:rsidR="00616ACA">
        <w:rPr>
          <w:rFonts w:ascii="GHEA Grapalat" w:eastAsia="Times New Roman" w:hAnsi="GHEA Grapalat" w:cs="Tahoma"/>
          <w:sz w:val="24"/>
          <w:szCs w:val="24"/>
          <w:lang w:eastAsia="ru-RU"/>
        </w:rPr>
        <w:t>դրամ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*</w:t>
      </w:r>
      <w:r w:rsidR="00F03C26" w:rsidRPr="00F03C26">
        <w:rPr>
          <w:rFonts w:ascii="GHEA Grapalat" w:eastAsia="Times New Roman" w:hAnsi="GHEA Grapalat" w:cs="Tahoma"/>
          <w:sz w:val="24"/>
          <w:szCs w:val="24"/>
          <w:lang w:val="fr-FR" w:eastAsia="ru-RU"/>
        </w:rPr>
        <w:t>5,5</w:t>
      </w:r>
      <w:r w:rsidR="007B402C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ամիս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*10</w:t>
      </w:r>
      <w:r w:rsidR="007B402C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հաստիք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*30</w:t>
      </w:r>
      <w:r w:rsidR="007B402C">
        <w:rPr>
          <w:rFonts w:ascii="GHEA Grapalat" w:eastAsia="Times New Roman" w:hAnsi="GHEA Grapalat" w:cs="Tahoma"/>
          <w:sz w:val="24"/>
          <w:szCs w:val="24"/>
          <w:lang w:eastAsia="ru-RU"/>
        </w:rPr>
        <w:t>%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val="fr-FR" w:eastAsia="ru-RU"/>
        </w:rPr>
        <w:t>)</w:t>
      </w:r>
      <w:r w:rsidR="00380E0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380E04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պայմանավորված</w:t>
      </w:r>
      <w:r w:rsid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>հանրային պաշտպանության շրջանակներում մատուցվող ծառայությունների քանակի աճ</w:t>
      </w:r>
      <w:r w:rsidR="00380E04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ով</w:t>
      </w:r>
      <w:r w:rsidR="00380E04" w:rsidRPr="00380E04">
        <w:rPr>
          <w:rFonts w:ascii="GHEA Grapalat" w:eastAsia="Times New Roman" w:hAnsi="GHEA Grapalat" w:cs="Tahoma"/>
          <w:sz w:val="24"/>
          <w:szCs w:val="24"/>
          <w:lang w:val="fr-FR" w:eastAsia="ru-RU"/>
        </w:rPr>
        <w:t>,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380E04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ինչպես</w:t>
      </w:r>
      <w:r w:rsidR="00380E04" w:rsidRPr="00380E04">
        <w:rPr>
          <w:rFonts w:ascii="GHEA Grapalat" w:eastAsia="Times New Roman" w:hAnsi="GHEA Grapalat" w:cs="Tahoma"/>
          <w:sz w:val="24"/>
          <w:szCs w:val="24"/>
          <w:lang w:val="fr-FR" w:eastAsia="ru-RU"/>
        </w:rPr>
        <w:t xml:space="preserve"> </w:t>
      </w:r>
      <w:r w:rsidR="00380E04" w:rsidRPr="00B27C53">
        <w:rPr>
          <w:rFonts w:ascii="GHEA Grapalat" w:eastAsia="Times New Roman" w:hAnsi="GHEA Grapalat" w:cs="Tahoma"/>
          <w:sz w:val="24"/>
          <w:szCs w:val="24"/>
          <w:lang w:eastAsia="ru-RU"/>
        </w:rPr>
        <w:t>նաև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2022 թվականի հուլիսի 1-ից ուժի մեջ մտնող ՀՀ քրեական դատավարության նոր օրենսգրքի կարգավորումներով, ապահովել</w:t>
      </w:r>
      <w:r w:rsidR="004055C2">
        <w:rPr>
          <w:rFonts w:ascii="GHEA Grapalat" w:eastAsia="Times New Roman" w:hAnsi="GHEA Grapalat" w:cs="Tahoma"/>
          <w:sz w:val="24"/>
          <w:szCs w:val="24"/>
          <w:lang w:eastAsia="ru-RU"/>
        </w:rPr>
        <w:t>ու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Սահմանադրությամբ երաշխավորված</w:t>
      </w:r>
      <w:r w:rsidR="00D757D8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>անվճար իրավաբանական օգնության</w:t>
      </w:r>
      <w:r w:rsidR="00D757D8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պատշաճ և որակյալ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տրամադրումը</w:t>
      </w:r>
      <w:r w:rsidR="00D757D8">
        <w:rPr>
          <w:rFonts w:ascii="GHEA Grapalat" w:eastAsia="Times New Roman" w:hAnsi="GHEA Grapalat" w:cs="Tahoma"/>
          <w:sz w:val="24"/>
          <w:szCs w:val="24"/>
          <w:lang w:eastAsia="ru-RU"/>
        </w:rPr>
        <w:t>:</w:t>
      </w:r>
      <w:r w:rsidR="00B27C53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</w:p>
    <w:p w:rsidR="00EE5D56" w:rsidRPr="00EE5D56" w:rsidRDefault="00EE5D56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</w:pPr>
      <w:r w:rsidRPr="00EE5D56">
        <w:rPr>
          <w:rFonts w:ascii="GHEA Grapalat" w:eastAsia="Times New Roman" w:hAnsi="GHEA Grapalat" w:cs="Tahoma"/>
          <w:sz w:val="24"/>
          <w:szCs w:val="24"/>
          <w:lang w:eastAsia="ru-RU"/>
        </w:rPr>
        <w:t>2</w:t>
      </w:r>
      <w:r w:rsidRPr="00EE5D56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  <w:t>Ընթացիկ</w:t>
      </w: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  <w:t>իրավիճակը,</w:t>
      </w: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af-ZA" w:eastAsia="en-GB"/>
        </w:rPr>
        <w:t xml:space="preserve"> </w:t>
      </w: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en-GB"/>
        </w:rPr>
        <w:t>խնդիրները և առաջարկվող կարգավորման բնույթը</w:t>
      </w:r>
    </w:p>
    <w:p w:rsidR="00B013D4" w:rsidRDefault="004055C2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9E6A01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«</w:t>
      </w:r>
      <w:r w:rsidRPr="009E6A01">
        <w:rPr>
          <w:rFonts w:ascii="GHEA Grapalat" w:eastAsia="Times New Roman" w:hAnsi="GHEA Grapalat" w:cs="Tahoma"/>
          <w:sz w:val="24"/>
          <w:szCs w:val="24"/>
          <w:lang w:eastAsia="ru-RU"/>
        </w:rPr>
        <w:t>Հ</w:t>
      </w:r>
      <w:r w:rsidRPr="009E6A01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այաստանի </w:t>
      </w:r>
      <w:r w:rsidRPr="009E6A01">
        <w:rPr>
          <w:rFonts w:ascii="GHEA Grapalat" w:eastAsia="Times New Roman" w:hAnsi="GHEA Grapalat" w:cs="Tahoma"/>
          <w:sz w:val="24"/>
          <w:szCs w:val="24"/>
          <w:lang w:eastAsia="ru-RU"/>
        </w:rPr>
        <w:t>Հ</w:t>
      </w:r>
      <w:r w:rsidRPr="009E6A01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անրապետության 2022 թվականի պետական բյուջեի մասին» </w:t>
      </w:r>
      <w:r w:rsidR="009E6A01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ՀՀ </w:t>
      </w:r>
      <w:r w:rsidRPr="009E6A01">
        <w:rPr>
          <w:rFonts w:ascii="GHEA Grapalat" w:eastAsia="Times New Roman" w:hAnsi="GHEA Grapalat" w:cs="Tahoma"/>
          <w:sz w:val="24"/>
          <w:szCs w:val="24"/>
          <w:lang w:val="af-ZA" w:eastAsia="ru-RU"/>
        </w:rPr>
        <w:t>օրենքո</w:t>
      </w:r>
      <w:r w:rsidRPr="009E6A01">
        <w:rPr>
          <w:rFonts w:ascii="GHEA Grapalat" w:eastAsia="Times New Roman" w:hAnsi="GHEA Grapalat" w:cs="Tahoma"/>
          <w:sz w:val="24"/>
          <w:szCs w:val="24"/>
          <w:lang w:eastAsia="ru-RU"/>
        </w:rPr>
        <w:t>վ</w:t>
      </w:r>
      <w:r w:rsidRPr="009E6A01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 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Արդարադատության նախարարության </w:t>
      </w:r>
      <w:r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«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>1093</w:t>
      </w:r>
      <w:r w:rsidRPr="004055C2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Դատական և հանրային պաշտպանություն</w:t>
      </w:r>
      <w:r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»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ծրագրի </w:t>
      </w:r>
      <w:r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«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>11001</w:t>
      </w:r>
      <w:r w:rsidRPr="004055C2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Հանրային պաշտպանության ծառայություններ</w:t>
      </w:r>
      <w:r w:rsidRPr="004055C2">
        <w:rPr>
          <w:rFonts w:ascii="GHEA Grapalat" w:eastAsia="Times New Roman" w:hAnsi="GHEA Grapalat" w:cs="Tahoma"/>
          <w:sz w:val="24"/>
          <w:szCs w:val="24"/>
          <w:lang w:val="af-ZA" w:eastAsia="ru-RU"/>
        </w:rPr>
        <w:t>»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միջոցառմանը 2022 թվականի համար </w:t>
      </w:r>
      <w:r w:rsidR="007B402C">
        <w:rPr>
          <w:rFonts w:ascii="GHEA Grapalat" w:eastAsia="Times New Roman" w:hAnsi="GHEA Grapalat" w:cs="Tahoma"/>
          <w:sz w:val="24"/>
          <w:szCs w:val="24"/>
          <w:lang w:eastAsia="ru-RU"/>
        </w:rPr>
        <w:t>հատկա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eastAsia="ru-RU"/>
        </w:rPr>
        <w:t>ցված է</w:t>
      </w:r>
      <w:r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>417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eastAsia="ru-RU"/>
        </w:rPr>
        <w:t>,</w:t>
      </w:r>
      <w:r w:rsidRPr="004055C2">
        <w:rPr>
          <w:rFonts w:ascii="GHEA Grapalat" w:eastAsia="Times New Roman" w:hAnsi="GHEA Grapalat" w:cs="Tahoma"/>
          <w:sz w:val="24"/>
          <w:szCs w:val="24"/>
          <w:lang w:eastAsia="ru-RU"/>
        </w:rPr>
        <w:t>485.6</w:t>
      </w:r>
      <w:r w:rsidR="00107AAD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00 </w:t>
      </w:r>
      <w:r w:rsidR="007B402C" w:rsidRPr="007B402C">
        <w:rPr>
          <w:rFonts w:ascii="GHEA Grapalat" w:eastAsia="Times New Roman" w:hAnsi="GHEA Grapalat" w:cs="Tahoma"/>
          <w:sz w:val="24"/>
          <w:szCs w:val="24"/>
          <w:lang w:eastAsia="ru-RU"/>
        </w:rPr>
        <w:t>հազ.</w:t>
      </w:r>
      <w:r w:rsidR="00107AAD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դրամ, որի միջոցով ՀՀ փաստաբանների պալատի հանրային պաշտպանի գրասենյակը, </w:t>
      </w:r>
      <w:r w:rsidR="00107AAD">
        <w:rPr>
          <w:rFonts w:ascii="GHEA Grapalat" w:eastAsia="Times New Roman" w:hAnsi="GHEA Grapalat" w:cs="Tahoma"/>
          <w:sz w:val="24"/>
          <w:szCs w:val="24"/>
          <w:lang w:eastAsia="ru-RU"/>
        </w:rPr>
        <w:lastRenderedPageBreak/>
        <w:t>«Փաստաբանության մասին» օրենքի համաձայն, պետք է օրենսդրությամբ նախատեսված դեպքերում ապահովվի անվճար իրավաբանական օգնության տրամադրումը: Նշված գումար</w:t>
      </w:r>
      <w:r w:rsidR="00B013D4">
        <w:rPr>
          <w:rFonts w:ascii="GHEA Grapalat" w:eastAsia="Times New Roman" w:hAnsi="GHEA Grapalat" w:cs="Tahoma"/>
          <w:sz w:val="24"/>
          <w:szCs w:val="24"/>
          <w:lang w:eastAsia="ru-RU"/>
        </w:rPr>
        <w:t>ը</w:t>
      </w:r>
      <w:r w:rsidR="00107AAD">
        <w:rPr>
          <w:rFonts w:ascii="GHEA Grapalat" w:eastAsia="Times New Roman" w:hAnsi="GHEA Grapalat" w:cs="Tahoma"/>
          <w:sz w:val="24"/>
          <w:szCs w:val="24"/>
          <w:lang w:eastAsia="ru-RU"/>
        </w:rPr>
        <w:t>, հաշվի առնելով «Փաստաբանության մասին» օրենքի 45</w:t>
      </w:r>
      <w:r w:rsidR="00107AAD">
        <w:rPr>
          <w:rFonts w:ascii="GHEA Grapalat" w:eastAsia="Times New Roman" w:hAnsi="GHEA Grapalat" w:cs="Tahoma"/>
          <w:sz w:val="24"/>
          <w:szCs w:val="24"/>
          <w:lang w:eastAsia="ru-RU"/>
        </w:rPr>
        <w:noBreakHyphen/>
        <w:t>րդ հոդվածի կարգավորումները</w:t>
      </w:r>
      <w:r w:rsidR="00B013D4">
        <w:rPr>
          <w:rFonts w:ascii="GHEA Grapalat" w:eastAsia="Times New Roman" w:hAnsi="GHEA Grapalat" w:cs="Tahoma"/>
          <w:sz w:val="24"/>
          <w:szCs w:val="24"/>
          <w:lang w:eastAsia="ru-RU"/>
        </w:rPr>
        <w:t>, նախատեսված է հանրային պաշտպանի 59 հաստիքի համար:</w:t>
      </w:r>
    </w:p>
    <w:p w:rsidR="00B013D4" w:rsidRDefault="00B013D4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Tahoma"/>
          <w:sz w:val="24"/>
          <w:szCs w:val="24"/>
          <w:lang w:eastAsia="ru-RU"/>
        </w:rPr>
        <w:t>Այդուհանդերձ, ներկայում հանրային պաշտպանի գրասենյակն աշխատում է գերծանրաբեռնված: Վարվող գ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ործերի գրանցվող աճի</w:t>
      </w:r>
      <w:r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և օրենսդրական փոփոխությունների արդյունքում կանխատեսվող ծավալի ավելացման պայմաններում</w:t>
      </w:r>
      <w:r w:rsidR="00B522C7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,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="00B522C7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գործող հաստիքների քանակի հաշվառմամբ,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="00B522C7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վտանգված է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քրեական գործերով վարույթ իրականացնող մարմինների որոշումների ժամանակին կատարման ապահովումը, և հանրային պաշտպանի գրասենյակ դիմող բոլոր քաղաքացիներին անվճար որակյալ իրավաբանական օգնության ժամանակին տրամադրումը: </w:t>
      </w:r>
    </w:p>
    <w:p w:rsidR="00B522C7" w:rsidRDefault="00B522C7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Նշված իրավիճակը կարող է շտկվել միայն հանրային պաշտպանության ծառայության համար լրացուցիչ միջոցներ հատկացնելով՝ ավելացնելու անվճար իրավաբանական օգնություն ցուցաբերող հանրային պաշտպանների հաստիքների քանակը:</w:t>
      </w:r>
    </w:p>
    <w:p w:rsidR="00B013D4" w:rsidRPr="00B013D4" w:rsidRDefault="00B522C7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Tahoma"/>
          <w:sz w:val="24"/>
          <w:szCs w:val="24"/>
          <w:lang w:eastAsia="ru-RU"/>
        </w:rPr>
        <w:t>Հարկ է նկատել, որ յ</w:t>
      </w:r>
      <w:r w:rsidR="00B013D4" w:rsidRPr="00B013D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ուրաքանչյուր տարի գրանցվում է հանրային պաշտպանի գրասենյակի ծանրաբեռնվածության  կայուն աճ, ընդ որում՝ բավականին զգալի: </w:t>
      </w:r>
    </w:p>
    <w:p w:rsidR="00B522C7" w:rsidRPr="00B522C7" w:rsidRDefault="00B522C7" w:rsidP="00B522C7">
      <w:pPr>
        <w:spacing w:after="0" w:line="276" w:lineRule="auto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</w:rPr>
      </w:pPr>
      <w:r w:rsidRPr="00B522C7">
        <w:rPr>
          <w:rFonts w:ascii="GHEA Grapalat" w:eastAsia="Calibri" w:hAnsi="GHEA Grapalat" w:cs="Times New Roman"/>
          <w:b/>
          <w:color w:val="000000"/>
          <w:sz w:val="24"/>
          <w:szCs w:val="24"/>
        </w:rPr>
        <w:t>ՎԻՃԱԿԱԳՐԱԿԱՆ ՏՎՅԱԼՆԵՐ</w:t>
      </w:r>
    </w:p>
    <w:tbl>
      <w:tblPr>
        <w:tblStyle w:val="TableGrid1"/>
        <w:tblW w:w="9381" w:type="dxa"/>
        <w:jc w:val="center"/>
        <w:tblLayout w:type="fixed"/>
        <w:tblLook w:val="04A0" w:firstRow="1" w:lastRow="0" w:firstColumn="1" w:lastColumn="0" w:noHBand="0" w:noVBand="1"/>
      </w:tblPr>
      <w:tblGrid>
        <w:gridCol w:w="2346"/>
        <w:gridCol w:w="2345"/>
        <w:gridCol w:w="2345"/>
        <w:gridCol w:w="2345"/>
      </w:tblGrid>
      <w:tr w:rsidR="00B522C7" w:rsidRPr="00B522C7" w:rsidTr="006506F8">
        <w:trPr>
          <w:trHeight w:val="737"/>
          <w:jc w:val="center"/>
        </w:trPr>
        <w:tc>
          <w:tcPr>
            <w:tcW w:w="1250" w:type="pct"/>
            <w:gridSpan w:val="4"/>
            <w:shd w:val="clear" w:color="auto" w:fill="DBDBDB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sz w:val="24"/>
                <w:szCs w:val="24"/>
              </w:rPr>
              <w:t>ՀԱՆՐԱՅԻՆ ՊԱՇՏՊԱՆԻ ԳՐԱՍԵՆՅԱԿԻ ՎԱՐԱԾ ՔՐԵԱԿԱՆ ԳՈՐԾԵՐԻ ՔԱՆԱԿԸ՝ ԸՍՏ ՏԱՐԻՆԵՐԻ</w:t>
            </w:r>
          </w:p>
        </w:tc>
      </w:tr>
      <w:tr w:rsidR="00B522C7" w:rsidRPr="00B522C7" w:rsidTr="006506F8">
        <w:trPr>
          <w:trHeight w:val="283"/>
          <w:jc w:val="center"/>
        </w:trPr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ind w:left="-144" w:right="-72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Ժամանակահատված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ind w:left="-72" w:right="-72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Գործերի քանակ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Գործերի աճ</w:t>
            </w:r>
          </w:p>
          <w:p w:rsidR="00B522C7" w:rsidRPr="00B522C7" w:rsidRDefault="00B522C7" w:rsidP="00B522C7">
            <w:pPr>
              <w:widowControl w:val="0"/>
              <w:ind w:left="-144" w:right="-72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թվով</w:t>
            </w:r>
          </w:p>
          <w:p w:rsidR="00B522C7" w:rsidRPr="00B522C7" w:rsidRDefault="00B522C7" w:rsidP="00B522C7">
            <w:pPr>
              <w:widowControl w:val="0"/>
              <w:ind w:left="-144" w:right="-72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նախորդ տարվա համեմատ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Գործերի աճ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տոկոսով</w:t>
            </w:r>
          </w:p>
          <w:p w:rsidR="00B522C7" w:rsidRPr="00B522C7" w:rsidRDefault="00B522C7" w:rsidP="00B522C7">
            <w:pPr>
              <w:widowControl w:val="0"/>
              <w:ind w:left="-144" w:right="-144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նախորդ տարվա համեմատ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2011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2962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-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-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2012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3102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140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5%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2013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3219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117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4%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2014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3666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447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14%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2015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4600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934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25%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2016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5264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664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14%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 xml:space="preserve">2017 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  <w:vertAlign w:val="subscript"/>
              </w:rPr>
            </w:pPr>
            <w:r w:rsidRPr="00B522C7">
              <w:rPr>
                <w:rFonts w:ascii="GHEA Grapalat" w:hAnsi="GHEA Grapalat"/>
                <w:szCs w:val="24"/>
              </w:rPr>
              <w:t>5891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627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12%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2018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6688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797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14%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 xml:space="preserve"> 2019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7183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495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7.5%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lastRenderedPageBreak/>
              <w:t>2020*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7361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178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2,5%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2021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10492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3131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42,5%</w:t>
            </w:r>
          </w:p>
        </w:tc>
      </w:tr>
    </w:tbl>
    <w:p w:rsidR="00B522C7" w:rsidRPr="00B522C7" w:rsidRDefault="00B522C7" w:rsidP="00B522C7">
      <w:pPr>
        <w:spacing w:after="0" w:line="276" w:lineRule="auto"/>
        <w:rPr>
          <w:rFonts w:ascii="GHEA Grapalat" w:eastAsia="Calibri" w:hAnsi="GHEA Grapalat" w:cs="Times New Roman"/>
          <w:b/>
          <w:i/>
          <w:color w:val="000000"/>
          <w:sz w:val="24"/>
          <w:szCs w:val="24"/>
        </w:rPr>
      </w:pPr>
    </w:p>
    <w:tbl>
      <w:tblPr>
        <w:tblStyle w:val="TableGrid2"/>
        <w:tblW w:w="9312" w:type="dxa"/>
        <w:jc w:val="center"/>
        <w:tblLayout w:type="fixed"/>
        <w:tblLook w:val="04A0" w:firstRow="1" w:lastRow="0" w:firstColumn="1" w:lastColumn="0" w:noHBand="0" w:noVBand="1"/>
      </w:tblPr>
      <w:tblGrid>
        <w:gridCol w:w="2328"/>
        <w:gridCol w:w="2328"/>
        <w:gridCol w:w="2328"/>
        <w:gridCol w:w="2328"/>
      </w:tblGrid>
      <w:tr w:rsidR="00B522C7" w:rsidRPr="00B522C7" w:rsidTr="006506F8">
        <w:trPr>
          <w:trHeight w:val="737"/>
          <w:jc w:val="center"/>
        </w:trPr>
        <w:tc>
          <w:tcPr>
            <w:tcW w:w="1250" w:type="pct"/>
            <w:gridSpan w:val="4"/>
            <w:shd w:val="clear" w:color="auto" w:fill="DBDBDB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B522C7">
              <w:rPr>
                <w:rFonts w:ascii="GHEA Grapalat" w:hAnsi="GHEA Grapalat"/>
                <w:b/>
                <w:sz w:val="24"/>
                <w:szCs w:val="24"/>
              </w:rPr>
              <w:t xml:space="preserve">ՀԱՆՐԱՅԻՆ ՊԱՇՏՊԱՆԻ ԳՐԱՍԵՆՅԱԿԻ ՎԱՐԱԾ </w:t>
            </w:r>
            <w:r w:rsidRPr="00B522C7">
              <w:rPr>
                <w:rFonts w:ascii="GHEA Grapalat" w:hAnsi="GHEA Grapalat" w:cs="GHEA Grapalat"/>
                <w:b/>
                <w:sz w:val="24"/>
                <w:szCs w:val="24"/>
              </w:rPr>
              <w:t>ՔԱՂԱՔԱՑԻԱԿԱՆ, ՎԱՐՉԱԿԱՆ, ՍԱՀՄԱՆԱԴՐԱԿԱՆ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 w:cs="GHEA Grapalat"/>
                <w:b/>
                <w:sz w:val="24"/>
                <w:szCs w:val="24"/>
              </w:rPr>
              <w:t>ԳՈՐԾԵՐԸ</w:t>
            </w:r>
          </w:p>
        </w:tc>
      </w:tr>
      <w:tr w:rsidR="00B522C7" w:rsidRPr="00B522C7" w:rsidTr="006506F8">
        <w:trPr>
          <w:jc w:val="center"/>
        </w:trPr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Ժամանակահատված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Գործերի քանակ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Գործերի աճ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թվով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նախորդ տարվա համեմատ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Գործերի աճ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տոկոսով</w:t>
            </w:r>
          </w:p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b/>
                <w:i/>
                <w:szCs w:val="24"/>
              </w:rPr>
            </w:pPr>
            <w:r w:rsidRPr="00B522C7">
              <w:rPr>
                <w:rFonts w:ascii="GHEA Grapalat" w:hAnsi="GHEA Grapalat"/>
                <w:b/>
                <w:i/>
                <w:szCs w:val="24"/>
              </w:rPr>
              <w:t>նախորդ տարվա համեմատ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2011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12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-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-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2012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17</w:t>
            </w:r>
          </w:p>
        </w:tc>
        <w:tc>
          <w:tcPr>
            <w:tcW w:w="1250" w:type="pct"/>
            <w:vAlign w:val="bottom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5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42%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2013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363</w:t>
            </w:r>
          </w:p>
        </w:tc>
        <w:tc>
          <w:tcPr>
            <w:tcW w:w="1250" w:type="pct"/>
            <w:shd w:val="clear" w:color="auto" w:fill="EDEDED"/>
            <w:vAlign w:val="bottom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346</w:t>
            </w:r>
          </w:p>
        </w:tc>
        <w:tc>
          <w:tcPr>
            <w:tcW w:w="1250" w:type="pct"/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2035%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2014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1334</w:t>
            </w:r>
          </w:p>
        </w:tc>
        <w:tc>
          <w:tcPr>
            <w:tcW w:w="1250" w:type="pct"/>
            <w:vAlign w:val="bottom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971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267%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2015</w:t>
            </w:r>
          </w:p>
        </w:tc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2588</w:t>
            </w:r>
          </w:p>
        </w:tc>
        <w:tc>
          <w:tcPr>
            <w:tcW w:w="1250" w:type="pct"/>
            <w:shd w:val="clear" w:color="auto" w:fill="EDEDED"/>
            <w:vAlign w:val="bottom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1254</w:t>
            </w:r>
          </w:p>
        </w:tc>
        <w:tc>
          <w:tcPr>
            <w:tcW w:w="1250" w:type="pct"/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94%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2016</w:t>
            </w:r>
          </w:p>
        </w:tc>
        <w:tc>
          <w:tcPr>
            <w:tcW w:w="1250" w:type="pct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4750</w:t>
            </w:r>
          </w:p>
        </w:tc>
        <w:tc>
          <w:tcPr>
            <w:tcW w:w="1250" w:type="pct"/>
            <w:vAlign w:val="bottom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2162</w:t>
            </w:r>
          </w:p>
        </w:tc>
        <w:tc>
          <w:tcPr>
            <w:tcW w:w="1250" w:type="pct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84%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shd w:val="clear" w:color="auto" w:fill="EDEDED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2017</w:t>
            </w:r>
          </w:p>
        </w:tc>
        <w:tc>
          <w:tcPr>
            <w:tcW w:w="1250" w:type="pct"/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5865</w:t>
            </w:r>
          </w:p>
        </w:tc>
        <w:tc>
          <w:tcPr>
            <w:tcW w:w="1250" w:type="pct"/>
            <w:shd w:val="clear" w:color="auto" w:fill="EDEDED"/>
            <w:vAlign w:val="bottom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1115</w:t>
            </w:r>
          </w:p>
        </w:tc>
        <w:tc>
          <w:tcPr>
            <w:tcW w:w="1250" w:type="pct"/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23%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bottom w:val="single" w:sz="4" w:space="0" w:color="auto"/>
            </w:tcBorders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2018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</w:rPr>
            </w:pPr>
            <w:r w:rsidRPr="00B522C7">
              <w:rPr>
                <w:rFonts w:ascii="GHEA Grapalat" w:hAnsi="GHEA Grapalat"/>
                <w:szCs w:val="24"/>
              </w:rPr>
              <w:t>7021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1103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20%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2019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8608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1587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23%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2020*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7926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-682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-7,9%</w:t>
            </w:r>
          </w:p>
        </w:tc>
      </w:tr>
      <w:tr w:rsidR="00B522C7" w:rsidRPr="00B522C7" w:rsidTr="006506F8">
        <w:trPr>
          <w:trHeight w:val="340"/>
          <w:jc w:val="center"/>
        </w:trPr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color w:val="000000"/>
                <w:szCs w:val="24"/>
              </w:rPr>
            </w:pPr>
            <w:r w:rsidRPr="00B522C7">
              <w:rPr>
                <w:rFonts w:ascii="GHEA Grapalat" w:hAnsi="GHEA Grapalat"/>
                <w:color w:val="000000"/>
                <w:szCs w:val="24"/>
              </w:rPr>
              <w:t>2021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8800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874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EDEDED"/>
            <w:vAlign w:val="center"/>
          </w:tcPr>
          <w:p w:rsidR="00B522C7" w:rsidRPr="00B522C7" w:rsidRDefault="00B522C7" w:rsidP="00B522C7">
            <w:pPr>
              <w:widowControl w:val="0"/>
              <w:jc w:val="center"/>
              <w:rPr>
                <w:rFonts w:ascii="GHEA Grapalat" w:hAnsi="GHEA Grapalat"/>
                <w:szCs w:val="24"/>
              </w:rPr>
            </w:pPr>
            <w:r w:rsidRPr="00B522C7">
              <w:rPr>
                <w:rFonts w:ascii="GHEA Grapalat" w:hAnsi="GHEA Grapalat"/>
                <w:szCs w:val="24"/>
              </w:rPr>
              <w:t>11%</w:t>
            </w:r>
          </w:p>
        </w:tc>
      </w:tr>
    </w:tbl>
    <w:p w:rsidR="00B522C7" w:rsidRPr="00B522C7" w:rsidRDefault="00B522C7" w:rsidP="00B522C7">
      <w:pPr>
        <w:spacing w:after="0" w:line="276" w:lineRule="auto"/>
        <w:ind w:firstLine="426"/>
        <w:rPr>
          <w:rFonts w:ascii="GHEA Grapalat" w:eastAsia="Calibri" w:hAnsi="GHEA Grapalat" w:cs="Times New Roman"/>
          <w:b/>
          <w:i/>
          <w:color w:val="000000"/>
          <w:sz w:val="4"/>
          <w:szCs w:val="24"/>
        </w:rPr>
      </w:pPr>
    </w:p>
    <w:p w:rsidR="00B522C7" w:rsidRPr="00B522C7" w:rsidRDefault="00B522C7" w:rsidP="00C9378C">
      <w:pPr>
        <w:spacing w:after="0" w:line="276" w:lineRule="auto"/>
        <w:ind w:left="284" w:right="190"/>
        <w:jc w:val="both"/>
        <w:rPr>
          <w:rFonts w:ascii="GHEA Grapalat" w:eastAsia="Calibri" w:hAnsi="GHEA Grapalat" w:cs="Times New Roman"/>
          <w:color w:val="000000"/>
        </w:rPr>
      </w:pPr>
      <w:r w:rsidRPr="00B522C7">
        <w:rPr>
          <w:rFonts w:ascii="GHEA Grapalat" w:eastAsia="Calibri" w:hAnsi="GHEA Grapalat" w:cs="Times New Roman"/>
          <w:color w:val="000000"/>
        </w:rPr>
        <w:t xml:space="preserve">* </w:t>
      </w:r>
      <w:r w:rsidRPr="00C9378C">
        <w:rPr>
          <w:rFonts w:ascii="GHEA Grapalat" w:eastAsia="Calibri" w:hAnsi="GHEA Grapalat" w:cs="Times New Roman"/>
          <w:color w:val="000000"/>
          <w:sz w:val="20"/>
          <w:szCs w:val="20"/>
        </w:rPr>
        <w:t>2020 թվականի ցուցանիշների վրա էական ազդեցություն է ունեցել համավարակը և դրանով պայմանավորված սահմանափակումները</w:t>
      </w:r>
    </w:p>
    <w:p w:rsidR="00B013D4" w:rsidRPr="00B013D4" w:rsidRDefault="00160D50" w:rsidP="00B522C7">
      <w:pPr>
        <w:spacing w:before="240"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Գ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ործերի</w:t>
      </w:r>
      <w:r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թվաքանակի՝ ն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երկայում </w:t>
      </w:r>
      <w:r w:rsidR="00B013D4"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արձանագրվող աճը պայմանավորված է մի շարք գործոններով՝</w:t>
      </w:r>
    </w:p>
    <w:p w:rsidR="00B013D4" w:rsidRPr="00B013D4" w:rsidRDefault="00B013D4" w:rsidP="00B522C7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հանրային պաշտպան տրամադրելու վերաբերյալ քրեական վարույթն իրականացնող մարմիններից ստացվող </w:t>
      </w:r>
      <w:r w:rsidR="00B73DB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որոշումների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քանակի ավելացմամբ,</w:t>
      </w:r>
    </w:p>
    <w:p w:rsidR="00B013D4" w:rsidRPr="00B013D4" w:rsidRDefault="00B013D4" w:rsidP="00B522C7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օրենսդրական լրացումների և նոր 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կարգավորումների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ընդունման արդյունքում հանրային պաշտպանի գրասենյակի շահառուների </w:t>
      </w:r>
      <w:r w:rsidR="00160D50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խմբերի ավելացմամբ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, </w:t>
      </w:r>
    </w:p>
    <w:p w:rsidR="00B013D4" w:rsidRPr="00B013D4" w:rsidRDefault="00B013D4" w:rsidP="00B522C7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գրասենյակի գործունեության վերաբերյալ հանրային իրազեկ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ված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ության բարձրացմամբ,</w:t>
      </w:r>
    </w:p>
    <w:p w:rsidR="00B013D4" w:rsidRPr="00B013D4" w:rsidRDefault="00B013D4" w:rsidP="00B522C7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հանրային պաշտպանների մասնագիտական պատրաստվածության </w:t>
      </w:r>
      <w:r w:rsidR="003F7FC6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շարունակական 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բարելավման և գրասենյակի նկատմամբ վստահության աճի հանգամանքներով,</w:t>
      </w:r>
    </w:p>
    <w:p w:rsidR="00B013D4" w:rsidRPr="00B013D4" w:rsidRDefault="00B013D4" w:rsidP="00B522C7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հանրության իրավագիտակցության բարձրացմամբ:</w:t>
      </w:r>
    </w:p>
    <w:p w:rsidR="00B013D4" w:rsidRPr="00B013D4" w:rsidRDefault="00B013D4" w:rsidP="00B522C7">
      <w:pPr>
        <w:tabs>
          <w:tab w:val="left" w:pos="851"/>
        </w:tabs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lastRenderedPageBreak/>
        <w:t xml:space="preserve">Գրասենյակի ծանրաբեռնվածության հետագա աճը հղի է Սահմանադրությամբ և միջազգային փաստաթղթերով պետության </w:t>
      </w:r>
      <w:r w:rsidR="00160D50"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ստանձնած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պարտավորությունների չկատարելու կամ թերակատարելու վտանգով:</w:t>
      </w:r>
    </w:p>
    <w:p w:rsidR="00B013D4" w:rsidRPr="00B013D4" w:rsidRDefault="00B013D4" w:rsidP="003C2DA4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Ներկայացված խնդիրը հատկապես օրհասական կդառնա </w:t>
      </w:r>
      <w:r w:rsidRPr="00B013D4">
        <w:rPr>
          <w:rFonts w:ascii="GHEA Grapalat" w:eastAsia="Times New Roman" w:hAnsi="GHEA Grapalat" w:cs="Tahoma"/>
          <w:b/>
          <w:bCs/>
          <w:sz w:val="24"/>
          <w:szCs w:val="24"/>
          <w:lang w:eastAsia="ru-RU"/>
        </w:rPr>
        <w:t>ՀՀ քրեական և ՀՀ քրեական դատավարության նոր օրենսգրքերը 2022 թվականի հուլիսի 1-ին ուժի մեջ մտնելու պարագայում</w:t>
      </w: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՝ պայմանավորված գրասենյակի ծանրաբեռնվածությունն ավելացնող նոր կարգավորումներով:</w:t>
      </w:r>
    </w:p>
    <w:p w:rsidR="00B013D4" w:rsidRPr="00B013D4" w:rsidRDefault="00B013D4" w:rsidP="003C2DA4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B013D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Մասնավորապես, ՀՀ քրեական դատավարության նոր օրենսգիրքը նախատեսում է գրասենյակի ծանրաբեռնվածությունն ավելացնող հետևյալ  կարգավորումները.</w:t>
      </w:r>
      <w:r w:rsidRPr="00B013D4">
        <w:rPr>
          <w:rFonts w:ascii="GHEA Grapalat" w:eastAsia="Times New Roman" w:hAnsi="GHEA Grapalat" w:cs="Tahoma"/>
          <w:b/>
          <w:bCs/>
          <w:sz w:val="24"/>
          <w:szCs w:val="24"/>
          <w:lang w:eastAsia="ru-RU"/>
        </w:rPr>
        <w:t xml:space="preserve"> </w:t>
      </w:r>
    </w:p>
    <w:p w:rsidR="00B013D4" w:rsidRPr="003C2DA4" w:rsidRDefault="00B013D4" w:rsidP="003C2DA4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Միևնույն վարույթի շրջանակներում նույն փաստաբանը (պաշտպանը), որպես կանոն, կարողանալու է ներկայացնել միայն մեկ անձի (մեղադրյալի), ունենալ մեկ վստահորդ: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Մինչդեռ, ներկայում գրասենյակի փաստաբաններ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ը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կարողանում են ապահովել մի քանի մեղադրյալների պաշտպանություն նույն վարույթի շրջանակներում, կամ իրականացնել մի քանի վստահորդի ներկայացուցչություն, որը հնարավորություն է տալիս առկա ռեսուրսն օգտագործել ավելի արդյունավետ:</w:t>
      </w:r>
    </w:p>
    <w:p w:rsidR="00B013D4" w:rsidRPr="003C2DA4" w:rsidRDefault="00B013D4" w:rsidP="003C2DA4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Անձին ձերբակալման որոշումը հանձնելու կամ անձին մեղադրանք ներկայացնելու պահից վարույթին պաշտպանի ներգրավումը լինելու է պարտադիր: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Գործող կարգավորում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ը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նշված դեպքերի համար սահմանում է կասկածյալի կամ մեղադրյալի ցանկության պայմանը, որից հետո միայն վարույթն իրականացնող մարմնի համար առաջանում է պաշտպանով ապահովելու պարտականությունը: Սակայն նոր կանոնով, ըստ էության, գրեթե բոլոր քրեական գործերով պարտադիր է դառնալու պաշտպանի մասնակցությունը և ակնհայտ է, որ պաշտպանության ապահովման գերակշիռ բեռը կրելու է հանրային պաշտպանի գրասենյակը: Ի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դեպ, այս դրույթը ենթադրում է նաև հանրային պաշտպանների շուրջօրյա աշխատանք, տրանսպորտային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,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նյութատեխնիկական և այլ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խնդիրներ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,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որ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ն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առկա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սահմանափակ ֆինանսական ռեսուրսների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պայմաններում անհնար է կազմակերպել:</w:t>
      </w:r>
    </w:p>
    <w:p w:rsidR="00B013D4" w:rsidRPr="003C2DA4" w:rsidRDefault="00B013D4" w:rsidP="003C2DA4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Ավելացվել են նաև պաշտպանի պարտադիր մասնակցության հիմքերը. </w:t>
      </w:r>
    </w:p>
    <w:p w:rsidR="00B013D4" w:rsidRPr="003C2DA4" w:rsidRDefault="00B013D4" w:rsidP="003C2DA4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lastRenderedPageBreak/>
        <w:t>դատարանը կայացրել է տվյալ մեղադրյալին առնչվող ցուցմունքի դեպոնացում կատարելու մասին որոշում.</w:t>
      </w:r>
    </w:p>
    <w:p w:rsidR="00B013D4" w:rsidRPr="003C2DA4" w:rsidRDefault="00B013D4" w:rsidP="003C2DA4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մեղադրյալը միջնորդել է դատական նիստն անցկացնել իր բացակայությամբ: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Այս պարագայում ակնհայտորեն </w:t>
      </w:r>
      <w:r w:rsidR="00567A08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ևս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ավելանալու</w:t>
      </w:r>
      <w:r w:rsidR="00567A08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են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քրեական վարույթն իրականացնող մարմիններից ստացվող միջնորդությունները՝ հանրային պաշտպանություն իրականացնելու մասին, եթե հաշվի առնենք ցուցմունքների դեպոնացման հնարավոր ծավալները, ինչպես նաև նոր խմբերի ավելացումը: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Ընդ որում, համագործակցության և հեռակա վարույթների դեպքում պաշտպանի մասնակցության պարտադիրության հիմքը թեև կատարված լրացումների արդյունքում արդեն իսկ ներառված է գործող օրենսգրքում, այդուհանդերձ գործնականում դրա կիրառումը դեռևս խիստ սահմանափ</w:t>
      </w:r>
      <w:r w:rsidR="00246BC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ակ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է, ուստի այդ փոփոխության ազդեցություն</w:t>
      </w:r>
      <w:r w:rsidR="00246BC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ն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ակնառու է լինելու նոր օրենսգիրքն ուժի մեջ մտնելուց հետո: Հարկ է նկատել, որ նշված լրացումները կատարվելուց հետո</w:t>
      </w:r>
      <w:r w:rsidR="00246BC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,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դրանցով պայմանավորված ծանրաբեռնվածության ավելացման հաշվառմամբ</w:t>
      </w:r>
      <w:r w:rsidR="00246BC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,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հանրային պաշտպանի գրասենյակին հատկացվող միջոցների վերանայում </w:t>
      </w:r>
      <w:r w:rsidR="00246BCD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դեռևս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չի կատարվել:</w:t>
      </w:r>
    </w:p>
    <w:p w:rsidR="00B013D4" w:rsidRPr="003C2DA4" w:rsidRDefault="00B013D4" w:rsidP="003C2DA4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Քրեական դատավարության նոր օրենսդրությամբ պաշտպանին վերապահվել են նոր իրավունքներ, մասնավորապես՝</w:t>
      </w:r>
    </w:p>
    <w:p w:rsidR="00B013D4" w:rsidRPr="003C2DA4" w:rsidRDefault="00B013D4" w:rsidP="003C2DA4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ընդարձակվել են ապացուցողական գործողություններին մասնակցելու հնարավորությունները,</w:t>
      </w:r>
    </w:p>
    <w:p w:rsidR="00B013D4" w:rsidRPr="003C2DA4" w:rsidRDefault="00B013D4" w:rsidP="003C2DA4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ընդլայնվել է տրամադրման ենթակա փաստաթղթերի շրջանակը,</w:t>
      </w:r>
    </w:p>
    <w:p w:rsidR="00B013D4" w:rsidRPr="003C2DA4" w:rsidRDefault="00B013D4" w:rsidP="003C2DA4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վերապահվել է ապացույցներ ձեռք բերելու և ներկայացնելու իրավունք: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Ընդլայնված իրավունքների շրջանակը որակյալ իրավաբանական օգնություն տրամադրելու դեպքում ինքնին ենթադրում է լրացուցիչ աշխատանքների ծավալ՝ ապացույցների և փաստաթղթերի ձեռք բերմանն ուղղված գործողությունների շարք: 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5</w:t>
      </w:r>
      <w:r w:rsidR="003C2DA4" w:rsidRPr="007B402C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)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Քրեական դատավարության նոր օրենսդրությամբ ներդրվելու է մասնավոր մեղադրանքի ինստիտուտը, որը, հաշվի առնելով քրեական հայցի նախաձեռնողների շրջանակը, ենթադրում է նաև փաստաբանների, տվյալ դեպքում՝ հանրային պաշտպանների լրացուցիչ ներգրավվածություն: 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lastRenderedPageBreak/>
        <w:t>6</w:t>
      </w:r>
      <w:r w:rsidR="003C2DA4" w:rsidRPr="007B402C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)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Քննչական և </w:t>
      </w:r>
      <w:r w:rsidR="003C2DA4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որոշ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դատավարական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այլ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գործողությունների,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դրանց բողոքարկումների համար սահմանվել են առավել սեղմ  ժամկետներ: Նշվածը ենթադրում է աշխատանքների կատարման ինտենսիվության ավելացում և սահմանափակ պայմաններ, ինչն առկա ծանրաբեռնվածության և զբաղվածության պայմաններում վտանգելու է իրավաբանական օգնության որակը, ընդհուպ՝ հանգեցնելու թերացումների:</w:t>
      </w:r>
    </w:p>
    <w:p w:rsidR="00B013D4" w:rsidRPr="003C2DA4" w:rsidRDefault="003C2DA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Tahoma"/>
          <w:bCs/>
          <w:sz w:val="24"/>
          <w:szCs w:val="24"/>
          <w:lang w:eastAsia="ru-RU"/>
        </w:rPr>
        <w:t>Օրենսդրության փոփոխության արդյունքում հ</w:t>
      </w:r>
      <w:r w:rsidR="00B013D4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անրային պաշտպ</w:t>
      </w:r>
      <w:r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անի գրասենյակի ծանրաբեռնվածությունն ավելացնող ներկայացված գործոնները </w:t>
      </w:r>
      <w:r w:rsidR="00B013D4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սպառիչ չեն: 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Հարկ է նկատել, որ ՀՀ քրեական դատավարության նոր օրենսգրքի ընդունմամբ պայմանավորված հանրային պաշտպանի գրասենյակին հավելյալ միջոցնե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ր հատկացնելու անհրաժեշտությունն արձանագրվել է նաև օրենսգրքի </w:t>
      </w:r>
      <w:r w:rsidR="003C2DA4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նախագծի հանրային և մասնագիտական քննարկումների ժամանակ, 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այդ թվում՝</w:t>
      </w:r>
      <w:r w:rsidR="003C2DA4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նախագծի հեղինակների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 xml:space="preserve"> </w:t>
      </w:r>
      <w:r w:rsidR="003C2DA4"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կ</w:t>
      </w:r>
      <w:r w:rsid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ողմից: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Դատավարական օրենսդրության նոր կարգավորումներին զուգահեռ, ներկայում շրջանառության մեջ է դրված նաև ««Փաստաբանության մասին» Հայաստանի Հանրապետության օրենքում փոփոխություններ և լրացումներ կատարելու մասին» օրենքի նախագիծը, որով նախատեսվում է ընդլայնել անվճար իրավաբանական օգնություն ստանալու իրավունք ունեցող անձանց շրջանակը:</w:t>
      </w:r>
    </w:p>
    <w:p w:rsidR="00B013D4" w:rsidRPr="003C2DA4" w:rsidRDefault="00B013D4" w:rsidP="003C2DA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ahoma"/>
          <w:bCs/>
          <w:i/>
          <w:sz w:val="24"/>
          <w:szCs w:val="24"/>
          <w:lang w:eastAsia="ru-RU"/>
        </w:rPr>
      </w:pPr>
      <w:r w:rsidRPr="003C2DA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Ստեղծված իրավիճակի շարունակականության և գործերի կանխատեսվող հետագա աճի պայմաններում այլևս խնդրահարույց կլինի </w:t>
      </w:r>
      <w:r w:rsidR="00B61AAC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օրենսդրությամբ նախատեսված դեպքերում </w:t>
      </w:r>
      <w:r w:rsidRPr="003C2DA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արդյունավետ պաշտպանության իրականացումը և իրավաբանական օգնության ցուցաբերումը: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Նշված իրավիճակը կարող է շտկվել</w:t>
      </w:r>
      <w:r w:rsidRPr="003C2DA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Pr="003C2DA4">
        <w:rPr>
          <w:rFonts w:ascii="GHEA Grapalat" w:eastAsia="Times New Roman" w:hAnsi="GHEA Grapalat" w:cs="Tahoma"/>
          <w:bCs/>
          <w:sz w:val="24"/>
          <w:szCs w:val="24"/>
          <w:lang w:eastAsia="ru-RU"/>
        </w:rPr>
        <w:t>միայն գրասենյակին հավելյալ միջոցների՝ հանրային պաշտպանների</w:t>
      </w:r>
      <w:r w:rsidRPr="003C2DA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լրացուցիչ հաստիքների տրամադրման դեպքում՝ դրանով հնարավորինս մեղմելով հանրային պաշտպանների ծանրաբեռնվածությ</w:t>
      </w:r>
      <w:r w:rsidR="00246BCD">
        <w:rPr>
          <w:rFonts w:ascii="GHEA Grapalat" w:eastAsia="Times New Roman" w:hAnsi="GHEA Grapalat" w:cs="Tahoma"/>
          <w:sz w:val="24"/>
          <w:szCs w:val="24"/>
          <w:lang w:eastAsia="ru-RU"/>
        </w:rPr>
        <w:t>ան աճը</w:t>
      </w:r>
      <w:r w:rsidRPr="003C2DA4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: </w:t>
      </w:r>
    </w:p>
    <w:p w:rsidR="00EE5D56" w:rsidRDefault="00EE5D56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ahoma"/>
          <w:sz w:val="24"/>
          <w:szCs w:val="24"/>
          <w:lang w:eastAsia="ru-RU"/>
        </w:rPr>
      </w:pPr>
      <w:r w:rsidRPr="00D626EA">
        <w:rPr>
          <w:rFonts w:ascii="GHEA Grapalat" w:eastAsia="Times New Roman" w:hAnsi="GHEA Grapalat" w:cs="Tahoma"/>
          <w:sz w:val="24"/>
          <w:szCs w:val="24"/>
          <w:lang w:eastAsia="ru-RU"/>
        </w:rPr>
        <w:t>Նախագ</w:t>
      </w:r>
      <w:r w:rsidR="00F03C26">
        <w:rPr>
          <w:rFonts w:ascii="GHEA Grapalat" w:eastAsia="Times New Roman" w:hAnsi="GHEA Grapalat" w:cs="Tahoma"/>
          <w:sz w:val="24"/>
          <w:szCs w:val="24"/>
          <w:lang w:eastAsia="ru-RU"/>
        </w:rPr>
        <w:t>ծի ընդունման</w:t>
      </w:r>
      <w:r w:rsidRPr="00D626E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  <w:r w:rsidR="00F03C26">
        <w:rPr>
          <w:rFonts w:ascii="GHEA Grapalat" w:eastAsia="Times New Roman" w:hAnsi="GHEA Grapalat" w:cs="Tahoma"/>
          <w:sz w:val="24"/>
          <w:szCs w:val="24"/>
          <w:lang w:eastAsia="ru-RU"/>
        </w:rPr>
        <w:t>դեպքում</w:t>
      </w:r>
      <w:r w:rsidRPr="00D626EA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ՀՀ պետական բյուջեի հաշվին ֆինանսական միջոցների վերականգնման, ինչպես նաև լրացուցիչ ֆինանս</w:t>
      </w:r>
      <w:r w:rsidR="00B61AAC" w:rsidRPr="00D626EA">
        <w:rPr>
          <w:rFonts w:ascii="GHEA Grapalat" w:eastAsia="Times New Roman" w:hAnsi="GHEA Grapalat" w:cs="Tahoma"/>
          <w:sz w:val="24"/>
          <w:szCs w:val="24"/>
          <w:lang w:eastAsia="ru-RU"/>
        </w:rPr>
        <w:t>ա</w:t>
      </w:r>
      <w:r w:rsidRPr="00D626EA">
        <w:rPr>
          <w:rFonts w:ascii="GHEA Grapalat" w:eastAsia="Times New Roman" w:hAnsi="GHEA Grapalat" w:cs="Tahoma"/>
          <w:sz w:val="24"/>
          <w:szCs w:val="24"/>
          <w:lang w:eastAsia="ru-RU"/>
        </w:rPr>
        <w:t>կան միջոցների անհրաժեշտություն չի առաջանա։</w:t>
      </w:r>
      <w:r w:rsidRPr="00EE5D56">
        <w:rPr>
          <w:rFonts w:ascii="GHEA Grapalat" w:eastAsia="Times New Roman" w:hAnsi="GHEA Grapalat" w:cs="Tahoma"/>
          <w:sz w:val="24"/>
          <w:szCs w:val="24"/>
          <w:lang w:eastAsia="ru-RU"/>
        </w:rPr>
        <w:t xml:space="preserve"> </w:t>
      </w:r>
    </w:p>
    <w:p w:rsidR="007B402C" w:rsidRPr="00EE5D56" w:rsidRDefault="007B402C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EE5D56" w:rsidRPr="00EE5D56" w:rsidRDefault="00EE5D56" w:rsidP="00B522C7">
      <w:pPr>
        <w:spacing w:before="48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eastAsia="ru-RU"/>
        </w:rPr>
      </w:pP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  <w:lastRenderedPageBreak/>
        <w:t>3.Ակնկալվող արդյունքը</w:t>
      </w:r>
    </w:p>
    <w:p w:rsidR="00B61AAC" w:rsidRDefault="00EE5D56" w:rsidP="00B522C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</w:pPr>
      <w:r w:rsidRPr="00EE5D56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 xml:space="preserve">Նախագծի ընդունման արդյունքում </w:t>
      </w:r>
      <w:r w:rsidR="00B61AAC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 xml:space="preserve">հնարավոր կլինի 2022 թվականի երկրորդ կիսամյակի ընթացքում ապահովել Սահմանադրությամբ երաշխավորված պատշաճ և որակյալ անվճար իրավաբանական օգնությունը օրենսդրությամբ նախատեսված դեպքերում: </w:t>
      </w:r>
    </w:p>
    <w:p w:rsidR="00EE5D56" w:rsidRPr="00EE5D56" w:rsidRDefault="00EE5D56" w:rsidP="00B522C7">
      <w:pPr>
        <w:spacing w:before="480" w:after="0" w:line="24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</w:pPr>
      <w:r w:rsidRPr="00EE5D56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eastAsia="ru-RU"/>
        </w:rPr>
        <w:t>4.Նախագիծը մշակող պատասխանատու մարմինը</w:t>
      </w:r>
    </w:p>
    <w:p w:rsidR="00EE5D56" w:rsidRPr="00EE5D56" w:rsidRDefault="00EE5D56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E5D56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 նախագիծը մշակվել է Հայաստանի Հանրապետության արդարադատության նախարարության կողմից:</w:t>
      </w:r>
    </w:p>
    <w:p w:rsidR="00EE5D56" w:rsidRPr="00EE5D56" w:rsidRDefault="00EE5D56" w:rsidP="00B522C7">
      <w:pPr>
        <w:spacing w:after="0" w:line="360" w:lineRule="auto"/>
        <w:ind w:firstLine="567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eastAsia="ru-RU"/>
        </w:rPr>
      </w:pPr>
    </w:p>
    <w:p w:rsidR="00EE5D56" w:rsidRPr="00EE5D56" w:rsidRDefault="00EE5D56" w:rsidP="00B522C7">
      <w:pPr>
        <w:spacing w:after="0" w:line="360" w:lineRule="auto"/>
        <w:ind w:firstLine="567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eastAsia="ru-RU"/>
        </w:rPr>
      </w:pPr>
      <w:r w:rsidRPr="00EE5D56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eastAsia="ru-RU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E5D56" w:rsidRPr="00EE5D56" w:rsidRDefault="00EE5D56" w:rsidP="00B522C7">
      <w:pPr>
        <w:spacing w:before="120"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D626EA">
        <w:rPr>
          <w:rFonts w:ascii="GHEA Grapalat" w:eastAsia="Times New Roman" w:hAnsi="GHEA Grapalat" w:cs="Times New Roman"/>
          <w:sz w:val="24"/>
          <w:szCs w:val="24"/>
          <w:lang w:eastAsia="ru-RU"/>
        </w:rPr>
        <w:t>ՀՀ կառավարության սույն որոշման նախագծի ընդունումը ՀՀ 2022 թվականի պետական բյուջեի եկամուտների և ծախսերի փոփոխության չի հանգեցնի:</w:t>
      </w:r>
    </w:p>
    <w:p w:rsidR="00EE5D56" w:rsidRPr="00EE5D56" w:rsidRDefault="00EE5D56" w:rsidP="00B522C7">
      <w:pPr>
        <w:spacing w:before="360" w:line="360" w:lineRule="auto"/>
        <w:ind w:left="360"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</w:rPr>
      </w:pPr>
    </w:p>
    <w:p w:rsidR="00EE5D56" w:rsidRPr="00EE5D56" w:rsidRDefault="00EE5D56" w:rsidP="00B522C7">
      <w:pPr>
        <w:spacing w:before="360" w:line="360" w:lineRule="auto"/>
        <w:ind w:left="360"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fr-FR"/>
        </w:rPr>
      </w:pPr>
      <w:r w:rsidRPr="00EE5D56">
        <w:rPr>
          <w:rFonts w:ascii="GHEA Grapalat" w:eastAsia="Calibri" w:hAnsi="GHEA Grapalat" w:cs="Sylfaen"/>
          <w:b/>
          <w:sz w:val="24"/>
          <w:szCs w:val="24"/>
        </w:rPr>
        <w:t>6. Նախագծի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առնչությամբ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ընդունվելիք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այլ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ակտերի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Times New Roman"/>
          <w:b/>
          <w:sz w:val="24"/>
          <w:szCs w:val="24"/>
        </w:rPr>
        <w:t>նախագծերը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կամ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դրանց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անհրաժեշտության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բացակայության</w:t>
      </w:r>
      <w:r w:rsidRPr="00EE5D56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EE5D56">
        <w:rPr>
          <w:rFonts w:ascii="GHEA Grapalat" w:eastAsia="Calibri" w:hAnsi="GHEA Grapalat" w:cs="Sylfaen"/>
          <w:b/>
          <w:sz w:val="24"/>
          <w:szCs w:val="24"/>
        </w:rPr>
        <w:t>մասին</w:t>
      </w:r>
    </w:p>
    <w:p w:rsidR="00EE5D56" w:rsidRPr="00EE5D56" w:rsidRDefault="00EE5D56" w:rsidP="00B522C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EE5D56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EE5D56" w:rsidRPr="00EE5D56" w:rsidRDefault="00EE5D56" w:rsidP="00B522C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EE5D56" w:rsidRPr="00425D9B" w:rsidRDefault="00EE5D56" w:rsidP="00B522C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</w:pPr>
      <w:r w:rsidRPr="00425D9B">
        <w:rPr>
          <w:rFonts w:ascii="GHEA Grapalat" w:eastAsia="Times New Roman" w:hAnsi="GHEA Grapalat" w:cs="Times New Roman"/>
          <w:b/>
          <w:sz w:val="24"/>
          <w:szCs w:val="24"/>
          <w:lang w:val="en-US" w:eastAsia="ru-RU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EE5D56" w:rsidRPr="00425D9B" w:rsidRDefault="00425D9B" w:rsidP="00B522C7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en-US" w:eastAsia="ar-SA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Նախագծի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ընդունումը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բխում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Կառավարության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2021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թվականի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նոյմեբերի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18-ի «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Հայաստանի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Հանրապետության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կառավարության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2021-2026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թվականների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գործունեության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միջոցառումների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ծրագիրը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հաստատելու</w:t>
      </w:r>
      <w:proofErr w:type="spellEnd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425D9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մասին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»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թիվ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1902-Լ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որոշման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հավելված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N 1-ի</w:t>
      </w:r>
      <w:r w:rsidR="00AB096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՝</w:t>
      </w:r>
      <w:bookmarkStart w:id="0" w:name="_GoBack"/>
      <w:bookmarkEnd w:id="0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Փաստաբանության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ոլորտի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զարգացման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նպատակից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,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որի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10.1.2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lastRenderedPageBreak/>
        <w:t>ենթակետով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D4E39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որպես</w:t>
      </w:r>
      <w:proofErr w:type="spellEnd"/>
      <w:r w:rsidR="00AD4E39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D4E39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ակնկալվող</w:t>
      </w:r>
      <w:proofErr w:type="spellEnd"/>
      <w:r w:rsidR="00AD4E39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AD4E39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արդյունք</w:t>
      </w:r>
      <w:proofErr w:type="spellEnd"/>
      <w:r w:rsidR="00AD4E39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ամրագրված</w:t>
      </w:r>
      <w:proofErr w:type="spellEnd"/>
      <w:r w:rsid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 </w:t>
      </w:r>
      <w:proofErr w:type="spellStart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Հանրային</w:t>
      </w:r>
      <w:proofErr w:type="spellEnd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պաշտպանների</w:t>
      </w:r>
      <w:proofErr w:type="spellEnd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ծանրաբեռնվածության</w:t>
      </w:r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թեթևացումը</w:t>
      </w:r>
      <w:proofErr w:type="spellEnd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մինչև</w:t>
      </w:r>
      <w:proofErr w:type="spellEnd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30 </w:t>
      </w:r>
      <w:proofErr w:type="spellStart"/>
      <w:r w:rsidR="006F6A97" w:rsidRPr="006F6A9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տոկոսով</w:t>
      </w:r>
      <w:proofErr w:type="spellEnd"/>
    </w:p>
    <w:p w:rsidR="00CF3422" w:rsidRDefault="00AB0967"/>
    <w:sectPr w:rsidR="00CF3422" w:rsidSect="00B80789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DB6"/>
    <w:multiLevelType w:val="hybridMultilevel"/>
    <w:tmpl w:val="248C574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2CD5813"/>
    <w:multiLevelType w:val="hybridMultilevel"/>
    <w:tmpl w:val="89D66BBE"/>
    <w:lvl w:ilvl="0" w:tplc="59E621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E7CEC"/>
    <w:multiLevelType w:val="hybridMultilevel"/>
    <w:tmpl w:val="4E183E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17181"/>
    <w:multiLevelType w:val="hybridMultilevel"/>
    <w:tmpl w:val="D6FE654E"/>
    <w:lvl w:ilvl="0" w:tplc="FF0631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E0A87"/>
    <w:multiLevelType w:val="hybridMultilevel"/>
    <w:tmpl w:val="5D8E7A1C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94EE8"/>
    <w:rsid w:val="00013771"/>
    <w:rsid w:val="00107AAD"/>
    <w:rsid w:val="00160D50"/>
    <w:rsid w:val="00223840"/>
    <w:rsid w:val="00246BCD"/>
    <w:rsid w:val="002C1D71"/>
    <w:rsid w:val="00380E04"/>
    <w:rsid w:val="003C2DA4"/>
    <w:rsid w:val="003F7FC6"/>
    <w:rsid w:val="004055C2"/>
    <w:rsid w:val="00425D9B"/>
    <w:rsid w:val="00494EE8"/>
    <w:rsid w:val="004B4150"/>
    <w:rsid w:val="004E0383"/>
    <w:rsid w:val="00567A08"/>
    <w:rsid w:val="005C3F0A"/>
    <w:rsid w:val="00616ACA"/>
    <w:rsid w:val="006B057C"/>
    <w:rsid w:val="006F6A97"/>
    <w:rsid w:val="006F7602"/>
    <w:rsid w:val="00726D0B"/>
    <w:rsid w:val="007B402C"/>
    <w:rsid w:val="009E6A01"/>
    <w:rsid w:val="00A656D6"/>
    <w:rsid w:val="00AB0967"/>
    <w:rsid w:val="00AD4E39"/>
    <w:rsid w:val="00B013D4"/>
    <w:rsid w:val="00B27C53"/>
    <w:rsid w:val="00B522C7"/>
    <w:rsid w:val="00B61AAC"/>
    <w:rsid w:val="00B62E7C"/>
    <w:rsid w:val="00B73DBD"/>
    <w:rsid w:val="00B80789"/>
    <w:rsid w:val="00C251DD"/>
    <w:rsid w:val="00C9378C"/>
    <w:rsid w:val="00CE4B3C"/>
    <w:rsid w:val="00D626EA"/>
    <w:rsid w:val="00D757D8"/>
    <w:rsid w:val="00E375AC"/>
    <w:rsid w:val="00E467DE"/>
    <w:rsid w:val="00EE5D56"/>
    <w:rsid w:val="00F03C26"/>
    <w:rsid w:val="00F74FFC"/>
    <w:rsid w:val="00FE2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2418"/>
  <w15:docId w15:val="{CF3C6E52-1A97-45D8-B9BA-C120EEEFA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7DE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B522C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B522C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52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2D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25D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8</Pages>
  <Words>1619</Words>
  <Characters>9229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 Aklunts</dc:creator>
  <cp:keywords>https://mul2.gov.am/tasks/636088/oneclick/himnavorum (7).docx?token=b742e216c5e675b3f152e3a85aeb28b5</cp:keywords>
  <dc:description/>
  <cp:lastModifiedBy>A-Sujyan</cp:lastModifiedBy>
  <cp:revision>20</cp:revision>
  <dcterms:created xsi:type="dcterms:W3CDTF">2022-05-20T08:11:00Z</dcterms:created>
  <dcterms:modified xsi:type="dcterms:W3CDTF">2022-06-29T11:58:00Z</dcterms:modified>
</cp:coreProperties>
</file>