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C7" w:rsidRDefault="000111C7" w:rsidP="000111C7">
      <w:pPr>
        <w:shd w:val="clear" w:color="auto" w:fill="FFFFFF"/>
        <w:spacing w:after="0" w:line="360" w:lineRule="auto"/>
        <w:jc w:val="both"/>
        <w:rPr>
          <w:rFonts w:ascii="GHEA Grapalat" w:hAnsi="GHEA Grapalat"/>
          <w:lang w:val="en-US"/>
        </w:rPr>
      </w:pPr>
    </w:p>
    <w:p w:rsidR="000111C7" w:rsidRDefault="000111C7" w:rsidP="000111C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0111C7" w:rsidRDefault="000111C7" w:rsidP="000111C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«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ՔՐԵԱԿԱՆ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ԴԱՏԱՎԱՐՈՒԹՅԱՆ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ՕՐԵՆՍԳՐՔՈՒՄ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ՓՈՓՈԽՈՒԹՅՈՒՆՆԵՐ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ԿԱՏԱՐԵԼՈՒ</w:t>
      </w:r>
      <w:r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ՄԱՍԻՆ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» </w:t>
      </w:r>
    </w:p>
    <w:p w:rsidR="000111C7" w:rsidRDefault="000111C7" w:rsidP="000111C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ՕՐԵՆՔԻ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ՆԱԽԱԳԾԻ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ԸՆԴՈՒՆՄԱՆ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0111C7" w:rsidRDefault="000111C7" w:rsidP="000111C7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0111C7" w:rsidRDefault="000111C7" w:rsidP="000111C7">
      <w:pPr>
        <w:spacing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քրեական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դատավարության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օրենսգրքում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փոփոխություն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կատարելու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նախագծի</w:t>
      </w:r>
      <w:r>
        <w:rPr>
          <w:rFonts w:ascii="GHEA Grapalat" w:hAnsi="GHEA Grapalat"/>
          <w:sz w:val="24"/>
          <w:szCs w:val="24"/>
          <w:lang w:val="en-US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այսուհետ՝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Նախագիծ</w:t>
      </w:r>
      <w:r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մշակման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քրեական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դատավարության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օրենսգրքում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լիազորությունների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հստակեցումը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11C7" w:rsidRDefault="000111C7" w:rsidP="000111C7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u w:val="single"/>
          <w:lang w:val="en-US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en-US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en-US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</w:rPr>
        <w:t>իրավական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en-US"/>
        </w:rPr>
        <w:t>ակտի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en-US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en-US"/>
        </w:rPr>
        <w:t>անհրաժեշտությունը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քրեական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օրենսգրքի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</w:rPr>
        <w:t>այսուհետ՝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Օրենսգիրք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Նախագծով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ռաջարկվում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խմբագրել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Օրենսգրք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40-րդ (քննչական մարմնի ղեկավարի լիազորությունները) հոդվածը:</w:t>
      </w:r>
    </w:p>
    <w:p w:rsidR="000111C7" w:rsidRDefault="000111C7" w:rsidP="000111C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Սույն հոդվածի 1-ին մասը սահմանում է քննչական մարմնի ղեկավարի լիազորությունները, որտեղ ի  թիվս այլնի ամրագրված է, որ 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>ն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ախաքննության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պատշաճ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կազմակերպումը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թվում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դրա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արդյունավետությունն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ապահովելու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նպատակով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քննչական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ղեկավարը՝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</w:p>
    <w:p w:rsidR="000111C7" w:rsidRDefault="000111C7" w:rsidP="000111C7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eastAsia="Times New Roman" w:hAnsi="GHEA Grapalat"/>
          <w:i/>
          <w:color w:val="000000"/>
          <w:lang w:val="af-ZA"/>
        </w:rPr>
      </w:pPr>
      <w:r>
        <w:rPr>
          <w:rFonts w:ascii="GHEA Grapalat" w:eastAsia="Times New Roman" w:hAnsi="GHEA Grapalat" w:cs="Sylfaen"/>
          <w:i/>
          <w:color w:val="000000"/>
        </w:rPr>
        <w:t>վարույթն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իր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ենթակայության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ներքո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գործող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մի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քննիչից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u w:val="single"/>
        </w:rPr>
        <w:t>որոշմամբ</w:t>
      </w:r>
      <w:r>
        <w:rPr>
          <w:rFonts w:ascii="GHEA Grapalat" w:eastAsia="Times New Roman" w:hAnsi="GHEA Grapalat"/>
          <w:b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հանձնում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է</w:t>
      </w:r>
      <w:r>
        <w:rPr>
          <w:rFonts w:ascii="GHEA Grapalat" w:eastAsia="Times New Roman" w:hAnsi="GHEA Grapalat"/>
          <w:i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</w:rPr>
        <w:t>մյուսին</w:t>
      </w:r>
      <w:r>
        <w:rPr>
          <w:rFonts w:ascii="GHEA Grapalat" w:eastAsia="Times New Roman" w:hAnsi="GHEA Grapalat"/>
          <w:i/>
          <w:color w:val="000000"/>
          <w:lang w:val="af-ZA"/>
        </w:rPr>
        <w:t>.</w:t>
      </w:r>
    </w:p>
    <w:p w:rsidR="000111C7" w:rsidRDefault="000111C7" w:rsidP="000111C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i/>
          <w:sz w:val="24"/>
          <w:szCs w:val="24"/>
          <w:lang w:val="af-ZA"/>
        </w:rPr>
        <w:t>-    ե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թե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դա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կարող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հանգեցնել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նախաքննության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կատարման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վայրի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փոփոխության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ապա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վարույթը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մի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քննիչից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մյուսին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հանձնելը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կարող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տեղի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lastRenderedPageBreak/>
        <w:t>ունենալ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միայն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համապատասխան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</w:rPr>
        <w:t>վերադաս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</w:rPr>
        <w:t>դատախազի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</w:rPr>
        <w:t>գրավոր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  <w:lang w:val="af-ZA"/>
        </w:rPr>
        <w:t xml:space="preserve">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u w:val="single"/>
        </w:rPr>
        <w:t>համաձայնությամբ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af-ZA"/>
        </w:rPr>
        <w:t>: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Cs/>
          <w:noProof/>
          <w:color w:val="000000"/>
          <w:lang w:val="af-ZA"/>
        </w:rPr>
      </w:pPr>
      <w:r>
        <w:rPr>
          <w:rFonts w:ascii="GHEA Grapalat" w:hAnsi="GHEA Grapalat" w:cs="Arial"/>
          <w:bCs/>
          <w:noProof/>
          <w:color w:val="000000"/>
          <w:lang w:val="hy-AM"/>
        </w:rPr>
        <w:t xml:space="preserve">Նշված կարգավորման հետ կապված հարկ է նկատի ունենալ, որ ՀՀ սահմանադրության 178-րդ հոդվածի համաձայն' 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Cs/>
          <w:i/>
          <w:noProof/>
          <w:color w:val="000000"/>
          <w:lang w:val="af-ZA"/>
        </w:rPr>
      </w:pPr>
      <w:r>
        <w:rPr>
          <w:rFonts w:ascii="GHEA Grapalat" w:hAnsi="GHEA Grapalat" w:cs="Arial"/>
          <w:bCs/>
          <w:i/>
          <w:noProof/>
          <w:color w:val="000000"/>
          <w:lang w:val="hy-AM"/>
        </w:rPr>
        <w:t>«1) Քննչական մարմիններն օրենքով սահմանված դեպքերում և կարգով կազմակերպում և իրականացնում են մինչդատական քրեական վարույթը: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Cs/>
          <w:i/>
          <w:noProof/>
          <w:color w:val="000000"/>
          <w:lang w:val="hy-AM"/>
        </w:rPr>
      </w:pPr>
      <w:r>
        <w:rPr>
          <w:rFonts w:ascii="GHEA Grapalat" w:hAnsi="GHEA Grapalat" w:cs="Arial"/>
          <w:bCs/>
          <w:i/>
          <w:noProof/>
          <w:color w:val="000000"/>
          <w:lang w:val="hy-AM"/>
        </w:rPr>
        <w:t xml:space="preserve"> 2) Քննչական մարմինների կարգավիճակը, լիազորությունները, կազմավորման և գործունեության կարգը սահմանվում են օրենքով:»: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/>
          <w:bCs/>
          <w:i/>
          <w:noProof/>
          <w:color w:val="000000"/>
          <w:lang w:val="hy-AM"/>
        </w:rPr>
      </w:pPr>
      <w:r>
        <w:rPr>
          <w:rFonts w:ascii="GHEA Grapalat" w:hAnsi="GHEA Grapalat" w:cs="Arial"/>
          <w:bCs/>
          <w:noProof/>
          <w:color w:val="000000"/>
          <w:lang w:val="hy-AM"/>
        </w:rPr>
        <w:t xml:space="preserve">«Հայաստանի Հանրապետության քննչական կոմիտեի մասին» օրենքի 6֊րդ հոդվածի համաձայն՝ </w:t>
      </w:r>
      <w:r>
        <w:rPr>
          <w:rFonts w:ascii="GHEA Grapalat" w:hAnsi="GHEA Grapalat" w:cs="Arial"/>
          <w:b/>
          <w:bCs/>
          <w:i/>
          <w:noProof/>
          <w:color w:val="000000"/>
          <w:lang w:val="hy-AM"/>
        </w:rPr>
        <w:t>քննչական կոմիտեի լիազորություններն են Հայաստանի Հանրապետության քրեական դատավարության օրենսգրքով իր իրավասությանը վերապահված՝ ենթադրյալ հանցագործությունների կապակցությամբ նախաքննության կազմակերպումը և իրականացումը: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Cs/>
          <w:noProof/>
          <w:color w:val="000000"/>
          <w:lang w:val="hy-AM"/>
        </w:rPr>
      </w:pPr>
      <w:r>
        <w:rPr>
          <w:rFonts w:ascii="GHEA Grapalat" w:hAnsi="GHEA Grapalat" w:cs="Arial"/>
          <w:bCs/>
          <w:noProof/>
          <w:color w:val="000000"/>
          <w:lang w:val="hy-AM"/>
        </w:rPr>
        <w:t xml:space="preserve">Նկատի ունենալով, որ Օրենսգրքի կարգավորումների համաձայն՝ նախաքննության մարմնի և մարմնի ղեկավարի պարտականությունն է նախաքննության արդյունավետ կազմակերպումը, կարծում ենք, որ </w:t>
      </w:r>
      <w:r>
        <w:rPr>
          <w:rFonts w:ascii="GHEA Grapalat" w:hAnsi="GHEA Grapalat" w:cs="Arial"/>
          <w:b/>
          <w:bCs/>
          <w:i/>
          <w:noProof/>
          <w:color w:val="000000"/>
          <w:lang w:val="hy-AM"/>
        </w:rPr>
        <w:t>անտեղին է</w:t>
      </w:r>
      <w:r>
        <w:rPr>
          <w:rFonts w:ascii="GHEA Grapalat" w:hAnsi="GHEA Grapalat" w:cs="Arial"/>
          <w:bCs/>
          <w:noProof/>
          <w:color w:val="000000"/>
          <w:lang w:val="hy-AM"/>
        </w:rPr>
        <w:t xml:space="preserve"> սահմանված այն կարգավորումը, որ </w:t>
      </w:r>
      <w:r>
        <w:rPr>
          <w:rFonts w:ascii="GHEA Grapalat" w:hAnsi="GHEA Grapalat" w:cs="Arial"/>
          <w:bCs/>
          <w:i/>
          <w:noProof/>
          <w:color w:val="000000"/>
          <w:lang w:val="hy-AM"/>
        </w:rPr>
        <w:t xml:space="preserve">եթե դա կարող է հանգեցնել նախաքննության կատարման վայրի փոփոխության, ապա վարույթը մի քննիչից մյուսին հանձնելը կարող է տեղի ունենալ միայն համապատասխան վերադաս դատախազի </w:t>
      </w:r>
      <w:r>
        <w:rPr>
          <w:rFonts w:ascii="GHEA Grapalat" w:hAnsi="GHEA Grapalat" w:cs="Arial"/>
          <w:bCs/>
          <w:i/>
          <w:noProof/>
          <w:color w:val="000000"/>
          <w:u w:val="single"/>
          <w:lang w:val="hy-AM"/>
        </w:rPr>
        <w:t>գրավոր համաձայնությամբ</w:t>
      </w:r>
      <w:r>
        <w:rPr>
          <w:rFonts w:ascii="GHEA Grapalat" w:hAnsi="GHEA Grapalat" w:cs="Arial"/>
          <w:bCs/>
          <w:noProof/>
          <w:color w:val="000000"/>
          <w:lang w:val="hy-AM"/>
        </w:rPr>
        <w:t xml:space="preserve">: 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Cs/>
          <w:noProof/>
          <w:color w:val="000000"/>
          <w:lang w:val="hy-AM"/>
        </w:rPr>
      </w:pPr>
      <w:r>
        <w:rPr>
          <w:rFonts w:ascii="GHEA Grapalat" w:hAnsi="GHEA Grapalat" w:cs="Arial"/>
          <w:bCs/>
          <w:noProof/>
          <w:color w:val="000000"/>
          <w:lang w:val="hy-AM"/>
        </w:rPr>
        <w:t xml:space="preserve">Պետք է հստակ արձանագրել, որ անկախ նրանից, թե որ վայրում է կատարվելու նախաքննությունը միևնույնն է այդ վարույթը գտնվելու է դատախազության հսկողության տակ, ուստի նման ձևակերպման պայմաններում որևէ կերպ հիմնավորված չէ </w:t>
      </w:r>
      <w:r>
        <w:rPr>
          <w:rFonts w:ascii="GHEA Grapalat" w:hAnsi="GHEA Grapalat" w:cs="Sylfaen"/>
          <w:b/>
          <w:i/>
          <w:lang w:val="hy-AM"/>
        </w:rPr>
        <w:t>որպես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նախաքննության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անմիջական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կազմակերպիչ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և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արդյունավետության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ապահովող</w:t>
      </w:r>
      <w:r>
        <w:rPr>
          <w:rFonts w:ascii="GHEA Grapalat" w:hAnsi="GHEA Grapalat"/>
          <w:b/>
          <w:i/>
          <w:lang w:val="hy-AM"/>
        </w:rPr>
        <w:t xml:space="preserve">, </w:t>
      </w:r>
      <w:r>
        <w:rPr>
          <w:rFonts w:ascii="GHEA Grapalat" w:hAnsi="GHEA Grapalat" w:cs="Sylfaen"/>
          <w:b/>
          <w:i/>
          <w:lang w:val="hy-AM"/>
        </w:rPr>
        <w:t>սահմանափակել քննչական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մարմնի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 xml:space="preserve">ղեկավարի լիազորությունները, այն պայմաններում, որ </w:t>
      </w:r>
      <w:r>
        <w:rPr>
          <w:rFonts w:ascii="GHEA Grapalat" w:hAnsi="GHEA Grapalat"/>
          <w:b/>
          <w:i/>
          <w:lang w:val="hy-AM"/>
        </w:rPr>
        <w:t xml:space="preserve">տարիներ շարունակ (1999թ.-ից) </w:t>
      </w:r>
      <w:r>
        <w:rPr>
          <w:rFonts w:ascii="GHEA Grapalat" w:hAnsi="GHEA Grapalat" w:cs="Sylfaen"/>
          <w:b/>
          <w:i/>
          <w:lang w:val="hy-AM"/>
        </w:rPr>
        <w:t>գործող օրենքով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քննչական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մարմնի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ղեկավարին վերապահված որևէ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lastRenderedPageBreak/>
        <w:t>կերպ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չձախողված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հայեցողականությունը, առավելագույնս նպաստել է նախաքննության կազմակերպման արդյունավետությանը: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քննչական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նախաքննության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հանձնարարում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0pt"/>
          <w:rFonts w:ascii="GHEA Grapalat" w:eastAsia="Tahoma" w:hAnsi="GHEA Grapalat" w:hint="default"/>
        </w:rPr>
        <w:t xml:space="preserve">իր անմիջական ենթակայության ներքո </w:t>
      </w:r>
      <w:r>
        <w:rPr>
          <w:rFonts w:ascii="GHEA Grapalat" w:hAnsi="GHEA Grapalat" w:cs="Sylfaen"/>
          <w:sz w:val="24"/>
          <w:szCs w:val="24"/>
          <w:lang w:val="hy-AM"/>
        </w:rPr>
        <w:t>գործող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քննիչին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ինչպե՞ս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հանգեցնել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նախաքննության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փոփոխության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Ինչ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բարդ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բազմադրվագ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հասարակական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հնչեղություն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ստացած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վարույթներով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նախաքննություն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քննչական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հատուկ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ստորաբաժանումները </w:t>
      </w:r>
      <w:r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i/>
          <w:sz w:val="24"/>
          <w:szCs w:val="24"/>
          <w:lang w:val="hy-AM"/>
        </w:rPr>
        <w:t>օրինակ՝</w:t>
      </w:r>
      <w:r>
        <w:rPr>
          <w:rFonts w:ascii="GHEA Grapalat" w:hAnsi="GHEA Grapalat"/>
          <w:sz w:val="24"/>
          <w:szCs w:val="24"/>
          <w:lang w:val="hy-AM"/>
        </w:rPr>
        <w:t xml:space="preserve"> հատկապես կարևոր գործերի քննության գլխավոր վարչությանը, ծանր հանցագործությունների քննության վարչությունը) </w:t>
      </w:r>
      <w:r>
        <w:rPr>
          <w:rFonts w:ascii="GHEA Grapalat" w:hAnsi="GHEA Grapalat" w:cs="Sylfaen"/>
          <w:sz w:val="24"/>
          <w:szCs w:val="24"/>
          <w:lang w:val="hy-AM"/>
        </w:rPr>
        <w:t>հանձնարարվելուն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անհասկանալի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հսկող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դատախազի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համաձայություն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նախատեսելը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քանզի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առանձնացվել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կատեգորիայի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վարույթների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111C7" w:rsidRDefault="000111C7" w:rsidP="000111C7">
      <w:pPr>
        <w:pStyle w:val="NormalWeb"/>
        <w:tabs>
          <w:tab w:val="left" w:pos="90"/>
        </w:tabs>
        <w:spacing w:after="0" w:line="360" w:lineRule="auto"/>
        <w:ind w:left="0" w:firstLine="851"/>
        <w:jc w:val="both"/>
        <w:rPr>
          <w:rFonts w:ascii="GHEA Grapalat" w:hAnsi="GHEA Grapalat" w:cs="Arial"/>
          <w:bCs/>
          <w:noProof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Այսպես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քննչական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մարմնի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նախաքննության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կատարումը</w:t>
      </w:r>
      <w:r>
        <w:rPr>
          <w:rFonts w:ascii="GHEA Grapalat" w:hAnsi="GHEA Grapalat"/>
          <w:lang w:val="hy-AM"/>
        </w:rPr>
        <w:t xml:space="preserve"> </w:t>
      </w:r>
      <w:r>
        <w:rPr>
          <w:rStyle w:val="0pt"/>
          <w:rFonts w:ascii="GHEA Grapalat" w:eastAsia="Tahoma" w:hAnsi="GHEA Grapalat" w:hint="default"/>
        </w:rPr>
        <w:t xml:space="preserve">հանձնարարում է </w:t>
      </w:r>
      <w:r>
        <w:rPr>
          <w:rFonts w:ascii="GHEA Grapalat" w:hAnsi="GHEA Grapalat" w:cs="Sylfaen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անմիջական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ենթակայության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ներքո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քննիչին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տարիներ շարունակ) առանց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(</w:t>
      </w:r>
      <w:r>
        <w:rPr>
          <w:rFonts w:ascii="GHEA Grapalat" w:hAnsi="GHEA Grapalat" w:cs="Sylfaen"/>
          <w:b/>
          <w:i/>
          <w:lang w:val="hy-AM"/>
        </w:rPr>
        <w:t>իրավակիրառ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պրակտիկայում</w:t>
      </w:r>
      <w:r>
        <w:rPr>
          <w:rFonts w:ascii="GHEA Grapalat" w:hAnsi="GHEA Grapalat"/>
          <w:b/>
          <w:i/>
          <w:lang w:val="hy-AM"/>
        </w:rPr>
        <w:t xml:space="preserve">' </w:t>
      </w:r>
      <w:r>
        <w:rPr>
          <w:rFonts w:ascii="GHEA Grapalat" w:hAnsi="GHEA Grapalat" w:cs="Sylfaen"/>
          <w:b/>
          <w:i/>
          <w:lang w:val="hy-AM"/>
        </w:rPr>
        <w:t>հիմնականում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մակագրությամբ</w:t>
      </w:r>
      <w:r>
        <w:rPr>
          <w:rFonts w:ascii="GHEA Grapalat" w:hAnsi="GHEA Grapalat"/>
          <w:b/>
          <w:i/>
          <w:lang w:val="hy-AM"/>
        </w:rPr>
        <w:t>),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տրամաբանությունը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վարույթն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ենթակայության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ներքո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քննիչից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մյուսին</w:t>
      </w:r>
      <w:r>
        <w:rPr>
          <w:rFonts w:ascii="GHEA Grapalat" w:hAnsi="GHEA Grapalat"/>
          <w:lang w:val="hy-AM"/>
        </w:rPr>
        <w:t xml:space="preserve"> </w:t>
      </w:r>
      <w:r>
        <w:rPr>
          <w:rStyle w:val="0pt"/>
          <w:rFonts w:ascii="GHEA Grapalat" w:eastAsia="Tahoma" w:hAnsi="GHEA Grapalat" w:hint="default"/>
        </w:rPr>
        <w:t xml:space="preserve">որոշմամբ </w:t>
      </w:r>
      <w:r>
        <w:rPr>
          <w:rFonts w:ascii="GHEA Grapalat" w:hAnsi="GHEA Grapalat" w:cs="Sylfaen"/>
          <w:lang w:val="hy-AM"/>
        </w:rPr>
        <w:t>հանձնելու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պահանջը</w:t>
      </w:r>
      <w:r>
        <w:rPr>
          <w:rFonts w:ascii="GHEA Grapalat" w:hAnsi="GHEA Grapalat"/>
          <w:lang w:val="hy-AM"/>
        </w:rPr>
        <w:t>: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 դեպ օրինակ՝ 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- 2021թ.-ին </w:t>
      </w:r>
      <w:r>
        <w:rPr>
          <w:rStyle w:val="SubtleEmphasis"/>
          <w:rFonts w:ascii="GHEA Grapalat" w:hAnsi="GHEA Grapalat"/>
          <w:b/>
          <w:sz w:val="24"/>
          <w:szCs w:val="24"/>
          <w:lang w:val="af-ZA"/>
        </w:rPr>
        <w:t xml:space="preserve">մեկ քննիչի </w:t>
      </w:r>
      <w:r>
        <w:rPr>
          <w:rFonts w:ascii="GHEA Grapalat" w:hAnsi="GHEA Grapalat"/>
          <w:sz w:val="24"/>
          <w:szCs w:val="24"/>
          <w:lang w:val="af-ZA"/>
        </w:rPr>
        <w:t xml:space="preserve">միջին տարեկան </w:t>
      </w:r>
      <w:r>
        <w:rPr>
          <w:rFonts w:ascii="GHEA Grapalat" w:hAnsi="GHEA Grapalat"/>
          <w:b/>
          <w:i/>
          <w:sz w:val="24"/>
          <w:szCs w:val="24"/>
          <w:lang w:val="af-ZA"/>
        </w:rPr>
        <w:t>ծանրաբեռնվածությունը</w:t>
      </w:r>
      <w:r>
        <w:rPr>
          <w:rStyle w:val="SubtleEmphasis"/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Style w:val="SubtleEmphasis"/>
          <w:rFonts w:ascii="GHEA Grapalat" w:hAnsi="GHEA Grapalat"/>
          <w:sz w:val="24"/>
          <w:szCs w:val="24"/>
          <w:lang w:val="af-ZA"/>
        </w:rPr>
        <w:t>միայն</w:t>
      </w:r>
      <w:r>
        <w:rPr>
          <w:rStyle w:val="SubtleEmphasis"/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քրեական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գործերով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կազմվել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af-ZA"/>
        </w:rPr>
        <w:t>83.4,</w:t>
      </w:r>
      <w:r>
        <w:rPr>
          <w:rFonts w:ascii="GHEA Grapalat" w:hAnsi="GHEA Grapalat"/>
          <w:sz w:val="24"/>
          <w:szCs w:val="24"/>
          <w:lang w:val="af-ZA"/>
        </w:rPr>
        <w:t xml:space="preserve"> իսկ քրեական գործերով և նյութերով՝ </w:t>
      </w:r>
      <w:r>
        <w:rPr>
          <w:rFonts w:ascii="GHEA Grapalat" w:hAnsi="GHEA Grapalat"/>
          <w:b/>
          <w:i/>
          <w:sz w:val="24"/>
          <w:szCs w:val="24"/>
          <w:lang w:val="af-ZA"/>
        </w:rPr>
        <w:t>87,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Style w:val="SubtleEmphasis"/>
          <w:i w:val="0"/>
        </w:rPr>
      </w:pPr>
      <w:r>
        <w:rPr>
          <w:rStyle w:val="SubtleEmphasis"/>
          <w:rFonts w:ascii="GHEA Grapalat" w:hAnsi="GHEA Grapalat"/>
          <w:sz w:val="24"/>
          <w:szCs w:val="24"/>
          <w:lang w:val="af-ZA"/>
        </w:rPr>
        <w:t xml:space="preserve">- 2020թ՝-ին. </w:t>
      </w:r>
      <w:r>
        <w:rPr>
          <w:rFonts w:ascii="GHEA Grapalat" w:hAnsi="GHEA Grapalat"/>
          <w:sz w:val="24"/>
          <w:szCs w:val="24"/>
        </w:rPr>
        <w:t>քրեական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գործերով</w:t>
      </w:r>
      <w:r>
        <w:rPr>
          <w:rFonts w:ascii="GHEA Grapalat" w:hAnsi="GHEA Grapalat"/>
          <w:i/>
          <w:sz w:val="24"/>
          <w:szCs w:val="24"/>
        </w:rPr>
        <w:t>՝</w:t>
      </w:r>
      <w:r>
        <w:rPr>
          <w:rStyle w:val="SubtleEmphasis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Style w:val="SubtleEmphasis"/>
          <w:rFonts w:ascii="GHEA Grapalat" w:hAnsi="GHEA Grapalat"/>
          <w:b/>
          <w:sz w:val="24"/>
          <w:szCs w:val="24"/>
          <w:lang w:val="af-ZA"/>
        </w:rPr>
        <w:t>69,</w:t>
      </w:r>
      <w:r>
        <w:rPr>
          <w:rStyle w:val="SubtleEmphasis"/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քրեական գործերով և նյութերով</w:t>
      </w:r>
      <w:r>
        <w:rPr>
          <w:rStyle w:val="SubtleEmphasis"/>
          <w:rFonts w:ascii="GHEA Grapalat" w:hAnsi="GHEA Grapalat"/>
          <w:sz w:val="24"/>
          <w:szCs w:val="24"/>
          <w:lang w:val="af-ZA"/>
        </w:rPr>
        <w:t xml:space="preserve">՝ </w:t>
      </w:r>
      <w:r>
        <w:rPr>
          <w:rStyle w:val="SubtleEmphasis"/>
          <w:rFonts w:ascii="GHEA Grapalat" w:hAnsi="GHEA Grapalat"/>
          <w:b/>
          <w:sz w:val="24"/>
          <w:szCs w:val="24"/>
          <w:lang w:val="af-ZA"/>
        </w:rPr>
        <w:t>73:</w:t>
      </w:r>
      <w:r>
        <w:rPr>
          <w:rStyle w:val="SubtleEmphasis"/>
          <w:rFonts w:ascii="GHEA Grapalat" w:hAnsi="GHEA Grapalat"/>
          <w:sz w:val="24"/>
          <w:szCs w:val="24"/>
          <w:lang w:val="af-ZA"/>
        </w:rPr>
        <w:t xml:space="preserve"> 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cs="Sylfaen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Եթե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մեկ քննիչի վարույթում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նկատում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քանակի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գործերի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աճ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պայմանավորված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վարույթների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քանակի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աճով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դինամիկան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համադրված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եղել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նախորդ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գրանցած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ցուցանիշների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տալիս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կանխատեսումներ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նշված ցուցանիշը տարեց տարի ևս կգրանցի աճ:    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Այսինքն, պ</w:t>
      </w:r>
      <w:r>
        <w:rPr>
          <w:rFonts w:ascii="GHEA Grapalat" w:hAnsi="GHEA Grapalat"/>
          <w:sz w:val="24"/>
          <w:szCs w:val="24"/>
          <w:lang w:val="hy-AM"/>
        </w:rPr>
        <w:t xml:space="preserve">ետք է նկատի ունենալ, որ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քրեական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գրանցված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քանակի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փաստացի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քննիչի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բովանդակային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ծանրաբեռնվածությունը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օրինակ՝ </w:t>
      </w:r>
      <w:r>
        <w:rPr>
          <w:rFonts w:ascii="GHEA Grapalat" w:hAnsi="GHEA Grapalat" w:cs="Sylfaen"/>
          <w:sz w:val="24"/>
          <w:szCs w:val="24"/>
          <w:lang w:val="hy-AM"/>
        </w:rPr>
        <w:t>առողջական պատճառներով աշխատանքի չի կարողանալու ներկայանալ</w:t>
      </w:r>
      <w:r>
        <w:rPr>
          <w:rFonts w:ascii="GHEA Grapalat" w:hAnsi="GHEA Grapalat"/>
          <w:sz w:val="24"/>
          <w:szCs w:val="24"/>
          <w:lang w:val="af-ZA"/>
        </w:rPr>
        <w:t>, գտնվելու է արձակուրդում կամ գործուղման մեջ կամ այլ կազմակերպչական պատճառներով պայմանավորված՝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ստացվելու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բովանդակային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ծ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անրաբեռնվածությունից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անհարկի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դատավարական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կայացնելու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Օրենսգրքով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 Եվ նմանօրինակ հանգամանքերը որոշման մեջ արտացոլելը որքանո՞վ է համարվելու տրամաբանական: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Փաստորեն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կազմակերպչական</w:t>
      </w:r>
      <w:r>
        <w:rPr>
          <w:rFonts w:ascii="GHEA Grapalat" w:hAnsi="GHEA Grapalat"/>
          <w:i/>
          <w:sz w:val="24"/>
          <w:szCs w:val="24"/>
          <w:lang w:val="hy-AM"/>
        </w:rPr>
        <w:t>-</w:t>
      </w:r>
      <w:r>
        <w:rPr>
          <w:rFonts w:ascii="GHEA Grapalat" w:hAnsi="GHEA Grapalat" w:cs="Sylfaen"/>
          <w:i/>
          <w:sz w:val="24"/>
          <w:szCs w:val="24"/>
          <w:lang w:val="hy-AM"/>
        </w:rPr>
        <w:t>տեխնիկական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բնույթի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հարցի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քննչական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ղեկավարը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կայացնելու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է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դատավարական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բնույթի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որոշում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i/>
          <w:sz w:val="24"/>
          <w:szCs w:val="24"/>
          <w:lang w:val="hy-AM"/>
        </w:rPr>
        <w:t>որն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էլ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ենթակա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է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հսկող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դատախազին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անհապաղ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ուղարկելու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111C7" w:rsidRDefault="000111C7" w:rsidP="000111C7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պահանջը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անհարկի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վատնում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ենթադրում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քննչական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կազմելը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նախատեսելը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քանզի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պատճառաբանվի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 w:cs="Sylfaen"/>
          <w:sz w:val="24"/>
          <w:szCs w:val="24"/>
          <w:lang w:val="hy-AM"/>
        </w:rPr>
        <w:t>գործի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բարդությունը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ծավալի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լինելը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մյուս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առումներով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պատճառաբանելու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չկա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քանի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օրենքը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նախաքննությունը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քննիչից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մյուսին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հանձնելու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հետևաբար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բավարար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կլինի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վարույթին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նախորդ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քննիչի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հրամանի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պատճենը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վարույթից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քննիչին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հեռացնելու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Ավելին, պետք է արձանագրել, որ վարույթն իր ենթակայության ներքո գործող մի քննիչից մյուսին հանձնելը (փոխանցելը) որոշ դեպքերում նաև մի ստորաբաժանման քննիչից մյուս ստորաբաժանման քննիչին հանձնելը հաճախ կատարվում է գիշերային, երբեմն նաև ոչ աշխատանքային ժամերի և օրերի, ինչի պայմաններում գործնականում խնդիրներ կարող են առաջանալ որոշում կայացնելու իմաստով: Օրինակ՝ հաճախ հանդիպում են դեպքեր, երբ բարդ, ծանր,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lastRenderedPageBreak/>
        <w:t xml:space="preserve">բազմադրվագ, հասարակական մեծ հնչեղություն ունեցող քրեական գործերը Քննչական կոմիտեի ղեկավար կազմի հանձնարարությամբ մի ստորաբաժանումից հանձնվում է մեկ այլ ստորաբաժանման, կամ ինչպես վերը նշվեց հանձնարարվում է դրանցով քննության իրականացումը Կոմիտեի </w:t>
      </w:r>
      <w:r>
        <w:rPr>
          <w:rFonts w:ascii="GHEA Grapalat" w:hAnsi="GHEA Grapalat"/>
          <w:sz w:val="24"/>
          <w:szCs w:val="24"/>
          <w:lang w:val="hy-AM"/>
        </w:rPr>
        <w:t>հատկապես կարևոր գործերի քննության գլխավոր վարչությանը, ծանր հանցագործությունների քննության վարչությունը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հանձնարարություններով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քննիչները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շարունակում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նախաքննության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պատկերացնել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նմանօրինակ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Նույն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պատճառաբանությամբ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հիմնավորմամբ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բարդ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պատկերացնել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նման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դեպքերում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պայմաններում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վերադաս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դատախազի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գրավոր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համաձայնությունը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ստանալու</w:t>
      </w:r>
      <w:proofErr w:type="spellEnd"/>
      <w:r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val="single"/>
          <w:lang w:val="en-US"/>
        </w:rPr>
        <w:t>գործընթացը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իրավանորմ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նախաքննության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պատշաճ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արդյունավետությունն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պատասխանատվություն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վերապահված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հետևապես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ակնկալվում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վերադաս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բացակայում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Ենթադրվում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վերադաս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օրենսդրական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չզրկվի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վերապահված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հսկողություն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գործառույթից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իմաստով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խնդիրը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լուծելի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մեխանիկական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քննիչի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մյուս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քննիչը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հսկող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մյուս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քննիչը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քրեական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վարույթ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հսկող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խզվում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հսկողությունը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կերպ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դատախազական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հսկողության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շարունակականությունը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Վերոգրյալ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հիմնավորումներով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առաջարկվում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է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Նախագծում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կատարել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սահմանել, որ ն</w:t>
      </w:r>
      <w:r>
        <w:rPr>
          <w:rFonts w:ascii="GHEA Grapalat" w:eastAsia="Times New Roman" w:hAnsi="GHEA Grapalat"/>
          <w:color w:val="000000"/>
          <w:sz w:val="24"/>
          <w:szCs w:val="24"/>
        </w:rPr>
        <w:t>ախաքննության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պատշաճ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կազմակերպումը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այդ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թվում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</w:rPr>
        <w:t>դրա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արդյունավետությունն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ապահովելու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քննչական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ղեկավարը՝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վարույթն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ենթակայության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ներքո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գործող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քննիչից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հանձնում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է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մյուսին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առանց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կայացնելու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ավելին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բացառելով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դրա իրականացման համար </w:t>
      </w:r>
      <w:r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վերադաս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դատախազի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համաձայնությա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առկայությունը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0111C7" w:rsidRDefault="000111C7" w:rsidP="000111C7">
      <w:pPr>
        <w:pStyle w:val="NormalWe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29"/>
        <w:jc w:val="both"/>
        <w:rPr>
          <w:rFonts w:ascii="GHEA Grapalat" w:hAnsi="GHEA Grapalat"/>
          <w:b/>
          <w:u w:val="single"/>
        </w:rPr>
      </w:pPr>
      <w:r>
        <w:rPr>
          <w:rFonts w:ascii="GHEA Grapalat" w:hAnsi="GHEA Grapalat" w:cs="Sylfaen"/>
          <w:b/>
          <w:u w:val="single"/>
          <w:lang w:val="hy-AM"/>
        </w:rPr>
        <w:t>Առաջարկվող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կարգավորման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բնույթը</w:t>
      </w:r>
      <w:r>
        <w:rPr>
          <w:rFonts w:ascii="GHEA Grapalat" w:hAnsi="GHEA Grapalat"/>
          <w:b/>
          <w:u w:val="single"/>
          <w:lang w:val="hy-AM"/>
        </w:rPr>
        <w:t>.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Նախագծով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առաջարկվող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փոփոխությամբ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կամրագրվի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քննչական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ղեկավարը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լիազորությունների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արդյունավետությունը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բացառելով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</w:t>
      </w:r>
      <w:r>
        <w:rPr>
          <w:rFonts w:ascii="GHEA Grapalat" w:hAnsi="GHEA Grapalat" w:cs="Sylfaen"/>
          <w:sz w:val="24"/>
          <w:szCs w:val="24"/>
          <w:lang w:val="hy-AM"/>
        </w:rPr>
        <w:t>ազմակերպչական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տեխնիկական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բնույթի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հարցի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կայացումը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դրանց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վերադաս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դատախազի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համաձայնությ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առկայությունը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hAnsi="GHEA Grapalat"/>
          <w:b/>
          <w:sz w:val="24"/>
          <w:szCs w:val="24"/>
        </w:rPr>
      </w:pPr>
    </w:p>
    <w:p w:rsidR="000111C7" w:rsidRDefault="000111C7" w:rsidP="000111C7">
      <w:pPr>
        <w:pStyle w:val="NormalWeb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629"/>
        <w:jc w:val="both"/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</w:pP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Նախագծի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մշակման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գործընթացում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ներգրավված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ինստիտուտները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և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անձիք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af-ZA"/>
        </w:rPr>
        <w:t>.</w:t>
      </w:r>
    </w:p>
    <w:p w:rsidR="000111C7" w:rsidRDefault="000111C7" w:rsidP="000111C7">
      <w:pPr>
        <w:tabs>
          <w:tab w:val="left" w:pos="0"/>
          <w:tab w:val="left" w:pos="567"/>
        </w:tabs>
        <w:spacing w:after="0" w:line="360" w:lineRule="auto"/>
        <w:ind w:firstLine="62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</w:pPr>
      <w:proofErr w:type="spellStart"/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>Նախագիծը</w:t>
      </w:r>
      <w:proofErr w:type="spellEnd"/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>մշակվել</w:t>
      </w:r>
      <w:proofErr w:type="spellEnd"/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>է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</w:rPr>
        <w:t>ՀՀ</w:t>
      </w:r>
      <w:r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</w:rPr>
        <w:t>քննչական</w:t>
      </w:r>
      <w:r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</w:rPr>
        <w:t>կոմիտե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>ի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  <w:t>կողմից</w:t>
      </w:r>
      <w:proofErr w:type="spellEnd"/>
      <w:r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  <w:t>:</w:t>
      </w:r>
    </w:p>
    <w:p w:rsidR="000111C7" w:rsidRDefault="000111C7" w:rsidP="000111C7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af-ZA"/>
        </w:rPr>
      </w:pPr>
    </w:p>
    <w:p w:rsidR="000111C7" w:rsidRDefault="000111C7" w:rsidP="000111C7">
      <w:pPr>
        <w:pStyle w:val="NormalWeb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u w:val="single"/>
          <w:shd w:val="clear" w:color="auto" w:fill="FFFFFF"/>
        </w:rPr>
      </w:pPr>
      <w:r>
        <w:rPr>
          <w:rFonts w:ascii="GHEA Grapalat" w:hAnsi="GHEA Grapalat" w:cs="Sylfaen"/>
          <w:b/>
          <w:bCs/>
          <w:iCs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Ակնկալվող</w:t>
      </w:r>
      <w:r>
        <w:rPr>
          <w:rFonts w:ascii="GHEA Grapalat" w:hAnsi="GHEA Grapalat"/>
          <w:b/>
          <w:bCs/>
          <w:iCs/>
          <w:u w:val="single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>արդյունքը</w:t>
      </w:r>
      <w:r>
        <w:rPr>
          <w:rFonts w:ascii="GHEA Grapalat" w:hAnsi="GHEA Grapalat"/>
          <w:b/>
          <w:bCs/>
          <w:iCs/>
          <w:u w:val="single"/>
          <w:shd w:val="clear" w:color="auto" w:fill="FFFFFF"/>
        </w:rPr>
        <w:t>.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</w:rPr>
        <w:t>Նախագծի</w:t>
      </w:r>
      <w:r>
        <w:rPr>
          <w:rFonts w:ascii="GHEA Grapalat" w:hAnsi="GHEA Grapalat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shd w:val="clear" w:color="auto" w:fill="FFFFFF"/>
        </w:rPr>
        <w:t xml:space="preserve">ընդունմամբ </w:t>
      </w:r>
      <w:r>
        <w:rPr>
          <w:rFonts w:ascii="GHEA Grapalat" w:eastAsia="Times New Roman" w:hAnsi="GHEA Grapalat"/>
          <w:color w:val="000000"/>
          <w:sz w:val="24"/>
          <w:szCs w:val="24"/>
        </w:rPr>
        <w:t>քննչական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ղեկավար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ը՝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նախաքննության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պատշաճ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կազմակերպումը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այդ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՝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դրա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արդյունավետությունն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ապահովելու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նպատակով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՝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վարույթն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իր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ենթակայությամբ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գործող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քննիչից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մյուսին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հանձնելը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կիրականացնի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առանց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դատավարական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կայացնելու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i/>
          <w:color w:val="000000"/>
          <w:sz w:val="24"/>
          <w:szCs w:val="24"/>
        </w:rPr>
        <w:t>(</w:t>
      </w:r>
      <w:r>
        <w:rPr>
          <w:rFonts w:ascii="GHEA Grapalat" w:hAnsi="GHEA Grapalat" w:cs="Sylfaen"/>
          <w:i/>
          <w:sz w:val="24"/>
          <w:szCs w:val="24"/>
          <w:lang w:val="hy-AM"/>
        </w:rPr>
        <w:t>իրավակիրառ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պրակտիկայում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' </w:t>
      </w:r>
      <w:r>
        <w:rPr>
          <w:rFonts w:ascii="GHEA Grapalat" w:hAnsi="GHEA Grapalat" w:cs="Sylfaen"/>
          <w:i/>
          <w:sz w:val="24"/>
          <w:szCs w:val="24"/>
          <w:lang w:val="hy-AM"/>
        </w:rPr>
        <w:t>հիմնականում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hy-AM"/>
        </w:rPr>
        <w:t>մակագրությամբ</w:t>
      </w:r>
      <w:r>
        <w:rPr>
          <w:rFonts w:ascii="GHEA Grapalat" w:hAnsi="GHEA Grapalat"/>
          <w:i/>
          <w:sz w:val="24"/>
          <w:szCs w:val="24"/>
          <w:lang w:val="hy-AM"/>
        </w:rPr>
        <w:t>)</w:t>
      </w:r>
      <w:r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վերադաս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դատախազի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հանգեցրել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նախաքննության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փոփոխության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  </w:t>
      </w:r>
    </w:p>
    <w:p w:rsidR="000111C7" w:rsidRDefault="000111C7" w:rsidP="000111C7">
      <w:pPr>
        <w:spacing w:after="0" w:line="360" w:lineRule="auto"/>
        <w:ind w:firstLine="62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b/>
          <w:sz w:val="24"/>
          <w:szCs w:val="24"/>
          <w:u w:val="single"/>
        </w:rPr>
      </w:pPr>
      <w:r>
        <w:rPr>
          <w:rFonts w:ascii="GHEA Grapalat" w:eastAsia="Tahoma" w:hAnsi="GHEA Grapalat" w:cs="Tahoma"/>
          <w:b/>
          <w:sz w:val="24"/>
          <w:szCs w:val="24"/>
        </w:rPr>
        <w:t>5</w:t>
      </w:r>
      <w:r>
        <w:rPr>
          <w:rFonts w:ascii="GHEA Grapalat" w:eastAsia="Tahoma" w:hAnsi="GHEA Grapalat" w:cs="Tahoma"/>
          <w:sz w:val="24"/>
          <w:szCs w:val="24"/>
        </w:rPr>
        <w:t>.</w:t>
      </w:r>
      <w:r>
        <w:rPr>
          <w:rFonts w:ascii="GHEA Grapalat" w:eastAsia="Tahoma" w:hAnsi="GHEA Grapalat" w:cs="Tahoma"/>
          <w:b/>
          <w:sz w:val="24"/>
          <w:szCs w:val="24"/>
          <w:u w:val="single"/>
        </w:rPr>
        <w:tab/>
      </w:r>
      <w:proofErr w:type="spellStart"/>
      <w:proofErr w:type="gram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Լրացուցիչ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ֆինանսական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միջոցների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անհրաժեշտությունը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և</w:t>
      </w:r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պետական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բյուջեի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եկամուտներում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և</w:t>
      </w:r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ծախսերում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սպասվելիք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eastAsia="Tahoma" w:hAnsi="GHEA Grapalat" w:cs="Tahoma"/>
          <w:b/>
          <w:sz w:val="24"/>
          <w:szCs w:val="24"/>
          <w:u w:val="single"/>
          <w:lang w:val="en-US"/>
        </w:rPr>
        <w:t>փոփոխությունները</w:t>
      </w:r>
      <w:proofErr w:type="spellEnd"/>
      <w:r>
        <w:rPr>
          <w:rFonts w:ascii="GHEA Grapalat" w:eastAsia="Tahoma" w:hAnsi="GHEA Grapalat" w:cs="Tahoma"/>
          <w:b/>
          <w:sz w:val="24"/>
          <w:szCs w:val="24"/>
          <w:u w:val="single"/>
        </w:rPr>
        <w:t>.</w:t>
      </w:r>
      <w:proofErr w:type="gramEnd"/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Նախագծի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ընդունման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կապակցությամբ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լրացուցիչ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միջոցների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անհրաժեշտությունը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բացակայում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en-US"/>
        </w:rPr>
        <w:t>է</w:t>
      </w:r>
      <w:r>
        <w:rPr>
          <w:rFonts w:ascii="GHEA Grapalat" w:eastAsia="Tahoma" w:hAnsi="GHEA Grapalat" w:cs="Tahoma"/>
          <w:sz w:val="24"/>
          <w:szCs w:val="24"/>
        </w:rPr>
        <w:t xml:space="preserve">: </w:t>
      </w:r>
      <w:r>
        <w:rPr>
          <w:rFonts w:ascii="GHEA Grapalat" w:eastAsia="Tahoma" w:hAnsi="GHEA Grapalat" w:cs="Tahoma"/>
          <w:sz w:val="24"/>
          <w:szCs w:val="24"/>
          <w:lang w:val="en-US"/>
        </w:rPr>
        <w:t>ՀՀ</w:t>
      </w:r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պետական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բյուջեի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ծախսերի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en-US"/>
        </w:rPr>
        <w:t>և</w:t>
      </w:r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ավելացում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նվազեցում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չի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>:</w:t>
      </w:r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sz w:val="24"/>
          <w:szCs w:val="24"/>
        </w:rPr>
      </w:pPr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sz w:val="24"/>
          <w:szCs w:val="24"/>
        </w:rPr>
      </w:pPr>
    </w:p>
    <w:p w:rsidR="000111C7" w:rsidRDefault="000111C7" w:rsidP="000111C7">
      <w:pPr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Tahoma" w:hAnsi="GHEA Grapalat" w:cs="Tahoma"/>
          <w:sz w:val="24"/>
          <w:szCs w:val="24"/>
        </w:rPr>
      </w:pPr>
    </w:p>
    <w:p w:rsidR="000111C7" w:rsidRDefault="000111C7" w:rsidP="000111C7">
      <w:pPr>
        <w:pStyle w:val="NormalWeb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Կապը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ռազմավարական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փաստաթղթերի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հետ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.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վերափոխման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ռազմավարություն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2050,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2021-2026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թթ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.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ծրագիր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ոլորտային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և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>/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կամ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այլ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shd w:val="clear" w:color="auto" w:fill="FFFFFF"/>
          <w:lang w:val="hy-AM"/>
        </w:rPr>
        <w:t>ռազմավարություններ</w:t>
      </w:r>
      <w:r>
        <w:rPr>
          <w:rFonts w:ascii="GHEA Grapalat" w:hAnsi="GHEA Grapalat"/>
          <w:b/>
          <w:u w:val="single"/>
          <w:shd w:val="clear" w:color="auto" w:fill="FFFFFF"/>
          <w:lang w:val="hy-AM"/>
        </w:rPr>
        <w:t>».</w:t>
      </w:r>
    </w:p>
    <w:p w:rsidR="000111C7" w:rsidRDefault="000111C7" w:rsidP="000111C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նախագիծը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բխում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ռազմավարական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փաստաթղթերից։</w:t>
      </w:r>
    </w:p>
    <w:p w:rsidR="000111C7" w:rsidRDefault="000111C7" w:rsidP="000111C7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17214" w:rsidRDefault="000111C7" w:rsidP="000111C7">
      <w:pPr>
        <w:jc w:val="right"/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քննչական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կոմիտե</w:t>
      </w:r>
      <w:proofErr w:type="spellEnd"/>
    </w:p>
    <w:sectPr w:rsidR="00A17214" w:rsidSect="00BD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69B2"/>
    <w:multiLevelType w:val="hybridMultilevel"/>
    <w:tmpl w:val="C0B2048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471B9"/>
    <w:multiLevelType w:val="hybridMultilevel"/>
    <w:tmpl w:val="C70A662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94864"/>
    <w:multiLevelType w:val="hybridMultilevel"/>
    <w:tmpl w:val="604E02C6"/>
    <w:lvl w:ilvl="0" w:tplc="43AC9ADC">
      <w:start w:val="1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11C7"/>
    <w:rsid w:val="000111C7"/>
    <w:rsid w:val="003E2C6D"/>
    <w:rsid w:val="009E2A2E"/>
    <w:rsid w:val="00B66B9B"/>
    <w:rsid w:val="00BD6160"/>
    <w:rsid w:val="00CD6733"/>
    <w:rsid w:val="00D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C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Char11 Char,Normal (Web) Char Char1 Char,Char11 Char1 Char,Char Char Char1 Char,Char11 Char1 Char1 Char"/>
    <w:link w:val="NormalWeb"/>
    <w:uiPriority w:val="99"/>
    <w:semiHidden/>
    <w:locked/>
    <w:rsid w:val="000111C7"/>
    <w:rPr>
      <w:rFonts w:ascii="Times New Roman" w:eastAsia="Calibri" w:hAnsi="Times New Roman" w:cs="Times New Roman"/>
      <w:sz w:val="24"/>
      <w:szCs w:val="24"/>
      <w:lang w:val="ru-RU"/>
    </w:rPr>
  </w:style>
  <w:style w:type="paragraph" w:styleId="NormalWeb">
    <w:name w:val="Normal (Web)"/>
    <w:aliases w:val="webb,Char11,Normal (Web) Char Char1,Char11 Char1,Char Char Char1,Char11 Char1 Char1"/>
    <w:basedOn w:val="Normal"/>
    <w:link w:val="NormalWebChar"/>
    <w:uiPriority w:val="99"/>
    <w:semiHidden/>
    <w:unhideWhenUsed/>
    <w:qFormat/>
    <w:rsid w:val="000111C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0111C7"/>
    <w:rPr>
      <w:i/>
      <w:iCs/>
      <w:color w:val="808080"/>
    </w:rPr>
  </w:style>
  <w:style w:type="character" w:customStyle="1" w:styleId="0pt">
    <w:name w:val="Основной текст + Интервал 0 pt"/>
    <w:rsid w:val="000111C7"/>
    <w:rPr>
      <w:rFonts w:ascii="Arial Unicode MS" w:eastAsia="Arial Unicode MS" w:hAnsi="Arial Unicode MS" w:cs="Arial Unicode MS" w:hint="eastAsia"/>
      <w:i w:val="0"/>
      <w:iCs w:val="0"/>
      <w:color w:val="000000"/>
      <w:spacing w:val="7"/>
      <w:w w:val="100"/>
      <w:position w:val="0"/>
      <w:sz w:val="24"/>
      <w:szCs w:val="24"/>
      <w:shd w:val="clear" w:color="auto" w:fill="FFFFFF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H-Baghyan</dc:creator>
  <cp:keywords/>
  <dc:description/>
  <cp:lastModifiedBy>H-Baghyan</cp:lastModifiedBy>
  <cp:revision>3</cp:revision>
  <dcterms:created xsi:type="dcterms:W3CDTF">2022-06-21T05:07:00Z</dcterms:created>
  <dcterms:modified xsi:type="dcterms:W3CDTF">2022-06-30T05:57:00Z</dcterms:modified>
</cp:coreProperties>
</file>