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EF" w:rsidRPr="00760BBF" w:rsidRDefault="003232EF" w:rsidP="0081760E">
      <w:pPr>
        <w:tabs>
          <w:tab w:val="left" w:pos="851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70CDB">
        <w:rPr>
          <w:rFonts w:ascii="GHEA Grapalat" w:hAnsi="GHEA Grapalat"/>
          <w:b/>
          <w:sz w:val="24"/>
          <w:szCs w:val="24"/>
          <w:lang w:val="hy-AM"/>
        </w:rPr>
        <w:t>Հ</w:t>
      </w:r>
      <w:r w:rsidRPr="00760BBF">
        <w:rPr>
          <w:rFonts w:ascii="GHEA Grapalat" w:hAnsi="GHEA Grapalat"/>
          <w:b/>
          <w:sz w:val="24"/>
          <w:szCs w:val="24"/>
          <w:lang w:val="hy-AM"/>
        </w:rPr>
        <w:t>իմնավորում</w:t>
      </w:r>
    </w:p>
    <w:p w:rsidR="003232EF" w:rsidRPr="00760BBF" w:rsidRDefault="003232EF" w:rsidP="000E4CD0">
      <w:pPr>
        <w:tabs>
          <w:tab w:val="left" w:pos="851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CDB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</w:t>
      </w:r>
      <w:r w:rsidR="000E4CD0">
        <w:rPr>
          <w:rFonts w:ascii="GHEA Grapalat" w:hAnsi="GHEA Grapalat"/>
          <w:b/>
          <w:sz w:val="24"/>
          <w:szCs w:val="24"/>
          <w:lang w:val="hy-AM"/>
        </w:rPr>
        <w:t>կառավարության 2017</w:t>
      </w:r>
      <w:r w:rsidR="00CF28AF" w:rsidRPr="00CF28AF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CF28A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E4CD0">
        <w:rPr>
          <w:rFonts w:ascii="GHEA Grapalat" w:hAnsi="GHEA Grapalat"/>
          <w:b/>
          <w:sz w:val="24"/>
          <w:szCs w:val="24"/>
          <w:lang w:val="hy-AM"/>
        </w:rPr>
        <w:t>հուլիս</w:t>
      </w:r>
      <w:r w:rsidR="00CF28AF" w:rsidRPr="00CF28AF">
        <w:rPr>
          <w:rFonts w:ascii="GHEA Grapalat" w:hAnsi="GHEA Grapalat"/>
          <w:b/>
          <w:sz w:val="24"/>
          <w:szCs w:val="24"/>
          <w:lang w:val="hy-AM"/>
        </w:rPr>
        <w:t>ի</w:t>
      </w:r>
      <w:r w:rsidR="000E4CD0">
        <w:rPr>
          <w:rFonts w:ascii="GHEA Grapalat" w:hAnsi="GHEA Grapalat"/>
          <w:b/>
          <w:sz w:val="24"/>
          <w:szCs w:val="24"/>
          <w:lang w:val="hy-AM"/>
        </w:rPr>
        <w:t xml:space="preserve"> 27</w:t>
      </w:r>
      <w:r w:rsidR="00CF28AF" w:rsidRPr="00CF28AF">
        <w:rPr>
          <w:rFonts w:ascii="GHEA Grapalat" w:hAnsi="GHEA Grapalat"/>
          <w:b/>
          <w:sz w:val="24"/>
          <w:szCs w:val="24"/>
          <w:lang w:val="hy-AM"/>
        </w:rPr>
        <w:t>-ի</w:t>
      </w:r>
      <w:r w:rsidR="000E4CD0">
        <w:rPr>
          <w:rFonts w:ascii="GHEA Grapalat" w:hAnsi="GHEA Grapalat"/>
          <w:b/>
          <w:sz w:val="24"/>
          <w:szCs w:val="24"/>
          <w:lang w:val="hy-AM"/>
        </w:rPr>
        <w:t xml:space="preserve"> N904</w:t>
      </w:r>
      <w:r w:rsidR="00CF28AF" w:rsidRPr="00CF28AF">
        <w:rPr>
          <w:rFonts w:ascii="GHEA Grapalat" w:hAnsi="GHEA Grapalat"/>
          <w:b/>
          <w:sz w:val="24"/>
          <w:szCs w:val="24"/>
          <w:lang w:val="hy-AM"/>
        </w:rPr>
        <w:t>-Ն որոշման</w:t>
      </w:r>
      <w:r w:rsidR="00CF28A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0CDB">
        <w:rPr>
          <w:rFonts w:ascii="GHEA Grapalat" w:hAnsi="GHEA Grapalat"/>
          <w:b/>
          <w:sz w:val="24"/>
          <w:szCs w:val="24"/>
          <w:lang w:val="hy-AM"/>
        </w:rPr>
        <w:t>մեջ</w:t>
      </w:r>
      <w:r w:rsidRPr="003F4A50">
        <w:rPr>
          <w:rFonts w:ascii="Sylfaen" w:hAnsi="Sylfaen" w:cs="Sylfaen"/>
          <w:lang w:val="hy-AM"/>
        </w:rPr>
        <w:t xml:space="preserve"> </w:t>
      </w:r>
      <w:r w:rsidR="000E4CD0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5724E5">
        <w:rPr>
          <w:rFonts w:ascii="GHEA Grapalat" w:hAnsi="GHEA Grapalat"/>
          <w:b/>
          <w:sz w:val="24"/>
          <w:szCs w:val="24"/>
          <w:lang w:val="hy-AM"/>
        </w:rPr>
        <w:t xml:space="preserve"> և փոփոխություն</w:t>
      </w:r>
      <w:r w:rsidR="009A62E3">
        <w:rPr>
          <w:rFonts w:ascii="GHEA Grapalat" w:hAnsi="GHEA Grapalat"/>
          <w:b/>
          <w:sz w:val="24"/>
          <w:szCs w:val="24"/>
          <w:lang w:val="hy-AM"/>
        </w:rPr>
        <w:t>ներ</w:t>
      </w:r>
      <w:r w:rsidR="000E4C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0CDB">
        <w:rPr>
          <w:rFonts w:ascii="GHEA Grapalat" w:hAnsi="GHEA Grapalat"/>
          <w:b/>
          <w:sz w:val="24"/>
          <w:szCs w:val="24"/>
          <w:lang w:val="hy-AM"/>
        </w:rPr>
        <w:t>կատարելու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</w:t>
      </w:r>
    </w:p>
    <w:p w:rsidR="003232EF" w:rsidRPr="00760BBF" w:rsidRDefault="003232EF" w:rsidP="0081760E">
      <w:pPr>
        <w:tabs>
          <w:tab w:val="left" w:pos="851"/>
        </w:tabs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232EF" w:rsidRPr="00760BBF" w:rsidRDefault="003232EF" w:rsidP="0081760E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GHEA Grapalat"/>
          <w:b/>
          <w:sz w:val="24"/>
          <w:szCs w:val="24"/>
        </w:rPr>
      </w:pPr>
      <w:r w:rsidRPr="00760BBF">
        <w:rPr>
          <w:rFonts w:ascii="GHEA Grapalat" w:eastAsia="Times New Roman" w:hAnsi="GHEA Grapalat" w:cs="Times New Roman"/>
          <w:b/>
          <w:sz w:val="24"/>
          <w:szCs w:val="24"/>
        </w:rPr>
        <w:t>Ի</w:t>
      </w:r>
      <w:r w:rsidRPr="00760B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րավական ակտի </w:t>
      </w:r>
      <w:r w:rsidRPr="00760BBF">
        <w:rPr>
          <w:rFonts w:ascii="GHEA Grapalat" w:eastAsia="Times New Roman" w:hAnsi="GHEA Grapalat" w:cs="Times New Roman"/>
          <w:b/>
          <w:sz w:val="24"/>
          <w:szCs w:val="24"/>
        </w:rPr>
        <w:t>ա</w:t>
      </w:r>
      <w:r w:rsidRPr="00760B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նհրաժեշտությունը</w:t>
      </w:r>
      <w:r w:rsidRPr="00760BBF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(նպատակը).</w:t>
      </w:r>
    </w:p>
    <w:p w:rsidR="00390F4D" w:rsidRPr="000E4CD0" w:rsidRDefault="003232EF" w:rsidP="0081760E">
      <w:pPr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60B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Նախագծի ընդունման նպատակը </w:t>
      </w:r>
      <w:r w:rsidR="000E4CD0" w:rsidRPr="000E4CD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Հայաստանի Հանրապետության </w:t>
      </w:r>
      <w:r w:rsidR="000E4CD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կառավարության </w:t>
      </w:r>
      <w:r w:rsidR="000E4CD0" w:rsidRPr="000E4CD0">
        <w:rPr>
          <w:rFonts w:ascii="GHEA Grapalat" w:eastAsia="Times New Roman" w:hAnsi="GHEA Grapalat" w:cs="GHEA Grapalat"/>
          <w:sz w:val="24"/>
          <w:szCs w:val="24"/>
          <w:lang w:val="fr-FR"/>
        </w:rPr>
        <w:t>2017 թվականի հուլիսի 27-ի N904-Ն որոշման</w:t>
      </w:r>
      <w:r w:rsidR="000E4CD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համապատասխանեցումն է ՀՀ հարկային օրենսգրքին։</w:t>
      </w:r>
    </w:p>
    <w:p w:rsidR="003232EF" w:rsidRPr="00760BBF" w:rsidRDefault="003232EF" w:rsidP="0081760E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Կարգավորման հարաբերությունների ներկա վիճակը և առկա խնդիրները</w:t>
      </w:r>
      <w:r w:rsidRPr="00760BBF">
        <w:rPr>
          <w:rFonts w:ascii="GHEA Grapalat" w:eastAsia="Times New Roman" w:hAnsi="GHEA Grapalat" w:cs="GHEA Grapalat"/>
          <w:sz w:val="24"/>
          <w:szCs w:val="24"/>
          <w:lang w:val="fr-FR"/>
        </w:rPr>
        <w:t>.</w:t>
      </w:r>
    </w:p>
    <w:p w:rsidR="000E4CD0" w:rsidRDefault="000E4CD0" w:rsidP="000E4CD0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հարկային օրենսգրքի 345-րդ հոդվածի 1-ին մասում </w:t>
      </w:r>
      <w:r w:rsidR="00C913C4">
        <w:rPr>
          <w:rFonts w:ascii="GHEA Grapalat" w:eastAsia="Times New Roman" w:hAnsi="GHEA Grapalat" w:cs="GHEA Grapalat"/>
          <w:sz w:val="24"/>
          <w:szCs w:val="24"/>
          <w:lang w:val="hy-AM"/>
        </w:rPr>
        <w:t>սահմանված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է, թե ինչ նպատակներով հարկային մարմնի կողմից կարող է իրականացվել</w:t>
      </w:r>
      <w:r w:rsidRPr="000E4CD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հսկիչ գնում (գնումներ)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:rsidR="000E4CD0" w:rsidRDefault="000E4CD0" w:rsidP="000E4CD0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E4CD0">
        <w:rPr>
          <w:rFonts w:ascii="GHEA Grapalat" w:eastAsia="Times New Roman" w:hAnsi="GHEA Grapalat" w:cs="GHEA Grapalat"/>
          <w:sz w:val="24"/>
          <w:szCs w:val="24"/>
          <w:lang w:val="hy-AM"/>
        </w:rPr>
        <w:t>18.01.2022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Pr="000E4CD0">
        <w:rPr>
          <w:rFonts w:ascii="GHEA Grapalat" w:eastAsia="Times New Roman" w:hAnsi="GHEA Grapalat" w:cs="GHEA Grapalat"/>
          <w:sz w:val="24"/>
          <w:szCs w:val="24"/>
          <w:lang w:val="fr-FR"/>
        </w:rPr>
        <w:t>.</w:t>
      </w:r>
      <w:r w:rsidRPr="000E4CD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AD3107" w:rsidRPr="000E4CD0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Հանրապետության հ</w:t>
      </w:r>
      <w:r w:rsidR="00AD3107">
        <w:rPr>
          <w:rFonts w:ascii="GHEA Grapalat" w:eastAsia="Times New Roman" w:hAnsi="GHEA Grapalat" w:cs="GHEA Grapalat"/>
          <w:sz w:val="24"/>
          <w:szCs w:val="24"/>
          <w:lang w:val="hy-AM"/>
        </w:rPr>
        <w:t>արկային օրենսգրքում լրացումներ և</w:t>
      </w:r>
      <w:r w:rsidR="00AD3107" w:rsidRPr="000E4CD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փոփոխություններ կատարելու մասին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» </w:t>
      </w:r>
      <w:r w:rsidRPr="000E4CD0">
        <w:rPr>
          <w:rFonts w:ascii="GHEA Grapalat" w:eastAsia="Times New Roman" w:hAnsi="GHEA Grapalat" w:cs="GHEA Grapalat"/>
          <w:sz w:val="24"/>
          <w:szCs w:val="24"/>
          <w:lang w:val="hy-AM"/>
        </w:rPr>
        <w:t>ՀՕ-20-Ն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օրենքի ընդունման արդյունքում վերոնշյալ մասում կատարված լրացմամբ սահմանվել է, որ </w:t>
      </w:r>
      <w:r w:rsidRPr="000E4CD0">
        <w:rPr>
          <w:rFonts w:ascii="GHEA Grapalat" w:eastAsia="Times New Roman" w:hAnsi="GHEA Grapalat" w:cs="GHEA Grapalat"/>
          <w:sz w:val="24"/>
          <w:szCs w:val="24"/>
          <w:lang w:val="hy-AM"/>
        </w:rPr>
        <w:t>«Անկանխիկ գործառնությունների մասին» Հայաստանի Հանրապետության օրենքով սահմանված դեպքերում ու կարգով վճարային քարտերի կամ վճարային տեխնոլոգիաների հիման վրա կիրառվող այլ վճարային գործիքների առկայության կամ այդ գործիքներ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ի միջոցով վճարումներ ընդունելու </w:t>
      </w:r>
      <w:r w:rsidR="00AD3107" w:rsidRPr="00AD310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համար սահմանված կարգերի ու կանոնների պահանջների պահպանման նկատմամբ ուսումնասիրության </w:t>
      </w:r>
      <w:r w:rsidRPr="000E4CD0">
        <w:rPr>
          <w:rFonts w:ascii="GHEA Grapalat" w:eastAsia="Times New Roman" w:hAnsi="GHEA Grapalat" w:cs="GHEA Grapalat"/>
          <w:sz w:val="24"/>
          <w:szCs w:val="24"/>
          <w:lang w:val="hy-AM"/>
        </w:rPr>
        <w:t>նպատակով հարկային մարմինը կարող է իրականացնել հսկիչ գնում (գնումներ)</w:t>
      </w:r>
      <w:r w:rsidR="00AD3107"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:rsidR="00AD3107" w:rsidRDefault="00AD3107" w:rsidP="000E4CD0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AD3107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Հանրապետության կառավարության 2017 թվա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կանի հուլիսի 27-ի N904-Ն որոշմամբ հաստատված է </w:t>
      </w:r>
      <w:r w:rsidRPr="00AD3107">
        <w:rPr>
          <w:rFonts w:ascii="GHEA Grapalat" w:eastAsia="Times New Roman" w:hAnsi="GHEA Grapalat" w:cs="GHEA Grapalat"/>
          <w:sz w:val="24"/>
          <w:szCs w:val="24"/>
          <w:lang w:val="hy-AM"/>
        </w:rPr>
        <w:t>հսկիչ գնումների ֆինանսական աղբյուրների և ձեռք բերված ու չվերադարձված ապրանքների տնօրինման կարգը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:rsidR="00175E9B" w:rsidRPr="00AD3107" w:rsidRDefault="00175E9B" w:rsidP="000E4CD0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14.11.2019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թ․ 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արկային ծառայության մ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ասին» օրենքում փոփոխություններ և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լրացում կատարելու մասին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» 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ՀՕ-227-Ն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օրենքի ընդունման արդյունքում 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01.02.2020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-ից 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ուժը կորցրած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է 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վ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ել 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ար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կային ծառայության մասին» օրենքի 28-րդ հոդվածը, որով սահմանված էին ն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յութական խրախու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սման և համակարգի զարգացման ֆոնդի հետ կապված կարգավորումները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Խնդիրն այն է, որ որոշման հավելվածի 2-րդ կետի 2-րդ են</w:t>
      </w:r>
      <w:r w:rsidR="009A62E3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ակետի համաձայն՝ 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հսկիչ գնում կատա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րելու համար ֆինանսական աղբյուր են համարվում </w:t>
      </w:r>
      <w:r w:rsidRPr="00175E9B">
        <w:rPr>
          <w:rFonts w:ascii="GHEA Grapalat" w:eastAsia="Times New Roman" w:hAnsi="GHEA Grapalat" w:cs="GHEA Grapalat"/>
          <w:sz w:val="24"/>
          <w:szCs w:val="24"/>
          <w:lang w:val="hy-AM"/>
        </w:rPr>
        <w:t>«Հարկային ծառայության մասին» Հայաստանի Հանրապետության օրենքի 28-րդ հոդվածով սահմանված կարգով կազմավորված՝ հարկային մարմնի համակարգի զարգացման ֆոնդի միջոցները:</w:t>
      </w:r>
    </w:p>
    <w:p w:rsidR="003232EF" w:rsidRPr="00F704A1" w:rsidRDefault="003232EF" w:rsidP="0081760E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F704A1">
        <w:rPr>
          <w:rFonts w:ascii="GHEA Grapalat" w:eastAsia="Times New Roman" w:hAnsi="GHEA Grapalat" w:cs="Sylfaen"/>
          <w:b/>
          <w:sz w:val="24"/>
          <w:szCs w:val="24"/>
        </w:rPr>
        <w:t>Առկա</w:t>
      </w:r>
      <w:r w:rsidRPr="00F704A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F704A1">
        <w:rPr>
          <w:rFonts w:ascii="GHEA Grapalat" w:eastAsia="Times New Roman" w:hAnsi="GHEA Grapalat" w:cs="Sylfaen"/>
          <w:b/>
          <w:sz w:val="24"/>
          <w:szCs w:val="24"/>
        </w:rPr>
        <w:t>խնդիրների</w:t>
      </w:r>
      <w:r w:rsidRPr="00F704A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F704A1">
        <w:rPr>
          <w:rFonts w:ascii="GHEA Grapalat" w:eastAsia="Times New Roman" w:hAnsi="GHEA Grapalat" w:cs="Sylfaen"/>
          <w:b/>
          <w:sz w:val="24"/>
          <w:szCs w:val="24"/>
        </w:rPr>
        <w:t>առաջարկվող</w:t>
      </w:r>
      <w:r w:rsidRPr="00F704A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F704A1">
        <w:rPr>
          <w:rFonts w:ascii="GHEA Grapalat" w:eastAsia="Times New Roman" w:hAnsi="GHEA Grapalat" w:cs="Sylfaen"/>
          <w:b/>
          <w:sz w:val="24"/>
          <w:szCs w:val="24"/>
        </w:rPr>
        <w:t>լուծումները</w:t>
      </w:r>
      <w:r w:rsidRPr="00F704A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:rsidR="00340663" w:rsidRDefault="003232EF" w:rsidP="00AD3107">
      <w:pPr>
        <w:tabs>
          <w:tab w:val="left" w:pos="851"/>
        </w:tabs>
        <w:spacing w:after="0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F704A1">
        <w:rPr>
          <w:rFonts w:ascii="GHEA Grapalat" w:eastAsia="Calibri" w:hAnsi="GHEA Grapalat" w:cs="Times New Roman"/>
          <w:sz w:val="24"/>
          <w:szCs w:val="24"/>
          <w:lang w:eastAsia="hy-AM"/>
        </w:rPr>
        <w:t>Նախագծով</w:t>
      </w:r>
      <w:r w:rsidRPr="00F704A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F704A1">
        <w:rPr>
          <w:rFonts w:ascii="GHEA Grapalat" w:eastAsia="Calibri" w:hAnsi="GHEA Grapalat" w:cs="Times New Roman"/>
          <w:sz w:val="24"/>
          <w:szCs w:val="24"/>
          <w:lang w:eastAsia="hy-AM"/>
        </w:rPr>
        <w:t>առաջարկվում</w:t>
      </w:r>
      <w:r w:rsidRPr="00F704A1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F704A1">
        <w:rPr>
          <w:rFonts w:ascii="GHEA Grapalat" w:eastAsia="Calibri" w:hAnsi="GHEA Grapalat" w:cs="Times New Roman"/>
          <w:sz w:val="24"/>
          <w:szCs w:val="24"/>
          <w:lang w:eastAsia="hy-AM"/>
        </w:rPr>
        <w:t>է</w:t>
      </w:r>
      <w:r w:rsidR="00725138" w:rsidRPr="00F704A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AD31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սահմանել, որ որոշմամբ հաստատված </w:t>
      </w:r>
      <w:r w:rsidR="00AD3107" w:rsidRPr="00AD31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կարգով կարգավորվում են </w:t>
      </w:r>
      <w:r w:rsidR="004327F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նաև </w:t>
      </w:r>
      <w:r w:rsidR="00AD3107" w:rsidRPr="00AD3107">
        <w:rPr>
          <w:rFonts w:ascii="GHEA Grapalat" w:eastAsia="Calibri" w:hAnsi="GHEA Grapalat" w:cs="Times New Roman"/>
          <w:sz w:val="24"/>
          <w:szCs w:val="24"/>
          <w:lang w:val="hy-AM" w:eastAsia="hy-AM"/>
        </w:rPr>
        <w:t>«Անկանխիկ գործառնությունների մասին» Հայաստանի Հանրապետության օրենքով սահմանված դեպքերում ու կարգով վճարային քարտերի կամ վճարային տեխնոլոգիաների հիման վրա կիրառվող այլ վճարային գործիքների առկայության կամ այդ գործիքների միջոցով վճարումներ ընդունելու</w:t>
      </w:r>
      <w:r w:rsidR="00AD31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AD3107" w:rsidRPr="00AD31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համար սահմանված կարգերի ու </w:t>
      </w:r>
      <w:r w:rsidR="00AD3107" w:rsidRPr="00AD3107">
        <w:rPr>
          <w:rFonts w:ascii="GHEA Grapalat" w:eastAsia="Calibri" w:hAnsi="GHEA Grapalat" w:cs="Times New Roman"/>
          <w:sz w:val="24"/>
          <w:szCs w:val="24"/>
          <w:lang w:val="hy-AM" w:eastAsia="hy-AM"/>
        </w:rPr>
        <w:lastRenderedPageBreak/>
        <w:t>կանոնների պահանջների պահպանման ուսումնասիրության նպատակով հարկային մարմնի կողմից իրականացվող հսկիչ գնումների ֆինանսական աղբյուրների և ձեռք բերված ու չվերադարձված ապրանքների տնօրինման հետ կապված հարաբերությունները</w:t>
      </w:r>
      <w:r w:rsidR="00AD3107">
        <w:rPr>
          <w:rFonts w:ascii="GHEA Grapalat" w:eastAsia="Calibri" w:hAnsi="GHEA Grapalat" w:cs="Times New Roman"/>
          <w:sz w:val="24"/>
          <w:szCs w:val="24"/>
          <w:lang w:val="hy-AM" w:eastAsia="hy-AM"/>
        </w:rPr>
        <w:t>։</w:t>
      </w:r>
    </w:p>
    <w:p w:rsidR="00175E9B" w:rsidRDefault="00175E9B" w:rsidP="00AD3107">
      <w:pPr>
        <w:tabs>
          <w:tab w:val="left" w:pos="851"/>
        </w:tabs>
        <w:spacing w:after="0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Միաժամանակ, </w:t>
      </w:r>
      <w:r w:rsidR="0088151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առաջարկվում է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որոշման հավելվածից հանել </w:t>
      </w:r>
      <w:r w:rsidRPr="00175E9B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հարկային մարմնի համակարգի զարգացման ֆոնդի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միջոցների հետ կապված կարգավորումները։</w:t>
      </w:r>
    </w:p>
    <w:p w:rsidR="003232EF" w:rsidRPr="00760BBF" w:rsidRDefault="003232EF" w:rsidP="0081760E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760BBF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</w:t>
      </w:r>
      <w:r w:rsidRPr="00760B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3232EF" w:rsidRPr="00760BBF" w:rsidRDefault="003232EF" w:rsidP="0081760E">
      <w:pPr>
        <w:tabs>
          <w:tab w:val="left" w:pos="851"/>
        </w:tabs>
        <w:spacing w:after="0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760BBF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3232EF" w:rsidRPr="00760BBF" w:rsidRDefault="003232EF" w:rsidP="0081760E">
      <w:pPr>
        <w:numPr>
          <w:ilvl w:val="0"/>
          <w:numId w:val="4"/>
        </w:numPr>
        <w:tabs>
          <w:tab w:val="left" w:pos="851"/>
        </w:tabs>
        <w:autoSpaceDN w:val="0"/>
        <w:spacing w:after="0"/>
        <w:ind w:left="0" w:firstLine="567"/>
        <w:contextualSpacing/>
        <w:jc w:val="both"/>
        <w:rPr>
          <w:rFonts w:ascii="GHEA Grapalat" w:eastAsia="Calibri" w:hAnsi="GHEA Grapalat" w:cs="GHEA Grapalat"/>
          <w:b/>
          <w:sz w:val="24"/>
          <w:szCs w:val="24"/>
          <w:lang w:val="hy-AM"/>
        </w:rPr>
      </w:pP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ակտի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կիրառման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դեպքում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725138" w:rsidRDefault="006D03A2" w:rsidP="0081760E">
      <w:pPr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Նախագծի ընդունման արդյունքում ակնկալվում է</w:t>
      </w:r>
      <w:r w:rsidR="00725138" w:rsidRPr="0072513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D3107" w:rsidRPr="00AD310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կառավարության 2017 թվ</w:t>
      </w:r>
      <w:r w:rsidR="00AD3107">
        <w:rPr>
          <w:rFonts w:ascii="GHEA Grapalat" w:eastAsia="Times New Roman" w:hAnsi="GHEA Grapalat" w:cs="Sylfaen"/>
          <w:sz w:val="24"/>
          <w:szCs w:val="24"/>
          <w:lang w:val="hy-AM"/>
        </w:rPr>
        <w:t>ականի հուլիսի 27-ի N904-Ն որոշումը</w:t>
      </w:r>
      <w:r w:rsidR="00AD3107" w:rsidRPr="00AD310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համապատասխանեց</w:t>
      </w:r>
      <w:r w:rsidR="00AD3107">
        <w:rPr>
          <w:rFonts w:ascii="GHEA Grapalat" w:eastAsia="Times New Roman" w:hAnsi="GHEA Grapalat" w:cs="Sylfaen"/>
          <w:sz w:val="24"/>
          <w:szCs w:val="24"/>
          <w:lang w:val="hy-AM"/>
        </w:rPr>
        <w:t>նել ՀՀ հարկային օրենսգրքի դրույթներին։</w:t>
      </w:r>
    </w:p>
    <w:p w:rsidR="00A0318D" w:rsidRPr="00753423" w:rsidRDefault="00A0318D" w:rsidP="0081760E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318D">
        <w:rPr>
          <w:rFonts w:ascii="GHEA Grapalat" w:hAnsi="GHEA Grapalat"/>
          <w:b/>
          <w:color w:val="000000"/>
          <w:sz w:val="24"/>
          <w:szCs w:val="24"/>
          <w:lang w:val="hy-AM"/>
        </w:rPr>
        <w:t>6.</w:t>
      </w:r>
      <w:r w:rsidRPr="00A0318D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  <w:r w:rsidR="00753423" w:rsidRPr="00753423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:rsidR="00A0318D" w:rsidRPr="00A0318D" w:rsidRDefault="00A0318D" w:rsidP="0081760E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Նախագծ</w:t>
      </w:r>
      <w:r w:rsidRPr="00A0318D">
        <w:rPr>
          <w:rFonts w:ascii="GHEA Grapalat" w:hAnsi="GHEA Grapalat"/>
          <w:color w:val="000000"/>
          <w:sz w:val="24"/>
          <w:szCs w:val="24"/>
          <w:lang w:val="hy-AM"/>
        </w:rPr>
        <w:t>ի ընդունման կապակցությամբ լրացուցիչ ֆինանսական միջոցների անհրաժեշտություն, պետական բյուջեի եկամուտներում և ծախսերում էական փոփոխութ</w:t>
      </w:r>
      <w:r w:rsidRPr="00A0318D">
        <w:rPr>
          <w:rFonts w:ascii="GHEA Grapalat" w:hAnsi="GHEA Grapalat"/>
          <w:color w:val="000000"/>
          <w:sz w:val="24"/>
          <w:szCs w:val="24"/>
          <w:lang w:val="hy-AM"/>
        </w:rPr>
        <w:softHyphen/>
        <w:t>յուններ չի նախատեսվում։</w:t>
      </w:r>
    </w:p>
    <w:p w:rsidR="00A0318D" w:rsidRPr="00753423" w:rsidRDefault="00A0318D" w:rsidP="00907B49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318D">
        <w:rPr>
          <w:rFonts w:ascii="GHEA Grapalat" w:hAnsi="GHEA Grapalat"/>
          <w:b/>
          <w:color w:val="000000"/>
          <w:sz w:val="24"/>
          <w:szCs w:val="24"/>
          <w:lang w:val="hy-AM"/>
        </w:rPr>
        <w:t>7.</w:t>
      </w:r>
      <w:r w:rsidRPr="00A0318D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753423" w:rsidRPr="00753423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:rsidR="00907B49" w:rsidRDefault="00E9705A" w:rsidP="00907B49">
      <w:pPr>
        <w:pStyle w:val="NormalWe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9705A">
        <w:rPr>
          <w:rFonts w:ascii="GHEA Grapalat" w:hAnsi="GHEA Grapalat"/>
          <w:color w:val="000000"/>
          <w:lang w:val="hy-AM"/>
        </w:rPr>
        <w:t xml:space="preserve">Նախագծի մշակման անհրաժեշտությունը կապված է </w:t>
      </w:r>
      <w:r w:rsidR="00907B49">
        <w:rPr>
          <w:rFonts w:ascii="GHEA Grapalat" w:hAnsi="GHEA Grapalat"/>
          <w:color w:val="000000"/>
          <w:lang w:val="hy-AM"/>
        </w:rPr>
        <w:t>հետևյալ ռազմավարական փաստաթղթերի հետ՝</w:t>
      </w:r>
    </w:p>
    <w:p w:rsidR="00907B49" w:rsidRPr="00907B49" w:rsidRDefault="00907B49" w:rsidP="00907B49">
      <w:pPr>
        <w:pStyle w:val="NormalWe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Pr="00907B49">
        <w:rPr>
          <w:rFonts w:ascii="GHEA Grapalat" w:hAnsi="GHEA Grapalat"/>
          <w:color w:val="000000"/>
          <w:lang w:val="hy-AM"/>
        </w:rPr>
        <w:t>)</w:t>
      </w:r>
      <w:r w:rsidRPr="00907B49">
        <w:rPr>
          <w:rFonts w:ascii="GHEA Grapalat" w:hAnsi="GHEA Grapalat"/>
          <w:color w:val="000000"/>
          <w:lang w:val="hy-AM"/>
        </w:rPr>
        <w:tab/>
        <w:t>ՀՀ կառավարության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07B49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18.11.2021</w:t>
      </w:r>
      <w:r w:rsidRPr="00907B49">
        <w:rPr>
          <w:rFonts w:ascii="GHEA Grapalat" w:hAnsi="GHEA Grapalat"/>
          <w:color w:val="000000"/>
          <w:lang w:val="hy-AM"/>
        </w:rPr>
        <w:t>թ. N 1</w:t>
      </w:r>
      <w:r>
        <w:rPr>
          <w:rFonts w:ascii="GHEA Grapalat" w:hAnsi="GHEA Grapalat"/>
          <w:color w:val="000000"/>
          <w:lang w:val="hy-AM"/>
        </w:rPr>
        <w:t>902</w:t>
      </w:r>
      <w:r w:rsidRPr="00907B49">
        <w:rPr>
          <w:rFonts w:ascii="GHEA Grapalat" w:hAnsi="GHEA Grapalat"/>
          <w:color w:val="000000"/>
          <w:lang w:val="hy-AM"/>
        </w:rPr>
        <w:t>-Լ</w:t>
      </w:r>
      <w:r>
        <w:rPr>
          <w:rFonts w:ascii="GHEA Grapalat" w:hAnsi="GHEA Grapalat"/>
          <w:color w:val="000000"/>
          <w:lang w:val="hy-AM"/>
        </w:rPr>
        <w:t xml:space="preserve"> որոշմամբ հաստատված՝ </w:t>
      </w:r>
      <w:r w:rsidRPr="00907B49">
        <w:rPr>
          <w:rFonts w:ascii="GHEA Grapalat" w:hAnsi="GHEA Grapalat"/>
          <w:color w:val="000000"/>
          <w:lang w:val="hy-AM"/>
        </w:rPr>
        <w:t>Հայաստանի Հանրապետության կառավարության 2021-2026 թվականների գոր</w:t>
      </w:r>
      <w:r>
        <w:rPr>
          <w:rFonts w:ascii="GHEA Grapalat" w:hAnsi="GHEA Grapalat"/>
          <w:color w:val="000000"/>
          <w:lang w:val="hy-AM"/>
        </w:rPr>
        <w:t>ծունեության միջոցառումների ծրագ</w:t>
      </w:r>
      <w:r w:rsidRPr="00907B49">
        <w:rPr>
          <w:rFonts w:ascii="GHEA Grapalat" w:hAnsi="GHEA Grapalat"/>
          <w:color w:val="000000"/>
          <w:lang w:val="hy-AM"/>
        </w:rPr>
        <w:t>ր</w:t>
      </w:r>
      <w:r>
        <w:rPr>
          <w:rFonts w:ascii="GHEA Grapalat" w:hAnsi="GHEA Grapalat"/>
          <w:color w:val="000000"/>
          <w:lang w:val="hy-AM"/>
        </w:rPr>
        <w:t>ի «</w:t>
      </w:r>
      <w:r w:rsidRPr="00907B49">
        <w:rPr>
          <w:rFonts w:ascii="GHEA Grapalat" w:hAnsi="GHEA Grapalat"/>
          <w:color w:val="000000"/>
          <w:lang w:val="hy-AM"/>
        </w:rPr>
        <w:t>3.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07B49">
        <w:rPr>
          <w:rFonts w:ascii="GHEA Grapalat" w:hAnsi="GHEA Grapalat"/>
          <w:color w:val="000000"/>
          <w:lang w:val="hy-AM"/>
        </w:rPr>
        <w:t>Հարկային հսկողության ռիսկերի կառավարման համակարգերի կատարելագործմամբ ստվերի կրճատում</w:t>
      </w:r>
      <w:r>
        <w:rPr>
          <w:rFonts w:ascii="GHEA Grapalat" w:hAnsi="GHEA Grapalat"/>
          <w:color w:val="000000"/>
          <w:lang w:val="hy-AM"/>
        </w:rPr>
        <w:t>»</w:t>
      </w:r>
      <w:r w:rsidRPr="00907B49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նպատակի</w:t>
      </w:r>
      <w:r w:rsidRPr="00907B49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r w:rsidRPr="00907B49">
        <w:rPr>
          <w:rFonts w:ascii="GHEA Grapalat" w:hAnsi="GHEA Grapalat"/>
          <w:color w:val="000000"/>
          <w:lang w:val="hy-AM"/>
        </w:rPr>
        <w:t>3.1 Տնտեսավարող սուբյեկտների կողմից իրականացվող գործունեության օրինականության կամ գործարքների լիարժեք փաստաթղթավորման կարգապահության բարելավում, հսկողական գործիքակազմի կատարելագործում</w:t>
      </w:r>
      <w:r>
        <w:rPr>
          <w:rFonts w:ascii="GHEA Grapalat" w:hAnsi="GHEA Grapalat"/>
          <w:color w:val="000000"/>
          <w:lang w:val="hy-AM"/>
        </w:rPr>
        <w:t>» միջոցառում,</w:t>
      </w:r>
    </w:p>
    <w:p w:rsidR="00A0318D" w:rsidRDefault="00907B49" w:rsidP="00907B49">
      <w:pPr>
        <w:pStyle w:val="NormalWe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175E9B">
        <w:rPr>
          <w:rFonts w:ascii="GHEA Grapalat" w:hAnsi="GHEA Grapalat"/>
          <w:color w:val="000000"/>
          <w:lang w:val="hy-AM"/>
        </w:rPr>
        <w:t>2)</w:t>
      </w:r>
      <w:r w:rsidRPr="00175E9B">
        <w:rPr>
          <w:rFonts w:ascii="GHEA Grapalat" w:hAnsi="GHEA Grapalat"/>
          <w:color w:val="000000"/>
          <w:lang w:val="hy-AM"/>
        </w:rPr>
        <w:tab/>
      </w:r>
      <w:r w:rsidR="00E9705A" w:rsidRPr="00E9705A">
        <w:rPr>
          <w:rFonts w:ascii="GHEA Grapalat" w:hAnsi="GHEA Grapalat"/>
          <w:color w:val="000000"/>
          <w:lang w:val="hy-AM"/>
        </w:rPr>
        <w:t>ՀՀ կառավարության 12.12.2019թ. N 1830-Լ որոշմամբ հաստատված՝ ՀՀ պետական եկամուտների կոմիտեի զարգացման և վարչարարության բարելավման ռազմավարական ծրագրի «2. Վարչարարության արդյունավետության բարձրացում, եկամուտների ավելացում, ստվերի կրճատում» նպատակի «2.1. Հարկային և մաքսային իրավախախտո</w:t>
      </w:r>
      <w:r>
        <w:rPr>
          <w:rFonts w:ascii="GHEA Grapalat" w:hAnsi="GHEA Grapalat"/>
          <w:color w:val="000000"/>
          <w:lang w:val="hy-AM"/>
        </w:rPr>
        <w:t>ւմների կանխարգելում» ենթանպատակ:</w:t>
      </w:r>
    </w:p>
    <w:sectPr w:rsidR="00A0318D" w:rsidSect="00BC003E">
      <w:pgSz w:w="11906" w:h="16838" w:code="9"/>
      <w:pgMar w:top="1134" w:right="567" w:bottom="851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75E"/>
    <w:multiLevelType w:val="hybridMultilevel"/>
    <w:tmpl w:val="A0A0918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844629"/>
    <w:multiLevelType w:val="hybridMultilevel"/>
    <w:tmpl w:val="E9A4C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00E96"/>
    <w:multiLevelType w:val="hybridMultilevel"/>
    <w:tmpl w:val="FE84D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F3035"/>
    <w:multiLevelType w:val="hybridMultilevel"/>
    <w:tmpl w:val="AF72470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22CDA"/>
    <w:multiLevelType w:val="hybridMultilevel"/>
    <w:tmpl w:val="10EC7DF2"/>
    <w:lvl w:ilvl="0" w:tplc="53D6CF3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3A63BB"/>
    <w:multiLevelType w:val="hybridMultilevel"/>
    <w:tmpl w:val="7FE01F86"/>
    <w:lvl w:ilvl="0" w:tplc="10A27C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E2378"/>
    <w:multiLevelType w:val="hybridMultilevel"/>
    <w:tmpl w:val="CD048D2A"/>
    <w:lvl w:ilvl="0" w:tplc="861A0C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941CA"/>
    <w:multiLevelType w:val="hybridMultilevel"/>
    <w:tmpl w:val="4B0C6F94"/>
    <w:lvl w:ilvl="0" w:tplc="DBD4099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0"/>
    <w:rsid w:val="000D0D6F"/>
    <w:rsid w:val="000D0F71"/>
    <w:rsid w:val="000E4CD0"/>
    <w:rsid w:val="001145A2"/>
    <w:rsid w:val="00130D1D"/>
    <w:rsid w:val="00175E9B"/>
    <w:rsid w:val="00183B5B"/>
    <w:rsid w:val="001B416A"/>
    <w:rsid w:val="001C0448"/>
    <w:rsid w:val="001C33B3"/>
    <w:rsid w:val="001C7695"/>
    <w:rsid w:val="001D7F3E"/>
    <w:rsid w:val="001F2720"/>
    <w:rsid w:val="002045C0"/>
    <w:rsid w:val="00236A75"/>
    <w:rsid w:val="00244886"/>
    <w:rsid w:val="0026663B"/>
    <w:rsid w:val="002D58B5"/>
    <w:rsid w:val="002D773F"/>
    <w:rsid w:val="002E2915"/>
    <w:rsid w:val="00303942"/>
    <w:rsid w:val="00305587"/>
    <w:rsid w:val="00307069"/>
    <w:rsid w:val="003232EF"/>
    <w:rsid w:val="00333F21"/>
    <w:rsid w:val="00340663"/>
    <w:rsid w:val="00355987"/>
    <w:rsid w:val="00357062"/>
    <w:rsid w:val="00371968"/>
    <w:rsid w:val="00375189"/>
    <w:rsid w:val="003771DE"/>
    <w:rsid w:val="0038359A"/>
    <w:rsid w:val="00390F4D"/>
    <w:rsid w:val="003A67ED"/>
    <w:rsid w:val="003C1905"/>
    <w:rsid w:val="003D5FEE"/>
    <w:rsid w:val="003D7CE8"/>
    <w:rsid w:val="00412EDA"/>
    <w:rsid w:val="004327F4"/>
    <w:rsid w:val="00437376"/>
    <w:rsid w:val="00486B43"/>
    <w:rsid w:val="004F0F5A"/>
    <w:rsid w:val="00532249"/>
    <w:rsid w:val="005636B6"/>
    <w:rsid w:val="005724E5"/>
    <w:rsid w:val="0058321C"/>
    <w:rsid w:val="00584C49"/>
    <w:rsid w:val="005A6AF3"/>
    <w:rsid w:val="005D62FA"/>
    <w:rsid w:val="005F7600"/>
    <w:rsid w:val="00624734"/>
    <w:rsid w:val="006314AD"/>
    <w:rsid w:val="00640711"/>
    <w:rsid w:val="0064753C"/>
    <w:rsid w:val="00667D00"/>
    <w:rsid w:val="006B62B8"/>
    <w:rsid w:val="006C2AF5"/>
    <w:rsid w:val="006D03A2"/>
    <w:rsid w:val="006D2E7D"/>
    <w:rsid w:val="006F1097"/>
    <w:rsid w:val="00715A61"/>
    <w:rsid w:val="00720FF3"/>
    <w:rsid w:val="007230EE"/>
    <w:rsid w:val="00725138"/>
    <w:rsid w:val="0073024A"/>
    <w:rsid w:val="00753423"/>
    <w:rsid w:val="0076240B"/>
    <w:rsid w:val="007B73A3"/>
    <w:rsid w:val="007D38C0"/>
    <w:rsid w:val="007D53A6"/>
    <w:rsid w:val="007E5976"/>
    <w:rsid w:val="007E6411"/>
    <w:rsid w:val="007E65EC"/>
    <w:rsid w:val="00811739"/>
    <w:rsid w:val="00813959"/>
    <w:rsid w:val="0081760E"/>
    <w:rsid w:val="00881513"/>
    <w:rsid w:val="008B207C"/>
    <w:rsid w:val="008D48BB"/>
    <w:rsid w:val="008F4E5D"/>
    <w:rsid w:val="008F7B2A"/>
    <w:rsid w:val="00905415"/>
    <w:rsid w:val="00907B49"/>
    <w:rsid w:val="0095293D"/>
    <w:rsid w:val="009667EA"/>
    <w:rsid w:val="0097548C"/>
    <w:rsid w:val="009A012D"/>
    <w:rsid w:val="009A62E3"/>
    <w:rsid w:val="00A0318D"/>
    <w:rsid w:val="00A27C30"/>
    <w:rsid w:val="00A37C72"/>
    <w:rsid w:val="00A80276"/>
    <w:rsid w:val="00AA22A8"/>
    <w:rsid w:val="00AA41A7"/>
    <w:rsid w:val="00AB37AB"/>
    <w:rsid w:val="00AD3107"/>
    <w:rsid w:val="00AD3A13"/>
    <w:rsid w:val="00B03F47"/>
    <w:rsid w:val="00B06CAF"/>
    <w:rsid w:val="00B11B6F"/>
    <w:rsid w:val="00B30213"/>
    <w:rsid w:val="00B45C7E"/>
    <w:rsid w:val="00B9046D"/>
    <w:rsid w:val="00BC003E"/>
    <w:rsid w:val="00BD0075"/>
    <w:rsid w:val="00BE086B"/>
    <w:rsid w:val="00C711F6"/>
    <w:rsid w:val="00C814DB"/>
    <w:rsid w:val="00C913C4"/>
    <w:rsid w:val="00CF28AF"/>
    <w:rsid w:val="00CF62A3"/>
    <w:rsid w:val="00D119F3"/>
    <w:rsid w:val="00D415BD"/>
    <w:rsid w:val="00D508AB"/>
    <w:rsid w:val="00D741D0"/>
    <w:rsid w:val="00DA5277"/>
    <w:rsid w:val="00DB55B7"/>
    <w:rsid w:val="00DE6055"/>
    <w:rsid w:val="00E31BAB"/>
    <w:rsid w:val="00E46173"/>
    <w:rsid w:val="00E571DE"/>
    <w:rsid w:val="00E6039C"/>
    <w:rsid w:val="00E6341B"/>
    <w:rsid w:val="00E84F00"/>
    <w:rsid w:val="00E9705A"/>
    <w:rsid w:val="00EA1A99"/>
    <w:rsid w:val="00ED3EAF"/>
    <w:rsid w:val="00EE4AD5"/>
    <w:rsid w:val="00EF3748"/>
    <w:rsid w:val="00F150B2"/>
    <w:rsid w:val="00F20779"/>
    <w:rsid w:val="00F24AEE"/>
    <w:rsid w:val="00F55A63"/>
    <w:rsid w:val="00F66219"/>
    <w:rsid w:val="00F704A1"/>
    <w:rsid w:val="00F82D84"/>
    <w:rsid w:val="00F97218"/>
    <w:rsid w:val="00FA08C4"/>
    <w:rsid w:val="00FB4F79"/>
    <w:rsid w:val="00FB7EF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1B427-95ED-477B-887E-D0261B31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3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3232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2EF"/>
    <w:pPr>
      <w:ind w:left="720"/>
      <w:contextualSpacing/>
    </w:pPr>
  </w:style>
  <w:style w:type="table" w:styleId="TableGrid">
    <w:name w:val="Table Grid"/>
    <w:basedOn w:val="TableNormal"/>
    <w:uiPriority w:val="59"/>
    <w:rsid w:val="0032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 Muradyan</dc:creator>
  <cp:keywords>https://mul2.gov.am/tasks/627381/oneclick/2_Naxagic_voroshum_904_popox_hskich_gnum_ankanxik_lramshakvac.docx?token=a9277597bd198457d7176d9967abd11f</cp:keywords>
  <cp:lastModifiedBy>Zaliko Barseghyan</cp:lastModifiedBy>
  <cp:revision>17</cp:revision>
  <cp:lastPrinted>2021-12-01T07:03:00Z</cp:lastPrinted>
  <dcterms:created xsi:type="dcterms:W3CDTF">2022-04-28T12:26:00Z</dcterms:created>
  <dcterms:modified xsi:type="dcterms:W3CDTF">2022-06-14T11:10:00Z</dcterms:modified>
</cp:coreProperties>
</file>