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3F" w:rsidRPr="006D3A30" w:rsidRDefault="00391147" w:rsidP="00391147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54113F" w:rsidRPr="006D3A30" w:rsidRDefault="00634E02" w:rsidP="002512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D3A30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0D0F05" w:rsidRPr="006D3A30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ԳՈՒՅՔ </w:t>
      </w:r>
      <w:r w:rsidR="00213997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ԸՆԴՈՒՆԵԼՈՒ ԵՎ </w:t>
      </w:r>
      <w:bookmarkStart w:id="0" w:name="_GoBack"/>
      <w:bookmarkEnd w:id="0"/>
      <w:r w:rsidR="000D0F05" w:rsidRPr="006D3A30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ԱՄՐԱՑՆԵԼՈՒ </w:t>
      </w:r>
      <w:r w:rsidR="000D0F05" w:rsidRPr="006D3A30">
        <w:rPr>
          <w:rStyle w:val="af1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D3A30">
        <w:rPr>
          <w:rStyle w:val="af1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2512F2" w:rsidRPr="006D3A30">
        <w:rPr>
          <w:rStyle w:val="af1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21399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21399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DE2" w:rsidRPr="006D3A30" w:rsidRDefault="00AC2DE2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Երևան քաղաքի ընդհանուր իրավասության դատարանի 19.02.2020թ. որոշմամբ «Ռազմավարական նախաձեռնությունների կենտրոն» հիմնադրամը  գտնվում է լուծարման գործընթացում: ՀՀ արդարադատության նախարարի 10.07.2020թ. թիվ 251-Ա հրամանի հիման վրա նշանակված Հիմնադրամի ժամանակավոր խորhուրդը 2020թ. սեպտեմբերի 2-ին ստեղծել է լուծարման հանձնաժողով: </w:t>
            </w:r>
          </w:p>
          <w:p w:rsidR="00BC4423" w:rsidRPr="006D3A30" w:rsidRDefault="006A34D9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«Հիմնադրամների մասին» ՀՀ օրենքի 35-րդ հոդվածի 11-րդ մասը սահմանում է</w:t>
            </w:r>
            <w:r w:rsidR="00A5434A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ր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, որ պարտատերերի պահանջները բավարարելուց հետո</w:t>
            </w:r>
            <w:r w:rsidR="00BC4423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, ինչպես նաև այն դեպքում, երբ լուծարման միջանկյալ հաշվեկշիռը հաստատելու պահին հիմնադրամը չունի պարտավորություններ պարտատերերի նկատմամբ,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գույքն ուղղվում է հիմնադրամի կանոնադրությամբ նախատեսված նպատակներին, իսկ դրա անհնարինության դեպքում փոխանցվում է պետական բյուջե:</w:t>
            </w:r>
            <w:r w:rsidR="00BC4423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</w:p>
          <w:p w:rsidR="0059392F" w:rsidRPr="006D3A30" w:rsidRDefault="0059392F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Հիմք ընդունելով նշված դրույթը՝ դեռևս 2021թ. օգոստոսին մշակվել և սահմանված կարգով ՀՀ կառավարության քննարկմանն էր ներկայացվել </w:t>
            </w:r>
            <w:r w:rsidR="002512F2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րոշման նախագիծ, համաձայն որի «Ռազմավարական նախաձեռնությունների կենտրոն» հիմնադրամի</w:t>
            </w:r>
            <w:r w:rsidR="002512F2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գույքի մի մասը </w:t>
            </w:r>
            <w:r w:rsidR="002512F2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լուծարումից հետո</w:t>
            </w:r>
            <w:r w:rsidR="002512F2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նախատեսվում էր ամրացնել ՀՀ վարչապետի աշխատակազմին, մի մասը՝ Հայաստանի Հանրապետության մրցակցության պաշտպանության հանձնաժողովին։</w:t>
            </w:r>
          </w:p>
          <w:p w:rsidR="0059392F" w:rsidRPr="006D3A30" w:rsidRDefault="0059392F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ՀՀ վարչապետի աշխատակազմի իրավաբանական վարչության եզրակացության համաձայն՝ տվյալ դեպքում գույքը վարչապետի աշխատակազմին և մրցակցության պաշտպանության հանձնաժողովին ամրացնելը չի համարվում փոխանցում պետական բյուջե: Միաժամանակ, Բյուջետային համակարգի մասին ՀՀ օրենքի 2-րդ հոդվածի համաձայն՝ պետական բյուջեն պետությանը Սահմանադրությամբ և օրենքներով վերապահված լիազորությունների իրականացման համար անհրաժեշտ դրամական միջոցների ձևավորման և ծախսման որոշակի ժամանակահատվածի ֆինանսական 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lastRenderedPageBreak/>
              <w:t xml:space="preserve">ծրագիրն է: Այսինքն՝ տվյալ դրույթի տրամաբանությամբ գույքը կարող է ուղղվել պետական բյուջե դրամական տեսքով: </w:t>
            </w:r>
          </w:p>
          <w:p w:rsidR="0059392F" w:rsidRPr="006D3A30" w:rsidRDefault="0059392F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Այս նպատակով </w:t>
            </w:r>
            <w:r w:rsidR="002512F2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ՀՀ վարչապետի հանձնարարությամբ 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ՀՀ արդարադատության նախարարությանը հանձնարարվել էր իրականացնել օրենսդրական բարեփոխումներ։</w:t>
            </w:r>
          </w:p>
          <w:p w:rsidR="0059392F" w:rsidRPr="006D3A30" w:rsidRDefault="0059392F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ՀՀ արդարադատության նախարարության կողմից իրականացված օրենսդրական բարեփոխումների արդյունքում «Հիմնադրամների մասին» ՀՀ օրենքում կատարվեցին համապատասխան փոփոխություններ, որն ՀՀ Ազգային ժողովի կողմից ընդունվել է 2022թ. մարտի 23-ին, իսկ ուժի մեջ է մտել մարտի 30-ին։</w:t>
            </w:r>
          </w:p>
          <w:p w:rsidR="0059392F" w:rsidRPr="006D3A30" w:rsidRDefault="0059392F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Փոփոխությունների համաձայն՝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</w:t>
            </w:r>
            <w:r w:rsidR="00567FB6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: </w:t>
            </w:r>
          </w:p>
          <w:p w:rsidR="00BC4423" w:rsidRPr="006D3A30" w:rsidRDefault="00BC4423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«Ռազմավարական նախաձեռնությունների կենտրոն» հիմնադրամի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լուծարման միջանկյալ հաշվեկշռի համաձայն Հիմնադրամը պարտավորություններ չունի։ </w:t>
            </w:r>
            <w:r w:rsidR="004C510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Նախագծի 1-ին և 2-րդ հավելվածներում նշված գույքի հաշվեկշռային արժեքները հաշվարկված են հիմնադրամի լուծարման միջանկյալ հաշվեկշռի կազմման՝ 01.02.2021թ. դրությամբ, որից հետո գույքի մաշվածություն չի հաշվարկվել։</w:t>
            </w:r>
            <w:r w:rsidR="004C5102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Լուծարման միջանկյալ հաշվեկշիռը 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ժամանակավոր խորhրդի կողմից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հաստատվել է 09.07.2021թ.-ին կայացած նիստով։ </w:t>
            </w:r>
          </w:p>
          <w:p w:rsidR="00EC608C" w:rsidRPr="006D3A30" w:rsidRDefault="00EC608C" w:rsidP="00126AED">
            <w:pPr>
              <w:shd w:val="clear" w:color="auto" w:fill="FFFFFF"/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Ըստ կանոնադրության «Ռազմավարական նախաձեռնությունների կենտրոն» հիմնադրամի հիմնական նպատակներն են՝ ՀՀ երկարաժամկետ ռազմավարական տեսլականի և ռազմավարության մշակման և իրագործման հարցում Կառավարությանն աջակցության ցուցաբերումը, Կառավարության համար բարեփոխումների փաթեթների (հայեցակարգերի կամ ծրագրերի) մշակումը, ՀՀ ռազմավարության և բարեփոխումների իրականացման աշխատանքների մշտադիտանցումը և արդյունքների վերաբերյալ վերլուծությունների իրականացումը և այլն։</w:t>
            </w:r>
          </w:p>
          <w:p w:rsidR="00567FB6" w:rsidRPr="006D3A30" w:rsidRDefault="00EC608C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lastRenderedPageBreak/>
              <w:t xml:space="preserve">Հաշվի առնելով, որ «Ռազմավարական նախաձեռնությունների կենտրոն» հիմնադրամը լուծարվում է և վերջինիս գործունեությունը դադարելու է առանց </w:t>
            </w:r>
            <w:r w:rsidR="000002C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իրավունքներն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իրավահաջորդության կարգով այլ անձանց անցնելու՝ հիմնադրամի գույքը լուծարումից հետո նախատեսվում է </w:t>
            </w:r>
            <w:r w:rsidR="00567FB6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սեփականության իրավունքով փոխանց</w:t>
            </w:r>
            <w:r w:rsidR="00567FB6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ել</w:t>
            </w:r>
            <w:r w:rsidR="00567FB6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Հայաստանի Հանրապետությանը՝ ի դեմս Կառավարության։</w:t>
            </w:r>
            <w:r w:rsidR="000002C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</w:p>
          <w:p w:rsidR="00BC4423" w:rsidRPr="006D3A30" w:rsidRDefault="00BC4423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«Ռազմավարական նախաձեռնությունների կենտրոն» հիմնադրամի գույքն իրենից ներկայացնում է 68 հատ հիմնական միջոց, որը Հիմնադրամի հոգաբարձուների խորհրդի 18.04.2019թ. կայացած նիստի որոշմամբ ի պահ է հանձնված ՀՀ վարչապետի աշխատակազմին, որն էլ իր հերթին այդ գույքից 65 հատը ի պահ է հանձնել </w:t>
            </w:r>
            <w:r w:rsidR="000002C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Մ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րցակցության պաշտպանության </w:t>
            </w:r>
            <w:r w:rsidR="000002C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հա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նձնաժողովին։</w:t>
            </w:r>
          </w:p>
          <w:p w:rsidR="0054113F" w:rsidRPr="006D3A30" w:rsidRDefault="00E37E75" w:rsidP="00126AED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Սույն նախագծով նախատեսվում է սեփականության իրավունքով ընդունել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Հիմնադրամի </w:t>
            </w:r>
            <w:r w:rsidR="00662CB1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լուծարումից հետո մնացած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գույք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ը և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իշյալ կառույցների աշխատանքային գործունեությունը չխաթարելու նպատակով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գույքից</w:t>
            </w: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թվով 3 հատն ամրացնել ՀՀ վարչապետի աշխատակազմին, իսկ 65 հատը՝ </w:t>
            </w:r>
            <w:r w:rsidR="000002C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ՀՀ </w:t>
            </w:r>
            <w:r w:rsidR="00687148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մրցակցության պաշտպանության հանձնաժողովին։</w:t>
            </w:r>
          </w:p>
          <w:p w:rsidR="004C5102" w:rsidRPr="004C5102" w:rsidRDefault="00567FB6" w:rsidP="004C5102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</w:pPr>
            <w:r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Դիրքորոշումը համաձայնեցվել էր </w:t>
            </w:r>
            <w:r w:rsidR="00243DF1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ՀՀ փոխվարչապետի գրասենյակի </w:t>
            </w:r>
            <w:r w:rsidR="00126AED" w:rsidRPr="006D3A30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հետ</w:t>
            </w:r>
            <w:r w:rsidR="00126AE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 xml:space="preserve"> (</w:t>
            </w:r>
            <w:r w:rsidR="00243DF1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16.07.2021թ. թիվ /03.14/23640-2021 գրությամբ առարկություններ և դիտողություններ չկան</w:t>
            </w:r>
            <w:r w:rsidR="00126AED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)</w:t>
            </w:r>
            <w:r w:rsidR="00243DF1" w:rsidRPr="006D3A30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։</w:t>
            </w:r>
          </w:p>
        </w:tc>
      </w:tr>
      <w:tr w:rsidR="0054113F" w:rsidRPr="0021399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213997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21399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4113F" w:rsidRPr="00213997" w:rsidTr="00360BAF">
        <w:trPr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391147" w:rsidP="00126AED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 </w:t>
            </w:r>
          </w:p>
        </w:tc>
      </w:tr>
      <w:tr w:rsidR="0054113F" w:rsidRPr="0021399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21399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126AED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126AED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213997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056AB7" w:rsidRPr="00213997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056AB7">
            <w:pPr>
              <w:spacing w:after="0" w:line="360" w:lineRule="auto"/>
              <w:jc w:val="both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6D3A30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 </w:t>
            </w:r>
            <w:r w:rsidR="002512F2" w:rsidRPr="006D3A30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 w:rsidRPr="006D3A30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6D3A30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ույքի արդյունավետ կառավարում</w:t>
            </w:r>
            <w:r w:rsidR="002512F2" w:rsidRPr="006D3A30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056AB7" w:rsidRPr="006D3A30" w:rsidRDefault="002512F2" w:rsidP="00056AB7">
            <w:pPr>
              <w:pStyle w:val="a8"/>
              <w:tabs>
                <w:tab w:val="left" w:pos="0"/>
              </w:tabs>
              <w:spacing w:after="0" w:line="360" w:lineRule="auto"/>
              <w:ind w:left="0"/>
              <w:jc w:val="both"/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eastAsiaTheme="minorHAnsi" w:hAnsi="GHEA Grapalat" w:cs="Sylfaen"/>
                <w:color w:val="000000" w:themeColor="text1"/>
                <w:sz w:val="24"/>
                <w:szCs w:val="24"/>
                <w:lang w:val="hy-AM"/>
              </w:rPr>
              <w:t>- «Հիմնադրամների մասին» ՀՀ օրենքի դրույթների ապահովում։</w:t>
            </w:r>
          </w:p>
        </w:tc>
      </w:tr>
    </w:tbl>
    <w:p w:rsidR="0061389E" w:rsidRPr="006D3A30" w:rsidRDefault="0061389E" w:rsidP="00262BFE">
      <w:pPr>
        <w:rPr>
          <w:rFonts w:ascii="GHEA Grapalat" w:hAnsi="GHEA Grapalat"/>
          <w:lang w:val="hy-AM"/>
        </w:rPr>
      </w:pPr>
    </w:p>
    <w:sectPr w:rsidR="0061389E" w:rsidRPr="006D3A30" w:rsidSect="002512F2">
      <w:pgSz w:w="12240" w:h="15840"/>
      <w:pgMar w:top="284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56AB7"/>
    <w:rsid w:val="000D0F05"/>
    <w:rsid w:val="00126AED"/>
    <w:rsid w:val="0018618A"/>
    <w:rsid w:val="00213997"/>
    <w:rsid w:val="00243DF1"/>
    <w:rsid w:val="002512F2"/>
    <w:rsid w:val="00262BFE"/>
    <w:rsid w:val="002D1676"/>
    <w:rsid w:val="00334926"/>
    <w:rsid w:val="00360BAF"/>
    <w:rsid w:val="0036273F"/>
    <w:rsid w:val="00391147"/>
    <w:rsid w:val="00465BED"/>
    <w:rsid w:val="004870B6"/>
    <w:rsid w:val="004B143B"/>
    <w:rsid w:val="004C5102"/>
    <w:rsid w:val="0054113F"/>
    <w:rsid w:val="00567FB6"/>
    <w:rsid w:val="0058443E"/>
    <w:rsid w:val="0059392F"/>
    <w:rsid w:val="005B0635"/>
    <w:rsid w:val="005D3999"/>
    <w:rsid w:val="0061389E"/>
    <w:rsid w:val="00634E02"/>
    <w:rsid w:val="0064689F"/>
    <w:rsid w:val="00662CB1"/>
    <w:rsid w:val="00687148"/>
    <w:rsid w:val="006A34D9"/>
    <w:rsid w:val="006D3A30"/>
    <w:rsid w:val="006E0B0C"/>
    <w:rsid w:val="006E729E"/>
    <w:rsid w:val="007E1E77"/>
    <w:rsid w:val="009A01CC"/>
    <w:rsid w:val="00A4662C"/>
    <w:rsid w:val="00A5434A"/>
    <w:rsid w:val="00A91E32"/>
    <w:rsid w:val="00AC2DE2"/>
    <w:rsid w:val="00B743D0"/>
    <w:rsid w:val="00BC4423"/>
    <w:rsid w:val="00C6384B"/>
    <w:rsid w:val="00CA6DC4"/>
    <w:rsid w:val="00D037AA"/>
    <w:rsid w:val="00D341F3"/>
    <w:rsid w:val="00E37E75"/>
    <w:rsid w:val="00EC608C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C2B87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e">
    <w:name w:val="Body Text"/>
    <w:basedOn w:val="a"/>
    <w:link w:val="af"/>
    <w:uiPriority w:val="99"/>
    <w:unhideWhenUsed/>
    <w:rsid w:val="0054113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0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54113F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4">
    <w:name w:val="Emphasis"/>
    <w:basedOn w:val="a0"/>
    <w:uiPriority w:val="20"/>
    <w:qFormat/>
    <w:rsid w:val="005411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17DE2-9035-4270-A7C2-C8DC199E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dc:description/>
  <cp:lastModifiedBy>Anna Grigoryan</cp:lastModifiedBy>
  <cp:revision>13</cp:revision>
  <cp:lastPrinted>2021-07-23T10:34:00Z</cp:lastPrinted>
  <dcterms:created xsi:type="dcterms:W3CDTF">2022-04-06T06:16:00Z</dcterms:created>
  <dcterms:modified xsi:type="dcterms:W3CDTF">2022-05-30T06:44:00Z</dcterms:modified>
</cp:coreProperties>
</file>