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2C" w:rsidRDefault="00CB562C">
      <w:pPr>
        <w:jc w:val="right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B562C" w:rsidRDefault="00C801F1" w:rsidP="007130E1">
      <w:pPr>
        <w:jc w:val="right"/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  <w:t>Հավելված</w:t>
      </w:r>
    </w:p>
    <w:p w:rsidR="00CB562C" w:rsidRDefault="00C801F1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  <w:t xml:space="preserve">ՀՀ կառավարության 2022 թվականի </w:t>
      </w:r>
    </w:p>
    <w:p w:rsidR="00CB562C" w:rsidRDefault="00C801F1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  <w:t>------ N ------ որոշման</w:t>
      </w:r>
    </w:p>
    <w:p w:rsidR="00CB562C" w:rsidRDefault="00CB562C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color w:val="000000"/>
          <w:sz w:val="18"/>
          <w:szCs w:val="18"/>
          <w:lang w:val="hy-AM"/>
        </w:rPr>
      </w:pP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Calibri" w:hAnsi="Calibri" w:cs="Calibri"/>
          <w:color w:val="000000"/>
          <w:spacing w:val="30"/>
          <w:lang w:val="hy-AM"/>
        </w:rPr>
      </w:pPr>
      <w:r>
        <w:rPr>
          <w:rStyle w:val="Strong"/>
          <w:rFonts w:ascii="GHEA Grapalat" w:hAnsi="GHEA Grapalat"/>
          <w:color w:val="000000"/>
          <w:spacing w:val="30"/>
          <w:lang w:val="hy-AM"/>
        </w:rPr>
        <w:t>ՄԻՋՈՑԱՌՈՒՄ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 ԿԵՆՍԱԹՈՇԱԿԱՌՈՒՆԵՐԻՆ ԱՆԿԱՆԽԻԿ ԳՈՐԾԱՐՔՆԵՐԻՑ ՀԵՏՎՃԱՐ ՏՐԱՄԱԴՐԵԼՈՒ ՊԵՏՈՒԹՅՈՒՆ-ՄԱՍՆԱՎՈՐ ՍՈՑԻԱԼԱԿԱՆ ՓՈԽԳՈՐԾԱԿՑՈՒԹՅԱՆ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1. ՆԵՐԱԾՈՒԹՅՈՒՆ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Ներկայումս պետության կողմից կենսաթոշակ կամ սոցիալական պաշտպանության (ապահովության) ծրագրերով նախատեսված՝ պարբերական բնույթ կրող (որոշակի կամ անորոշ ժամկետով տրվող) նպաստ կամ դրամական այլ վճար ստացող շահառուները, ինչպես և Հայաստանի Հանրապետության և համաշխարհային տնտեսությունը, ուղղակիորեն առնչվում են բարձր գնաճային երևույթների հետ, ինչի հետևանքով նվազում է սպառողների գնողունակությունը, իսկ խոցելի խմբերի շահառուների համար խնդիրն ավելի է սրվում մասնավորապես առաջին անհրաժեշտության ապրանքների և սննդամթերքի ձեռքբերման մասով։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Տնտեսության ներկայիս պայմաններում Հայաստանի Հանրապետության կառավարության 2021-2026 թվականների հնգամյա ծրագրով նախատեսված՝ կենսաթոշակների, նպաստների կամ դրամական այլ վճարների նպատակային ավելացումներին զուգընթաց անհրաժեշտություն է առաջանում իրականացնել պետությունից կենսաթոշակ ստացող շահառուների գնողունակության բարձրացմանն ուղղված միջոցառումներ՝ նաև այլ գործիքներով։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 w:cs="GHEA Grapalat"/>
          <w:b w:val="0"/>
          <w:lang w:val="hy-AM"/>
        </w:rPr>
        <w:t xml:space="preserve">Անկանխիկ եղանակով պետությունից դրամական պարբերական վճարներ ստացող շահառուները, որոշ դեպքերում, չեն կիրառում անկանխիկ գործառնությունների ողջ գործիքակազմը, ինչի ամբողջական կիրառումն իր հերթին ունենում է մուլտիպլիկատիվ էֆեկտ տնտեսության համար, և սույն միջոցառումը նպատակ ունի նաև անկանխիկ եղանակով դրամական վճար ստացող կենսաթոշակառուների շրջանում ներդնել խթանող </w:t>
      </w:r>
      <w:r>
        <w:rPr>
          <w:rStyle w:val="Strong"/>
          <w:rFonts w:ascii="GHEA Grapalat" w:hAnsi="GHEA Grapalat" w:cs="GHEA Grapalat"/>
          <w:b w:val="0"/>
          <w:lang w:val="hy-AM"/>
        </w:rPr>
        <w:lastRenderedPageBreak/>
        <w:t xml:space="preserve">գործոններ՝ ընդլայնելու անկանխիկ գործառնությունների ծավալը՝ այդպիսով նպաստելով նաև շահառուների ֆինանսական </w:t>
      </w:r>
      <w:r>
        <w:rPr>
          <w:rStyle w:val="Strong"/>
          <w:rFonts w:ascii="GHEA Grapalat" w:hAnsi="GHEA Grapalat"/>
          <w:b w:val="0"/>
          <w:lang w:val="hy-AM"/>
        </w:rPr>
        <w:t>գիտելիքների մակարդակի բարձրացմանը: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5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2. ԸՆԴՀԱՆՈՒՐ ԴՐՈՒՅԹՆԵՐ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Fonts w:ascii="GHEA Grapalat" w:hAnsi="GHEA Grapalat"/>
          <w:lang w:val="hy-AM"/>
        </w:rPr>
        <w:t>Անկանխիկ եղանակով վճարումներից կենսաթոշակառուներին հետվճար տրամադրելու պետություն-մասնավոր սոցիալական փոխգործակցության միջոցառման (այսուհետ՝ Միջոցառում)</w:t>
      </w:r>
      <w:r>
        <w:rPr>
          <w:rStyle w:val="Strong"/>
          <w:rFonts w:ascii="GHEA Grapalat" w:hAnsi="GHEA Grapalat"/>
          <w:b w:val="0"/>
          <w:lang w:val="hy-AM"/>
        </w:rPr>
        <w:t xml:space="preserve"> մեջ կիրառվող հասկացություններն ունեն հետևյալ իմաստները.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1) կենսաթոշակ՝ 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մարտի 12-ի N 284-Ն որոշման 3-րդ կետում նշված գումար</w:t>
      </w:r>
      <w:r>
        <w:rPr>
          <w:rFonts w:ascii="GHEA Grapalat" w:hAnsi="GHEA Grapalat"/>
          <w:bCs/>
          <w:color w:val="000000"/>
          <w:lang w:val="hy-AM"/>
        </w:rPr>
        <w:t>՝ սոցիալական պաշտպանության (ապահովության) ծրագրերով նախատեսված կենսաթոշակներ, պարբերական բնույթ կրող (որոշակի կամ անորոշ ժամկետով տրվող) նպաստներ և դրամական այլ վճարներ</w:t>
      </w:r>
      <w:r>
        <w:rPr>
          <w:rFonts w:ascii="Cambria Math" w:hAnsi="Cambria Math"/>
          <w:bCs/>
          <w:color w:val="000000"/>
          <w:lang w:val="hy-AM"/>
        </w:rPr>
        <w:t>․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2) կենսաթոշակառուի բանկային հաշիվ՝ </w:t>
      </w:r>
      <w:r>
        <w:rPr>
          <w:rFonts w:ascii="GHEA Grapalat" w:hAnsi="GHEA Grapalat"/>
          <w:bCs/>
          <w:color w:val="000000"/>
          <w:lang w:val="hy-AM"/>
        </w:rPr>
        <w:t>Հայաստանի Հանրապետության քաղաքաց</w:t>
      </w:r>
      <w:r>
        <w:rPr>
          <w:rFonts w:ascii="GHEA Grapalat" w:hAnsi="GHEA Grapalat"/>
          <w:bCs/>
          <w:color w:val="000000"/>
          <w:lang w:val="hy-AM"/>
        </w:rPr>
        <w:softHyphen/>
        <w:t>իա</w:t>
      </w:r>
      <w:r>
        <w:rPr>
          <w:rFonts w:ascii="GHEA Grapalat" w:hAnsi="GHEA Grapalat"/>
          <w:bCs/>
          <w:color w:val="000000"/>
          <w:lang w:val="hy-AM"/>
        </w:rPr>
        <w:softHyphen/>
        <w:t xml:space="preserve">կան օրենսգրքի 928.9-րդ հոդվածի 1-ին մասով սահմանված կարգով բանկում բացված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սոցիալական ապահովության հաշիվ</w:t>
      </w:r>
      <w:r>
        <w:rPr>
          <w:rStyle w:val="Strong"/>
          <w:rFonts w:ascii="Cambria Math" w:hAnsi="Cambria Math"/>
          <w:b w:val="0"/>
          <w:color w:val="000000"/>
          <w:shd w:val="clear" w:color="auto" w:fill="FFFFFF"/>
          <w:lang w:val="hy-AM"/>
        </w:rPr>
        <w:t>․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Cambria Math" w:hAnsi="Cambria Math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3) </w:t>
      </w:r>
      <w:r>
        <w:rPr>
          <w:rFonts w:ascii="GHEA Grapalat" w:hAnsi="GHEA Grapalat"/>
          <w:b/>
          <w:color w:val="000000"/>
          <w:lang w:val="hy-AM"/>
        </w:rPr>
        <w:t>Ծառայություն՝</w:t>
      </w:r>
      <w:r>
        <w:rPr>
          <w:rFonts w:ascii="GHEA Grapalat" w:hAnsi="GHEA Grapalat"/>
          <w:color w:val="000000"/>
          <w:lang w:val="hy-AM"/>
        </w:rPr>
        <w:t xml:space="preserve"> Աշխատանքի և սոցիալական հարցերի նախարարության միասնական սոցիալական ծառայություն</w:t>
      </w:r>
      <w:r>
        <w:rPr>
          <w:rFonts w:ascii="Cambria Math" w:hAnsi="Cambria Math"/>
          <w:color w:val="000000"/>
          <w:lang w:val="hy-AM"/>
        </w:rPr>
        <w:t>․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4) կենսաթոշակառու (նաև շահառու)`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անձ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ում</w:t>
      </w:r>
      <w:r>
        <w:rPr>
          <w:rFonts w:ascii="GHEA Grapalat" w:hAnsi="GHEA Grapalat"/>
          <w:color w:val="000000"/>
          <w:lang w:val="hy-AM"/>
        </w:rPr>
        <w:t xml:space="preserve"> անվամբ բացվել է </w:t>
      </w:r>
      <w:r>
        <w:rPr>
          <w:rFonts w:ascii="GHEA Grapalat" w:hAnsi="GHEA Grapalat"/>
          <w:bCs/>
          <w:color w:val="000000"/>
          <w:lang w:val="hy-AM"/>
        </w:rPr>
        <w:t xml:space="preserve">կենսաթոշակառուի բանկային </w:t>
      </w:r>
      <w:r>
        <w:rPr>
          <w:rFonts w:ascii="GHEA Grapalat" w:hAnsi="GHEA Grapalat"/>
          <w:color w:val="000000"/>
          <w:lang w:val="hy-AM"/>
        </w:rPr>
        <w:t xml:space="preserve">հաշիվը (ում նշանակվել է սույն կետի 1-ին ենթակետով սահմանված </w:t>
      </w:r>
      <w:r>
        <w:rPr>
          <w:rFonts w:ascii="GHEA Grapalat" w:hAnsi="GHEA Grapalat" w:cs="GHEA Grapalat"/>
          <w:color w:val="000000"/>
          <w:lang w:val="hy-AM"/>
        </w:rPr>
        <w:t>կենսաթոշակ</w:t>
      </w:r>
      <w:r w:rsidR="00E476A4">
        <w:rPr>
          <w:rFonts w:ascii="GHEA Grapalat" w:hAnsi="GHEA Grapalat" w:cs="GHEA Grapalat"/>
          <w:color w:val="000000"/>
          <w:lang w:val="ru-RU"/>
        </w:rPr>
        <w:t>)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կամ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անչափահաս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կամ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խնամակալության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տակ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գտնվող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կենսաթո</w:t>
      </w:r>
      <w:r>
        <w:rPr>
          <w:rFonts w:ascii="GHEA Grapalat" w:hAnsi="GHEA Grapalat"/>
          <w:color w:val="000000"/>
          <w:lang w:val="hy-AM"/>
        </w:rPr>
        <w:t>շակառուի օրինական ներկայացուցիչ` ծնող, որդեգրող, խնամակալ),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5) Գործընկեր բանկ`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կառավարության՝ 2020 թվականի մարտի 12-ի N 284-Ն որոշման համաձայն Ծառայության հետ սոցիալական ապահովության հաշվի պայմանագիր կնքած և Միջոցառմամբ սահմանված պայմաններին համապատասխան իր միջոցների հաշվին կենսաթոշակառուներին հետվճար վճարող բանկ,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6) ավտոմատ գանձման սարք (նաև՝ ԱԳՍ)՝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Հայաստանի Հանրապետության տարածքում օրենքով սահման</w:t>
      </w:r>
      <w:r>
        <w:rPr>
          <w:rFonts w:ascii="GHEA Grapalat" w:hAnsi="GHEA Grapalat" w:cs="Calibri"/>
          <w:color w:val="000000"/>
          <w:lang w:val="hy-AM"/>
        </w:rPr>
        <w:softHyphen/>
        <w:t>ված կարգով գործող մանրածախ առևտուր իրականացնող և (կամ) ծառայություններ մատուցող սուբյեկտի մոտ տ</w:t>
      </w:r>
      <w:r>
        <w:rPr>
          <w:rFonts w:ascii="GHEA Grapalat" w:hAnsi="GHEA Grapalat"/>
          <w:color w:val="000000"/>
          <w:lang w:val="hy-AM"/>
        </w:rPr>
        <w:t>եղադրված՝ վճարային քարտերով վճարումներ ընդունող (ավտոմատ գանձող) սարք,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7)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հետվճար՝</w:t>
      </w:r>
      <w:r>
        <w:rPr>
          <w:rFonts w:ascii="GHEA Grapalat" w:hAnsi="GHEA Grapalat"/>
          <w:color w:val="000000"/>
          <w:lang w:val="hy-AM"/>
        </w:rPr>
        <w:t xml:space="preserve"> հաշվետու ժամանակահատվածում կենսաթոշակառուի կողմից կենսաթոշակային քարտի միջոցով ապրանքների և (կամ) ծառայությունների ձեռքբերման </w:t>
      </w:r>
      <w:r>
        <w:rPr>
          <w:rFonts w:ascii="GHEA Grapalat" w:hAnsi="GHEA Grapalat"/>
          <w:color w:val="000000"/>
          <w:lang w:val="hy-AM"/>
        </w:rPr>
        <w:lastRenderedPageBreak/>
        <w:t>դիմաց ԱԳՍ-երով կատարված անկանխիկ վճարումներից, ինչպես նաև կենսաթոշակային քարտը թողարկած բանկի բանկոմատներում կոմունալ ծառայությունների դիմաց կատարված վճարումներից հաշվարկվող գումար, որը սահմանված ժամկետում ենթակա է փոխանցման կենսաթոշակառուի բանկային հաշվին։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Միջոցառումն պետք է ունենա կարճ անվանում և տարբերանշան (լոգո), որը սահ</w:t>
      </w:r>
      <w:r>
        <w:rPr>
          <w:rFonts w:ascii="GHEA Grapalat" w:hAnsi="GHEA Grapalat"/>
          <w:color w:val="000000"/>
          <w:lang w:val="hy-AM"/>
        </w:rPr>
        <w:softHyphen/>
        <w:t>մանված կարգով կիրառվում է Միջոցառման իրականացման ժամանակահատվածում։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</w:rPr>
      </w:pPr>
      <w:r>
        <w:rPr>
          <w:rStyle w:val="Strong"/>
          <w:rFonts w:ascii="GHEA Grapalat" w:hAnsi="GHEA Grapalat"/>
          <w:color w:val="000000"/>
          <w:lang w:val="hy-AM"/>
        </w:rPr>
        <w:t>3. ՄԻՋՈՑԱՌՄԱՆ ՆՊԱՏԱԿԸ ԵՎ ԽՆԴԻՐՆԵՐԸ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Միջոցառման իրականացման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հիմնական նպատակն է </w:t>
      </w:r>
      <w:r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բարձրացնել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կենսաթոշակառուների գնողունակությունը՝ հատկապես առաջին անհրաժեշտության ապրանքներ և ծառայություն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softHyphen/>
        <w:t>ներ ձեռք բերելիս։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Միջոցառման իրականացումը նպատակ ունի նաև խթանել անկանխիկ եղանակով գործարքների կատարումը Հայաստանի Հանրապետությունում, ավելացնել սպառողների՝ մասնավորապես կենսաթոշակառուների և սոցիալական խոցելի խմբերի կողմից ֆինանսական ժամանակակից գործիքների և տեխնոլոգիաների վերաբերյալ գիտելիքները, մեծացնել նշված գործիքների կիրառելիության տարածվածությունը։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Հանրապետությունում ներկայումս կենսաթոշակ է ստանում ավելի, քան 560 հազար քաղաքացի, որից շուրջ 420 հազարը կենսաթոշակները ստանում են անկանխիկ եղանակով, իսկ բանկերի միջոցով ստացողների թիվը կազմում է շուրջ 390 հազար, կամ կենսաթոշակ ստացողների մոտ 70%-ը, ինչը նշանակում է, որ Միջոցառումը կունենա էական ազդեցություն կենսաթոշակառուների գնողունակության բարձրացման վրա։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 վերը նշվածը՝ սույն միջոցառմամբ առաջարկվում է իրականացնել կենսաթոշակառուների կողմից անկանխիկ գնումների և վճարումների գործարքներից պետություն-մասնավոր սոցիալական փոխգործակցության ձևաչափով կենսաթոշակառուներին տրամադրել հետվճար։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4. ՄԻՋՈՑԱՌՄԱՆ ՇԱՀԱՌՈՒՆԵՐԸ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Միջոցառման պոտենցիալ շահառու են հանդիսանում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կենսաթոշակ</w:t>
      </w:r>
      <w:r>
        <w:rPr>
          <w:rFonts w:ascii="GHEA Grapalat" w:hAnsi="GHEA Grapalat"/>
          <w:color w:val="000000"/>
          <w:lang w:val="hy-AM"/>
        </w:rPr>
        <w:t xml:space="preserve"> ստացող անձինք, ովքեր կենսաթոշակը ստանում են անկանխիկ եղանակով՝ կենսաթոշակի գումարը կենսաթոշակառուի բանկային հաշվին փոխանցվելու միջոցով։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Միջոցառման փաստացի շահառու են հանդիսանում Միջոցառման գործողության ընթացքում ապրանքների և (կամ) ծառայությունների ձեռքբերման դիմաց կենսաթոշակային քարտի միջոցով ԱԳՍ-երով, ինչպես նաև կենսաթոշակային քարտը թողարկած բանկի բանկոմատներում կոմունալ ծառայությունների դիմաց վճարում կատարած կենսաթոշակառուները։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5. ՄԻՋՈՑԱՌՄԱՆ ՆԿԱՐԱԳԻՐԸ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Սույն միջոցառմամբ նախատեսված՝ անկանխիկ եղանակով կատարված վճարումների հետվճարները հաշվարկվում են բանկերի կողմից յուրաքանչյուր ամիս՝ նախորդ ամսվա ընթացքում ԱԳՍ-երի միջոցով և տվյալ բանկի բանկոմատներում կոմունալ ծառայությունների դիմաց կենսաթոշակային քարտերով իրականացված գործարքներից (կատարված վճարումներից):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Միջոցառմամբ նախատեսված՝ անկանխիկ գործարքի գումարի հետվճարի չափը կազմում է 10%, որը ձևավորվում է միջոցառման մասնակիցների հատկացումներից՝ հետևյալ համամասնությամբ.</w:t>
      </w:r>
    </w:p>
    <w:p w:rsidR="00CB562C" w:rsidRDefault="00C801F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hanging="31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Պետություն՝ 5%,</w:t>
      </w:r>
    </w:p>
    <w:p w:rsidR="00CB562C" w:rsidRDefault="00C801F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hanging="31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Գործընկեր բանկ՝ 5</w:t>
      </w:r>
      <w:r>
        <w:rPr>
          <w:rFonts w:ascii="GHEA Grapalat" w:hAnsi="GHEA Grapalat"/>
          <w:color w:val="000000"/>
          <w:lang w:val="ru-RU"/>
        </w:rPr>
        <w:t>%</w:t>
      </w:r>
      <w:r>
        <w:rPr>
          <w:rFonts w:ascii="GHEA Grapalat" w:hAnsi="GHEA Grapalat"/>
          <w:color w:val="000000"/>
          <w:lang w:val="hy-AM"/>
        </w:rPr>
        <w:t>:</w:t>
      </w:r>
    </w:p>
    <w:p w:rsidR="00CB562C" w:rsidRDefault="00C801F1">
      <w:pPr>
        <w:pStyle w:val="NormalWeb"/>
        <w:shd w:val="clear" w:color="auto" w:fill="FFFFFF"/>
        <w:spacing w:before="0" w:beforeAutospacing="0" w:after="0" w:afterAutospacing="0" w:line="360" w:lineRule="auto"/>
        <w:ind w:firstLine="36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Ընդ որում, Գործընկեր բանկի կողմից յուրաքանչյուր շահառուի հետվճարից հաշվարկված եկամտային հարկի գումարին համապատասխան չափով ավելացվում է պետության կողմից տրամադրվող հետվճարի չափն այնպես, որ շահառուին փոխանցվող զուտ հետվճարը կազմի 10%։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Հետվճարի՝ մեկ ամսվա համար հաշվեգրվող և սույն միջոցառման 13-րդ կետով նախատեսված գումարի ընդհանուր չափը չի կարող գերազանցել 5000 դրամը՝ անկախ կատարված անկանխիկ գործարքների մեծությունից։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7. ՄԻՋՈՑԱՌՄԱՆ ՄՈՆԻԹՈՐԻՆԳԸ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Միջոցառման մոնիթորինգն իրականացնում է Հայաստանի Հանրապետության աշխատանքի և սոցիալական հարցերի նախարարությունը` հիմք ընդունելով Միջոցառման ընթացքի վերաբերյալ ֆինանսական և ոչ ֆինանսական ցուցանիշները։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Նախարարությունը ամենամսյա պարբերականությամբ պաշտոնական կայքէջում հրապարակում է վիճակագրական տեղեկատվություն առնվազն Միջոցառման շահառու դարձած (օգտված) կենսաթոշակառուների թվի, նրանց տրամադրված ընդհանուր և միջին հետվճարների ցուցանիշները։</w:t>
      </w:r>
    </w:p>
    <w:p w:rsidR="00CB562C" w:rsidRDefault="00C801F1">
      <w:pPr>
        <w:pStyle w:val="NormalWeb"/>
        <w:shd w:val="clear" w:color="auto" w:fill="FFFFFF"/>
        <w:spacing w:before="240" w:beforeAutospacing="0" w:after="120" w:afterAutospacing="0" w:line="360" w:lineRule="auto"/>
        <w:ind w:left="374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8. ՄԻՋՈՑԱՌՄԱՆ ԻՐԱԿԱՆԱՑՈՒՄԻՑ ԱԿՆԿԱԼՎՈՂ ԱՐԴՅՈՒՆՔՆԵՐԸ</w:t>
      </w:r>
    </w:p>
    <w:p w:rsidR="00CB562C" w:rsidRDefault="00C801F1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Միջոցառման իրականացման արդյունքում ակնկալվում է, որ Միջոցառման փաստացի շահառու կդառնա և առնվազն 3 ամիս անընդմեջ կստանա նախատեսված հետվճարը բանկային քարտով կենսաթոշակ ստացող կենսաթոշակառուների 80%-ը՝ մինչև 2022 թվականի դեկտեմբերի 31-ը։</w:t>
      </w:r>
      <w:r>
        <w:rPr>
          <w:rFonts w:ascii="GHEA Grapalat" w:hAnsi="GHEA Grapalat"/>
          <w:lang w:val="hy-AM"/>
        </w:rPr>
        <w:br w:type="page"/>
      </w:r>
    </w:p>
    <w:sectPr w:rsidR="00CB562C">
      <w:pgSz w:w="11907" w:h="16840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E7A37"/>
    <w:multiLevelType w:val="hybridMultilevel"/>
    <w:tmpl w:val="ADA88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55BB1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36A6384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88B6374"/>
    <w:multiLevelType w:val="hybridMultilevel"/>
    <w:tmpl w:val="76506B82"/>
    <w:lvl w:ilvl="0" w:tplc="FEA6E3A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38B70682"/>
    <w:multiLevelType w:val="hybridMultilevel"/>
    <w:tmpl w:val="934A0B72"/>
    <w:lvl w:ilvl="0" w:tplc="8AF66692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15F8C"/>
    <w:multiLevelType w:val="hybridMultilevel"/>
    <w:tmpl w:val="4D506128"/>
    <w:lvl w:ilvl="0" w:tplc="73CCF4C8">
      <w:start w:val="5"/>
      <w:numFmt w:val="bullet"/>
      <w:lvlText w:val="-"/>
      <w:lvlJc w:val="left"/>
      <w:pPr>
        <w:ind w:left="109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3FC816B9"/>
    <w:multiLevelType w:val="hybridMultilevel"/>
    <w:tmpl w:val="DC7ABB0C"/>
    <w:lvl w:ilvl="0" w:tplc="3D181F50">
      <w:start w:val="1"/>
      <w:numFmt w:val="decimal"/>
      <w:lvlText w:val="%1."/>
      <w:lvlJc w:val="left"/>
      <w:pPr>
        <w:ind w:left="750" w:hanging="3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49091450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F855972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3D55855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C3A6C7A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CF12929"/>
    <w:multiLevelType w:val="hybridMultilevel"/>
    <w:tmpl w:val="9C5605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6765CA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E701FCE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BA409D2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CAC13A2"/>
    <w:multiLevelType w:val="hybridMultilevel"/>
    <w:tmpl w:val="FE10734A"/>
    <w:lvl w:ilvl="0" w:tplc="B0D8E1A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10"/>
  </w:num>
  <w:num w:numId="6">
    <w:abstractNumId w:val="16"/>
  </w:num>
  <w:num w:numId="7">
    <w:abstractNumId w:val="8"/>
  </w:num>
  <w:num w:numId="8">
    <w:abstractNumId w:val="2"/>
  </w:num>
  <w:num w:numId="9">
    <w:abstractNumId w:val="1"/>
  </w:num>
  <w:num w:numId="10">
    <w:abstractNumId w:val="13"/>
  </w:num>
  <w:num w:numId="11">
    <w:abstractNumId w:val="14"/>
  </w:num>
  <w:num w:numId="12">
    <w:abstractNumId w:val="0"/>
  </w:num>
  <w:num w:numId="13">
    <w:abstractNumId w:val="12"/>
  </w:num>
  <w:num w:numId="14">
    <w:abstractNumId w:val="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62C"/>
    <w:rsid w:val="007130E1"/>
    <w:rsid w:val="00C801F1"/>
    <w:rsid w:val="00CB562C"/>
    <w:rsid w:val="00E4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C680"/>
  <w15:chartTrackingRefBased/>
  <w15:docId w15:val="{9092F52B-2D2C-4CE9-BE86-1E4F5B88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044F1-EF37-43C7-818B-67EB32B2A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Khachatryan</dc:creator>
  <cp:keywords>https:/mul2-mss.gov.am/tasks/612587/oneclick/Retirees cashback ammended.docx?token=f97a72631f347a3678682e46adca13a8</cp:keywords>
  <dc:description/>
  <cp:lastModifiedBy>user</cp:lastModifiedBy>
  <cp:revision>7</cp:revision>
  <dcterms:created xsi:type="dcterms:W3CDTF">2022-05-18T15:28:00Z</dcterms:created>
  <dcterms:modified xsi:type="dcterms:W3CDTF">2022-05-18T16:39:00Z</dcterms:modified>
</cp:coreProperties>
</file>