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6F" w:rsidRDefault="008F72F3">
      <w:pPr>
        <w:shd w:val="clear" w:color="auto" w:fill="FFFFFF"/>
        <w:spacing w:line="276" w:lineRule="auto"/>
        <w:ind w:firstLine="567"/>
        <w:jc w:val="center"/>
        <w:rPr>
          <w:rStyle w:val="Strong"/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Style w:val="Strong"/>
          <w:rFonts w:ascii="GHEA Grapalat" w:eastAsia="Times New Roman" w:hAnsi="GHEA Grapalat" w:cs="Arial"/>
          <w:sz w:val="24"/>
          <w:szCs w:val="24"/>
          <w:lang w:val="hy-AM" w:eastAsia="ru-RU"/>
        </w:rPr>
        <w:t>ԱՄՓՈՓԱԹԵՐԹ</w:t>
      </w:r>
    </w:p>
    <w:p w:rsidR="00023D6F" w:rsidRDefault="008F72F3">
      <w:pPr>
        <w:spacing w:after="0" w:line="360" w:lineRule="auto"/>
        <w:ind w:firstLine="313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ԱՆԿԱՆԽԻԿ ԵՂԱՆԱԿՈՎ ՎՃԱՐՈՒՄՆԵՐԻՑ ԿԵՆՍԱԹՈՇԱԿԱՌՈՒՆԵՐԻՆ ՀԵՏՎՃԱՐ ՏՐԱՄԱԴՐԵԼՈ</w:t>
      </w:r>
      <w:r w:rsidR="00FC4D3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Ւ ՊԵՏՈՒԹՅՈՒՆ-ՄԱՍՆԱՎՈՐ ՍՈՑԻԱԼԱԿԱՆ ՓՈԽԳՈՐԾԱԿՑՈՒԹՅԱՆ ՄԻՋՈՑԱՌՈՒՄԸ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ՀԱՍՏԱՏԵԼՈՒ ՄԱՍԻՆ</w:t>
      </w:r>
      <w:r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</w:p>
    <w:p w:rsidR="00023D6F" w:rsidRDefault="00023D6F">
      <w:pPr>
        <w:spacing w:after="0" w:line="276" w:lineRule="auto"/>
        <w:ind w:firstLine="313"/>
        <w:jc w:val="center"/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</w:pPr>
    </w:p>
    <w:p w:rsidR="00023D6F" w:rsidRDefault="00023D6F">
      <w:pPr>
        <w:spacing w:after="0" w:line="276" w:lineRule="auto"/>
        <w:ind w:firstLine="313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en-GB"/>
        </w:rPr>
      </w:pPr>
    </w:p>
    <w:tbl>
      <w:tblPr>
        <w:tblStyle w:val="TableGrid"/>
        <w:tblW w:w="14221" w:type="dxa"/>
        <w:jc w:val="center"/>
        <w:tblLook w:val="04A0" w:firstRow="1" w:lastRow="0" w:firstColumn="1" w:lastColumn="0" w:noHBand="0" w:noVBand="1"/>
      </w:tblPr>
      <w:tblGrid>
        <w:gridCol w:w="9445"/>
        <w:gridCol w:w="4776"/>
      </w:tblGrid>
      <w:tr w:rsidR="00023D6F">
        <w:trPr>
          <w:trHeight w:val="465"/>
          <w:jc w:val="center"/>
        </w:trPr>
        <w:tc>
          <w:tcPr>
            <w:tcW w:w="9445" w:type="dxa"/>
            <w:vMerge w:val="restart"/>
          </w:tcPr>
          <w:p w:rsidR="00023D6F" w:rsidRDefault="008F72F3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spacing w:line="360" w:lineRule="auto"/>
              <w:ind w:left="22" w:hanging="2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Արդարադատության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4776" w:type="dxa"/>
          </w:tcPr>
          <w:p w:rsidR="00023D6F" w:rsidRDefault="008F72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10.05.2022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023D6F">
        <w:trPr>
          <w:trHeight w:val="525"/>
          <w:jc w:val="center"/>
        </w:trPr>
        <w:tc>
          <w:tcPr>
            <w:tcW w:w="9445" w:type="dxa"/>
            <w:vMerge/>
          </w:tcPr>
          <w:p w:rsidR="00023D6F" w:rsidRDefault="00023D6F">
            <w:pPr>
              <w:tabs>
                <w:tab w:val="left" w:pos="3420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/18187-2022</w:t>
            </w:r>
          </w:p>
        </w:tc>
      </w:tr>
      <w:tr w:rsidR="00023D6F" w:rsidRPr="00FC4D30">
        <w:trPr>
          <w:trHeight w:val="70"/>
          <w:jc w:val="center"/>
        </w:trPr>
        <w:tc>
          <w:tcPr>
            <w:tcW w:w="9445" w:type="dxa"/>
          </w:tcPr>
          <w:p w:rsidR="00023D6F" w:rsidRDefault="008F72F3">
            <w:pPr>
              <w:spacing w:line="26" w:lineRule="atLeast"/>
              <w:ind w:firstLine="447"/>
              <w:jc w:val="both"/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 կատարումն ՀՀ վարչապետի՝ 2022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թվականի մայիսի 10-ի թիվ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02/11./14653-2022 հանձնարարականի՝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կից ներկայացնում ենք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կենսաթոշակառուներին անկանխիկ գործարքներից հետվճար տրամադրելու պետություն-մասնավոր գործակցության 2022-2025 թվականների օժանդակության ծրագիրը հաստատելու մասին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»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Հայաստանի Հանրապետության կառավարության որոշման նախագծի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 Հայաստանի Հանրապետության արդարադա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տության նախարարության կարծիքը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։ </w:t>
            </w:r>
            <w:r>
              <w:rPr>
                <w:rFonts w:ascii="GHEA Grapalat" w:eastAsia="Times New Roman" w:hAnsi="GHEA Grapalat" w:cs="Sylfaen"/>
                <w:spacing w:val="-8"/>
                <w:sz w:val="24"/>
                <w:szCs w:val="24"/>
                <w:lang w:val="hy-AM"/>
              </w:rPr>
              <w:t xml:space="preserve">        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գործարքներից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2022-2025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օժանդակության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գիծ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նախաբանից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Սահմանադրության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146-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հղումը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ենթակետերում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«N 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բառերով՝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3.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գործարքներից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2022-2025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օժանդակության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մինչդեռ՝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բացակայում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հանդիսանում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առնելով՝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վերևի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անկյունում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լրացում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4.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1-3-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կետերն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հիմնավորման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5.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ենթակետում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հստակեցնել՝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Ծառայությանն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կարգավորումը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բառերով՝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284-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դիտողությունը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բոլոր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որտեղ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ձևակերպումը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6.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բառերով՝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կարճ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անվանման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տարբերանշանի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լինելու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հավաստումը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7.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ձևակերպման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գործըն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կերության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13-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որի՝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ՊՄԳ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ենթակառուցվածքի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կառուցմանը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բարելավմանը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շահագործմանը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տեխնիկական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սպասարկմանը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միտված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ռիսկերը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գործընկերոջ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որն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առնվազն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հինգ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տևողություն՝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հաշվարկված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ՊՄԳ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պայմանագիրն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ուժի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մտնելու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բոլոր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նախապայմանների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(conditions precedent)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օրվանից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Տվյալ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ասխանում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դրույթի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պահանջներին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հետևաբար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ձևակերպումն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վերանայման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կարիք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մատուցող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բառերն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փոխարինել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բառով՝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առևտրի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մատուցող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8.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ամենամսյա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պարգևավճար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ձևակերպումն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հստակեցնել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մասնավորապես՝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Զինվորական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զինծառայողի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կարգավիճակի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ամենամսյա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պարգևավճարին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9.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ենթակետի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դառնալու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284-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առայության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կնքած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շրջանակում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կնքում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մասնակցության՝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284-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բանկային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հաշվին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մուտքագրվում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բացառապես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պարբերական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վճարի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գումարը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Տվյալ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օժանդակություն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գտնում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անհրաժեշտութ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կառաջանա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հավելվածում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վերանայման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կարիք՝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գործարքներից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ձևով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հետևաբար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անհասկանա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գյուղական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բնակավայրերում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գործելը՝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11.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17-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չափ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10%,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մինչդեռ՝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գյուղական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բնակավայրերում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տեղադրված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ԱԳՍ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միջոցով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գործարքների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հատկացումն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կկազմի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13%: </w:t>
            </w:r>
          </w:p>
          <w:p w:rsidR="00023D6F" w:rsidRDefault="008F72F3">
            <w:pPr>
              <w:spacing w:after="40"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12.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պարզաբանման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կարիք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ակնկալվող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արդյունք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առնվազն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ամիս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անընդմեջ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ստանալը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2022-2025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գտնում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նախատեսված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հաշվարկն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ըստ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տարիների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պարզաբանման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կարիք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օգտվելը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պայմանավորված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հետևաբար՝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հնարավոր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կանխատեսել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կցուցաբերի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4776" w:type="dxa"/>
          </w:tcPr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Առաջարկություն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րկություն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մասամբ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գլուխը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վերանվանվել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«1.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ՆԵՐԱԾՈՒԹՅՈՒՆ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ետից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հաջորդ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գլուխ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ձևավորվել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գլուխ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«2.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ԴՐՈՒՅԹՆԵՐ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անվամբ։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դրանից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շարք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տրամաբանությամբ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մասնավորապես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իրավիճակը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խնդիրները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այլն։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Տվյալ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բխեցվել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տրամաբանությունից։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արկությունը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դուրս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գործընկերության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կարգավորվող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իրավահարաբերության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շրջանակներից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ուղղվածությունը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բնույթ։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վերախմբագրվել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անդրադրարձ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կկատարվի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առաջարոկությանը։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Առաջարկությունը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վերախմբագրված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տարբերա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բոլոր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պայմանները։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վերախմբագրված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տարբերա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բոլոր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պայմանները։</w:t>
            </w:r>
          </w:p>
          <w:p w:rsidR="00023D6F" w:rsidRDefault="008F72F3">
            <w:pPr>
              <w:pStyle w:val="ListParagraph"/>
              <w:numPr>
                <w:ilvl w:val="0"/>
                <w:numId w:val="18"/>
              </w:numPr>
              <w:spacing w:after="160"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Առաջարկությունը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մշակելիս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թիրախները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գործառնությունն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կիրառելիության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ընդլայնման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հասնելու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հասնելու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խթաններ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նախատեսում։</w:t>
            </w:r>
          </w:p>
          <w:p w:rsidR="00023D6F" w:rsidRDefault="00023D6F">
            <w:pPr>
              <w:spacing w:line="26" w:lineRule="atLeast"/>
              <w:ind w:left="511" w:hanging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23D6F">
        <w:trPr>
          <w:trHeight w:val="405"/>
          <w:jc w:val="center"/>
        </w:trPr>
        <w:tc>
          <w:tcPr>
            <w:tcW w:w="9445" w:type="dxa"/>
            <w:vMerge w:val="restart"/>
          </w:tcPr>
          <w:p w:rsidR="00023D6F" w:rsidRDefault="008F72F3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spacing w:line="360" w:lineRule="auto"/>
              <w:ind w:left="22" w:hanging="2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Էկոնոմիկայի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4776" w:type="dxa"/>
          </w:tcPr>
          <w:p w:rsidR="00023D6F" w:rsidRDefault="008F72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10.05.2022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023D6F">
        <w:trPr>
          <w:trHeight w:val="570"/>
          <w:jc w:val="center"/>
        </w:trPr>
        <w:tc>
          <w:tcPr>
            <w:tcW w:w="9445" w:type="dxa"/>
            <w:vMerge/>
          </w:tcPr>
          <w:p w:rsidR="00023D6F" w:rsidRDefault="00023D6F">
            <w:pPr>
              <w:pStyle w:val="ListParagraph"/>
              <w:numPr>
                <w:ilvl w:val="0"/>
                <w:numId w:val="13"/>
              </w:numPr>
              <w:tabs>
                <w:tab w:val="left" w:pos="3420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կարգով</w:t>
            </w:r>
          </w:p>
        </w:tc>
      </w:tr>
      <w:tr w:rsidR="00023D6F" w:rsidRPr="00FC4D30">
        <w:trPr>
          <w:trHeight w:val="3887"/>
          <w:jc w:val="center"/>
        </w:trPr>
        <w:tc>
          <w:tcPr>
            <w:tcW w:w="9445" w:type="dxa"/>
          </w:tcPr>
          <w:p w:rsidR="00023D6F" w:rsidRDefault="008F72F3">
            <w:pPr>
              <w:spacing w:line="26" w:lineRule="atLeast"/>
              <w:ind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 կատարումն ՀՀ վարչապետի 2022 թվականի մայիսի 10-ի թիվ 02/11./14653-2022 հանձնարարականի՝ քննության առնելով «Հայաստանի Հանրապետության կենսաթոշակառուներին անկանխիկ գործարքներից հետվճար տրամադրելու պետություն-մասնավոր գործակցության 2022-2025 թվականների օժանդակ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ության ծրագիրը հաստատելու մասին» որոշման նախագիծը (այսուհետ՝ Նախագիծ), հայտնում ենք հետևյալը.</w:t>
            </w:r>
          </w:p>
          <w:p w:rsidR="00023D6F" w:rsidRDefault="008F72F3">
            <w:pPr>
              <w:pStyle w:val="ListParagraph"/>
              <w:numPr>
                <w:ilvl w:val="0"/>
                <w:numId w:val="21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Նախագծով առաջարկվում է կենսաթոշակառուներին անկանխիկ վճարումների համար գործարքի գումարից հետվճար կատարելու հնարավորության սահմանում՝ 10%-ի չափով, որում պետության 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ասնակցության մասնաբաժինը կազմելու է 4%, գյուղական բնակավայրերում՝ 7%, իսկ 3-ական տոկոսը ձևավորվում է համամասնորեն մասնակից կազմակերպության և համագործակցող բանկի հատկացումներից: Կարծում ենք, որ Ծրագիրն աննշան փոփոխություն է մտցնելու կենսաթոշակառուների կյանք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ում, քանի որ Ծրագրով նշված թիրախներն անիրատեսական են և առնվազն տասը անգամ ցածր արդյունք կարող է արձանագրվել։</w:t>
            </w:r>
            <w:r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:rsidR="00023D6F" w:rsidRDefault="008F72F3">
            <w:pPr>
              <w:pStyle w:val="ListParagraph"/>
              <w:numPr>
                <w:ilvl w:val="0"/>
                <w:numId w:val="21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Հաշվի առնելով այն հանգամանքը, որ թեև Նախագծով սահմանվող Ծրագրում մասնակցում են Ծրագրի հրապարակային օֆերտան ակցեպտավորած կազմակերպությունները, սակա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յն հասկանալի չէ տվյալ պարագայում տնտեսավարողների օգուտը, քանի որ վերջիններս արդեն իսկ վճարում են տարբեր տեսակի հարկեր և տուրքեր: Ավելին՝ կարծում ենք, որ մասնակից կազմակերպություններն ամենայն հավանականությամբ հենց առաջին անհրաժեշտության ապրանքները (շաքար, ձ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եթ, հաց, միս, միրգ, բանջարեղեն, ձու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և այլն) չեն ներառի զեղչվող ապրանքատեսականու մեջ, քանի որ այդ ապրանքների մարժաները սովորաբար առանց այդ էլ շատ ցածր են։</w:t>
            </w:r>
          </w:p>
          <w:p w:rsidR="00023D6F" w:rsidRDefault="008F72F3">
            <w:pPr>
              <w:pStyle w:val="ListParagraph"/>
              <w:numPr>
                <w:ilvl w:val="0"/>
                <w:numId w:val="21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Հիմնավորման կարիք ունի նաև այն հանգամանքը, թե ինչի՞ հիման վրա է հաշվարկվել ներկայացված տոկոսադրույքը,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քանի որ կարծում ենք, որ վերջինս ֆինանսական բեռ կառաջացնի մասնակից կազմակերպության համար և անհրաժեշտ է հստակեցնել՝ արդյո՞ք վերջիններս այդ հատկացումների դիմաց պետությունից ստանալու են սուբսիդիա:</w:t>
            </w:r>
          </w:p>
          <w:p w:rsidR="00023D6F" w:rsidRDefault="008F72F3">
            <w:pPr>
              <w:pStyle w:val="ListParagraph"/>
              <w:numPr>
                <w:ilvl w:val="0"/>
                <w:numId w:val="21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Առաջարկում ենք նաև Նախագծի հիմնավորման մեջ ներկայացնել սահմանվո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ղ դրույքաչափերի հիմնավոր հաշվարկներ, քանի որ գյուղական համայնքներում ստացվում է 13%-ի չափով հետվճարի իրականացում, իսկ Նախագծում նշվում է, որ Ծրագրով նախատեսված՝ անկանխիկ գործարքի գումարի հետվճարի չափը կազմում է 10%։</w:t>
            </w:r>
          </w:p>
          <w:p w:rsidR="00023D6F" w:rsidRDefault="008F72F3">
            <w:pPr>
              <w:pStyle w:val="ListParagraph"/>
              <w:numPr>
                <w:ilvl w:val="0"/>
                <w:numId w:val="21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Հարկ ենք համարում նշել նաև, որ Նախագծի 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ամաձայն՝ Ծրագրի մասնակիցների հատկացումներից անկանխիկ գործարքի գումարի 10% հետվճարից Կազմակերպություններում տեղադրված ԱԳՍ–երի միջոցով գործարքների դեպքում պետության մասնակցության մասնաբաժինը կազմելու է 4%, իսկ գյուղական բնակավայրերում՝ 7%։ </w:t>
            </w:r>
          </w:p>
          <w:p w:rsidR="00023D6F" w:rsidRDefault="008F72F3">
            <w:pPr>
              <w:pStyle w:val="ListParagraph"/>
              <w:numPr>
                <w:ilvl w:val="0"/>
                <w:numId w:val="21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Նախագծի հիմնավորմ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ամբ հաշվարկված և տրամադրված չեն վերոնշյալ տոկոսային հարաբերակցության դրամային արտահայտությամբ փոխհատուցման ծավալը, որն, ըստ էության, պետք է վճարվի ՀՀ պետական բյուջեի միջոցների հաշվին։ Հետևապես՝ տրված չէ նաև պետական բյուջեի վրա Նախագծի ֆինանսական ազդեցությա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 գնահատականը։   </w:t>
            </w:r>
          </w:p>
          <w:p w:rsidR="00023D6F" w:rsidRDefault="00023D6F">
            <w:pPr>
              <w:spacing w:line="360" w:lineRule="auto"/>
              <w:ind w:firstLine="44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23D6F" w:rsidRDefault="00023D6F">
            <w:pPr>
              <w:spacing w:line="360" w:lineRule="auto"/>
              <w:ind w:firstLine="44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23D6F" w:rsidRDefault="00023D6F">
            <w:pPr>
              <w:tabs>
                <w:tab w:val="left" w:pos="3420"/>
              </w:tabs>
              <w:spacing w:line="360" w:lineRule="auto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pStyle w:val="ListParagraph"/>
              <w:numPr>
                <w:ilvl w:val="0"/>
                <w:numId w:val="22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Կարծում ենք, որ Ծրագիրը կարող է էական ազդեցություն թողնել կենսաթոշակառուների՝ գնումներ կատարելու վարքագծում (նկատի ունենք կանխիկ կիրառումից անկանխիկ գործառնություններին անցումը) և հաշվի առնելով ստացվող հետվճարի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մեծությունը՝ այն լուրջ խթան կարող է հանդիսանալ շահառուների համար, քանի որ միջին կենսաթոշակը էականորեն ցածր է նվազագույն սպառողական զամբյուղի մեծությունից, հետևաբար հետվճարի չափը էական կազդի կենսաթոշակառուի՝ հատկապես այլ եկամուտ չունեցողների վրա։</w:t>
            </w:r>
          </w:p>
          <w:p w:rsidR="00023D6F" w:rsidRDefault="008F72F3">
            <w:pPr>
              <w:pStyle w:val="ListParagraph"/>
              <w:numPr>
                <w:ilvl w:val="0"/>
                <w:numId w:val="22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Տնտեսվարո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ղների կողմից որոշ ապրանքատեսակներ հետվճարի համակարգից հանելը գործնականում հնարավոր չէ, քանի որ հաշվառումը կատարվելու է տվյալ տնտեսվարողի մոտ տեղադրված ԱԳՍ-ներով կենսաթոշակային քարտով գործարքներից, գործարքի պահին որևէ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գործողություն դրամարկղի աշխատա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կի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ցը չի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կատարելու։ Բացի դրանից, մաս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նակից կազմակերպությունների մասնակ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ցությունը Ծրագրին արժենում է ընդամենը 3%, և եթե նույնիսկ շաքարավազի մարժան լինի 5%, ապա դա չի խոչընդոտի միանալ ծրագրին, որովհետև թոշակառուների շրջանառու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թյունը տվյալ կետում, և հատկապես նշված ապ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րանքատեսակների մասով՝ շատ չնչին մասնաբաժին ունի, և էական ազդեցություն չի կարող ունենալ տնտեսվարողի շահույթի վրա։ Բացի դրանից, տնտեսվարողները շահագրգռված կլինեն մասնացել Ծրագրին, հաշվի առնելով նաև սոցիալական պատասխանատվության մասնակցայնությունը, լրացուցիչ շ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րջանառություն ստանալու ակնկալիքները, ինչպես նաև մարքեթինգային հնարավորությունները։</w:t>
            </w:r>
          </w:p>
          <w:p w:rsidR="00023D6F" w:rsidRDefault="008F72F3">
            <w:pPr>
              <w:pStyle w:val="ListParagraph"/>
              <w:numPr>
                <w:ilvl w:val="0"/>
                <w:numId w:val="22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Կազմակերպությունները պետությունից մասնակցության համար չեն ստանալու։ Բացի դրանից, որոշ տնտեսվարողների հետ քննարկումները հիմք է տալիս կարծելու, որ բարձր պատրաստակամություն կցո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ւցաբերվի վերջիիներևիս կողմից Ծրագրի մասնակիցը դառնալու համար։</w:t>
            </w:r>
          </w:p>
          <w:p w:rsidR="00023D6F" w:rsidRDefault="008F72F3">
            <w:pPr>
              <w:pStyle w:val="ListParagraph"/>
              <w:numPr>
                <w:ilvl w:val="0"/>
                <w:numId w:val="22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lastRenderedPageBreak/>
              <w:t>Առաջարկն ընդունվել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վերախմբագրված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տարբերա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բոլոր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վերանայվել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հիմնավորումներում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հաշվարկները։</w:t>
            </w:r>
          </w:p>
          <w:p w:rsidR="00023D6F" w:rsidRDefault="008F72F3">
            <w:pPr>
              <w:pStyle w:val="ListParagraph"/>
              <w:numPr>
                <w:ilvl w:val="0"/>
                <w:numId w:val="22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վերախմբագրված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բոլոր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պայմանները։</w:t>
            </w:r>
          </w:p>
          <w:p w:rsidR="00023D6F" w:rsidRDefault="008F72F3">
            <w:pPr>
              <w:pStyle w:val="ListParagraph"/>
              <w:numPr>
                <w:ilvl w:val="0"/>
                <w:numId w:val="22"/>
              </w:numPr>
              <w:spacing w:line="26" w:lineRule="atLeast"/>
              <w:ind w:left="0" w:firstLine="44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Հիմնավորման մեջ կատարվել է լրամշակումներ</w:t>
            </w:r>
          </w:p>
        </w:tc>
      </w:tr>
      <w:tr w:rsidR="00023D6F">
        <w:trPr>
          <w:trHeight w:val="480"/>
          <w:jc w:val="center"/>
        </w:trPr>
        <w:tc>
          <w:tcPr>
            <w:tcW w:w="9445" w:type="dxa"/>
            <w:vMerge w:val="restart"/>
          </w:tcPr>
          <w:p w:rsidR="00023D6F" w:rsidRDefault="008F72F3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spacing w:line="360" w:lineRule="auto"/>
              <w:ind w:left="22" w:hanging="2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Ֆինանսների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4776" w:type="dxa"/>
          </w:tcPr>
          <w:p w:rsidR="00023D6F" w:rsidRDefault="008F72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10.05.2022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023D6F">
        <w:trPr>
          <w:trHeight w:val="493"/>
          <w:jc w:val="center"/>
        </w:trPr>
        <w:tc>
          <w:tcPr>
            <w:tcW w:w="9445" w:type="dxa"/>
            <w:vMerge/>
          </w:tcPr>
          <w:p w:rsidR="00023D6F" w:rsidRDefault="00023D6F">
            <w:pPr>
              <w:pStyle w:val="ListParagraph"/>
              <w:numPr>
                <w:ilvl w:val="0"/>
                <w:numId w:val="13"/>
              </w:numPr>
              <w:tabs>
                <w:tab w:val="left" w:pos="3420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կարգով</w:t>
            </w:r>
          </w:p>
        </w:tc>
      </w:tr>
      <w:tr w:rsidR="00023D6F" w:rsidRPr="00FC4D30">
        <w:trPr>
          <w:trHeight w:val="70"/>
          <w:jc w:val="center"/>
        </w:trPr>
        <w:tc>
          <w:tcPr>
            <w:tcW w:w="9445" w:type="dxa"/>
          </w:tcPr>
          <w:p w:rsidR="00023D6F" w:rsidRDefault="008F72F3">
            <w:pPr>
              <w:spacing w:line="26" w:lineRule="atLeast"/>
              <w:ind w:firstLine="447"/>
              <w:jc w:val="both"/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կատարումն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վարչապետի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2022 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մայիսի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10-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02/11./14653-2022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հանձնարարականի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քննության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առնելով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կենսաթոշակառուներին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գործարքներից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տրամադրելու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գործակցության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2022-2025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թվականների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օժանդակ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ության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հաստատելու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նախագիծը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Նախագիծ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),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հայտնում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>հետևյալը</w:t>
            </w:r>
            <w:r>
              <w:rPr>
                <w:rFonts w:ascii="GHEA Grapalat" w:hAnsi="GHEA Grapalat" w:cs="Calibri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. </w:t>
            </w:r>
          </w:p>
          <w:p w:rsidR="00023D6F" w:rsidRDefault="008F72F3">
            <w:pPr>
              <w:pStyle w:val="ListParagraph"/>
              <w:numPr>
                <w:ilvl w:val="0"/>
                <w:numId w:val="23"/>
              </w:numPr>
              <w:spacing w:line="26" w:lineRule="atLeast"/>
              <w:ind w:left="22" w:firstLine="425"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հնարավոր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լինելու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գործարկել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մեծ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առևտրի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ցանցերում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ավելի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շուտ՝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երկու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առևտրային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ցանցերում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օրինակ՝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ՍԱՍ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սուպերմարկետի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գնային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քաղաքականությունը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հաշվի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առնելով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դժվար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թե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թոշակառուները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այնեղից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առևտուր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անեն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Հետևաբար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ստացվում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պետությունը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սուբսիդավորում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առևտրային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ցանցի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քաղաքների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խոսքը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),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որը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առանց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էլ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գերիշխող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դիրք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զբաղեցնում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պարենային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ապրանքների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իրացման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շուկայում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pStyle w:val="ListParagraph"/>
              <w:numPr>
                <w:ilvl w:val="0"/>
                <w:numId w:val="23"/>
              </w:numPr>
              <w:spacing w:line="26" w:lineRule="atLeast"/>
              <w:ind w:left="22" w:firstLine="425"/>
              <w:jc w:val="both"/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Մյուս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կողմի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ց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աջակցության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տեսանկյունից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անհասկանալի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թե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պետությունը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ինչու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սուբսիդավորում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առաջին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անհրաժեշտության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ապրանքների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ցանկից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դուրս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գտվող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ապրանքների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գնումը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ինչը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մեր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կարծիքով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ևս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անարդար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023D6F" w:rsidRDefault="00023D6F">
            <w:pPr>
              <w:spacing w:line="360" w:lineRule="auto"/>
              <w:ind w:firstLine="70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pStyle w:val="ListParagraph"/>
              <w:numPr>
                <w:ilvl w:val="0"/>
                <w:numId w:val="24"/>
              </w:numPr>
              <w:spacing w:line="26" w:lineRule="atLeast"/>
              <w:ind w:left="85" w:firstLine="362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Առաջարկում ենք ցանցային սուպերմարկետների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 շուկայում գերիշխող դիրքի հետ կապված խնդիրները քննարկել մանրածախ առևտրի շուկայի կառուցվածքի, ՓՄՁ տնտեսվարողների և դրան ուղղված պետության քաղաքականության համատեքստում, քանի որ խոցելի խմբերի օժանդակության Ծրագիրը չի կարող էական ազդեցություն ունենալ իրավիճակ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 վրա և խորացնել խնդիրը։</w:t>
            </w:r>
          </w:p>
          <w:p w:rsidR="00023D6F" w:rsidRDefault="008F72F3">
            <w:pPr>
              <w:pStyle w:val="ListParagraph"/>
              <w:numPr>
                <w:ilvl w:val="0"/>
                <w:numId w:val="24"/>
              </w:numPr>
              <w:spacing w:line="26" w:lineRule="atLeast"/>
              <w:ind w:left="85" w:firstLine="362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Առաջարկն ընդունվել է, վերա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նայ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վել (նեղացվել) է մասնակից կազմա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կեր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պությունների գործունեության շրջանակը։</w:t>
            </w:r>
          </w:p>
        </w:tc>
      </w:tr>
      <w:tr w:rsidR="00023D6F">
        <w:trPr>
          <w:trHeight w:val="360"/>
          <w:jc w:val="center"/>
        </w:trPr>
        <w:tc>
          <w:tcPr>
            <w:tcW w:w="9445" w:type="dxa"/>
            <w:vMerge w:val="restart"/>
          </w:tcPr>
          <w:p w:rsidR="00023D6F" w:rsidRDefault="008F72F3">
            <w:pPr>
              <w:pStyle w:val="ListParagraph"/>
              <w:numPr>
                <w:ilvl w:val="0"/>
                <w:numId w:val="13"/>
              </w:numPr>
              <w:tabs>
                <w:tab w:val="left" w:pos="3420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Կենտրոնական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բանկ</w:t>
            </w:r>
          </w:p>
        </w:tc>
        <w:tc>
          <w:tcPr>
            <w:tcW w:w="4776" w:type="dxa"/>
          </w:tcPr>
          <w:p w:rsidR="00023D6F" w:rsidRDefault="008F72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10.05.2022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023D6F">
        <w:trPr>
          <w:trHeight w:val="615"/>
          <w:jc w:val="center"/>
        </w:trPr>
        <w:tc>
          <w:tcPr>
            <w:tcW w:w="9445" w:type="dxa"/>
            <w:vMerge/>
          </w:tcPr>
          <w:p w:rsidR="00023D6F" w:rsidRDefault="00023D6F">
            <w:pPr>
              <w:pStyle w:val="ListParagraph"/>
              <w:numPr>
                <w:ilvl w:val="0"/>
                <w:numId w:val="13"/>
              </w:numPr>
              <w:tabs>
                <w:tab w:val="left" w:pos="3420"/>
              </w:tabs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կարգով</w:t>
            </w:r>
          </w:p>
        </w:tc>
      </w:tr>
      <w:tr w:rsidR="00023D6F" w:rsidRPr="00FC4D30">
        <w:trPr>
          <w:trHeight w:val="70"/>
          <w:jc w:val="center"/>
        </w:trPr>
        <w:tc>
          <w:tcPr>
            <w:tcW w:w="9445" w:type="dxa"/>
          </w:tcPr>
          <w:p w:rsidR="00023D6F" w:rsidRDefault="008F72F3">
            <w:pPr>
              <w:spacing w:line="26" w:lineRule="atLeast"/>
              <w:ind w:firstLine="447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կատարումն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վարչապետի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մայիսի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02/11./14653-2022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հանձնարարականի՝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կենսաթոշակառուներին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գործարքներից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տրամադրելու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գործակցության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2022-2025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թվականների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օժանդակության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հաստատելու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նախագիծը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Նախագիծ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),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հայտնում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հետևյալը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  <w:p w:rsidR="00023D6F" w:rsidRDefault="008F72F3">
            <w:pPr>
              <w:pStyle w:val="ListParagraph"/>
              <w:numPr>
                <w:ilvl w:val="0"/>
                <w:numId w:val="20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հստակեցնել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արդյո՞ք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պատրաստ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շրջանակում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դիմաց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կնքած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լինել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հրապարակային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օֆերտա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ակցեպտավորող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որևէ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գալու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հանգամանքից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անհարժեշտ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17-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pStyle w:val="ListParagraph"/>
              <w:numPr>
                <w:ilvl w:val="0"/>
                <w:numId w:val="20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իմաստով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արդյո՞ք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հստակ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դիրքորոշումը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Ապագայի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տեղեկատվական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ֆինանսական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հոսքերի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փոխանակման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տարանջատման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հնարավոր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առաջանան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խնդիրներ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մեկնարկը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հատկապես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pStyle w:val="ListParagraph"/>
              <w:numPr>
                <w:ilvl w:val="0"/>
                <w:numId w:val="20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Նշենք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այսօրվա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կնքած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ցանկում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թվում՝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ՎՏԲ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թողարկված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քարտերը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մոտ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120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սահմանափակ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օգտագործման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հնարավորություն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pStyle w:val="ListParagraph"/>
              <w:numPr>
                <w:ilvl w:val="0"/>
                <w:numId w:val="20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մտավախություն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վաճառողները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բարձրացնել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սակագներն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մեխանիզմներ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արդյունքում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հնարավո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կլինի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հսկողություն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մոնիտորինգ՝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Համագործակցող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մատուցվող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վաճառվող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ապրանքների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3D6F" w:rsidRDefault="008F72F3">
            <w:pPr>
              <w:pStyle w:val="ListParagraph"/>
              <w:numPr>
                <w:ilvl w:val="0"/>
                <w:numId w:val="20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դրույթ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ներառել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յուղերի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բնակիչների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կանխիկի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վերադարձից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մեկանգամյա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դեբետագրվի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վերջիններիս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պարագայում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դուրս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գալու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Հայփոստի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բյուջեից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մոտ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7-10000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կանխիկով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սպասարկելու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10-20000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այսինքն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երկու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կանխիկի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սպասարկման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չափով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023D6F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pStyle w:val="ListParagraph"/>
              <w:numPr>
                <w:ilvl w:val="0"/>
                <w:numId w:val="25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Ոչ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պետությունը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մասնակցում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միայն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դեպքում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եթե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կազմակերպությունը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միացել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ծրագրին։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Բանկերի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դեպքում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չմասնակցելը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փոքր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հավանական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023D6F" w:rsidRDefault="008F72F3">
            <w:pPr>
              <w:pStyle w:val="ListParagraph"/>
              <w:numPr>
                <w:ilvl w:val="0"/>
                <w:numId w:val="25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Բանկերի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հստակ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դիրքորոշումը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դեռևս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չկա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պատճառով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որ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այս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նախագծով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սահմանվում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Ծրագրի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պայմանները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իսկ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դրանից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բխող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կարգը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մշակելու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փուլում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բանկերի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նախատեսվում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աշխատանքային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քննարկումներ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և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Ծրագրի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իրացման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լուծումներ։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Ըստ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էության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ծրագրի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փաստացի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մեկնարկը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տրվելու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կարգն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ուժի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մեջ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մտնելուն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պես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023D6F" w:rsidRDefault="008F72F3">
            <w:pPr>
              <w:pStyle w:val="ListParagraph"/>
              <w:numPr>
                <w:ilvl w:val="0"/>
                <w:numId w:val="25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Ըստ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ԱՍՀՆ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տեղեկությունների՝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ՎՏԲ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բանկի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քարտերը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ՀՀ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տարածքում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գործող</w:t>
            </w:r>
            <w:r>
              <w:rPr>
                <w:rFonts w:ascii="GHEA Grapalat" w:hAnsi="GHEA Grapalat"/>
                <w:lang w:val="hy-AM"/>
              </w:rPr>
              <w:t xml:space="preserve"> POS-</w:t>
            </w:r>
            <w:r>
              <w:rPr>
                <w:rFonts w:ascii="GHEA Grapalat" w:hAnsi="GHEA Grapalat"/>
                <w:lang w:val="hy-AM"/>
              </w:rPr>
              <w:t>երում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վճարումների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խնդիր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չունեն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սահմանափակումներ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միայն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այլ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երկրների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տարածքում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գործող</w:t>
            </w:r>
            <w:r>
              <w:rPr>
                <w:rFonts w:ascii="GHEA Grapalat" w:hAnsi="GHEA Grapalat"/>
                <w:lang w:val="hy-AM"/>
              </w:rPr>
              <w:t xml:space="preserve"> POS-</w:t>
            </w:r>
            <w:r>
              <w:rPr>
                <w:rFonts w:ascii="GHEA Grapalat" w:hAnsi="GHEA Grapalat"/>
                <w:lang w:val="hy-AM"/>
              </w:rPr>
              <w:t>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և</w:t>
            </w:r>
            <w:r>
              <w:rPr>
                <w:rFonts w:ascii="GHEA Grapalat" w:hAnsi="GHEA Grapalat"/>
                <w:lang w:val="hy-AM"/>
              </w:rPr>
              <w:t xml:space="preserve"> VPOS-</w:t>
            </w:r>
            <w:r>
              <w:rPr>
                <w:rFonts w:ascii="GHEA Grapalat" w:hAnsi="GHEA Grapalat"/>
                <w:lang w:val="hy-AM"/>
              </w:rPr>
              <w:t>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մասով։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Համենայնդեպս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խնդրով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բողոքներ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չեն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ստացվել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023D6F" w:rsidRDefault="008F72F3">
            <w:pPr>
              <w:pStyle w:val="ListParagraph"/>
              <w:numPr>
                <w:ilvl w:val="0"/>
                <w:numId w:val="25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Գներ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բարձրացնելը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փոքր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անտրամաբանական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կլինի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մասնակիցների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կողմից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մասնավորապես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հասկանալի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թե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ինչու՞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պետք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է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քիչ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թե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շատ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մրցակցային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դիրք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ունեցող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խանութը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թոշակառուների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համար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կամավոր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մասնակցի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ծրագրին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մի</w:t>
            </w:r>
            <w:r>
              <w:rPr>
                <w:rFonts w:ascii="GHEA Grapalat" w:hAnsi="GHEA Grapalat"/>
                <w:lang w:val="hy-AM"/>
              </w:rPr>
              <w:t>ևնույն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ժամանակ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բոլորի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համար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բարձրացնի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գները՝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դարձնելով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իր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դիրքը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ոչ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մրցակցային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023D6F" w:rsidRDefault="008F72F3">
            <w:pPr>
              <w:pStyle w:val="ListParagraph"/>
              <w:numPr>
                <w:ilvl w:val="0"/>
                <w:numId w:val="25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Առաջարկն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ընդունվույմ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է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t>գիտություն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առաջարկում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ենք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նշված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առաջարկությունը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կենսաթոշակների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անկանխիկ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վճարման՝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օրենքով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նախատեսված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ժամանակացույցի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ներդրման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կոնտեքստում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քննարկել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նման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խ</w:t>
            </w:r>
            <w:r>
              <w:rPr>
                <w:rFonts w:ascii="GHEA Grapalat" w:hAnsi="GHEA Grapalat"/>
                <w:lang w:val="hy-AM"/>
              </w:rPr>
              <w:t>թանիչները։</w:t>
            </w:r>
          </w:p>
          <w:p w:rsidR="00023D6F" w:rsidRDefault="00023D6F">
            <w:pPr>
              <w:spacing w:line="36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23D6F">
        <w:trPr>
          <w:trHeight w:val="285"/>
          <w:jc w:val="center"/>
        </w:trPr>
        <w:tc>
          <w:tcPr>
            <w:tcW w:w="9445" w:type="dxa"/>
            <w:vMerge w:val="restart"/>
          </w:tcPr>
          <w:p w:rsidR="00023D6F" w:rsidRDefault="008F72F3">
            <w:pPr>
              <w:pStyle w:val="ListParagraph"/>
              <w:numPr>
                <w:ilvl w:val="0"/>
                <w:numId w:val="20"/>
              </w:numPr>
              <w:tabs>
                <w:tab w:val="left" w:pos="342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կոմիտե</w:t>
            </w:r>
          </w:p>
        </w:tc>
        <w:tc>
          <w:tcPr>
            <w:tcW w:w="4776" w:type="dxa"/>
          </w:tcPr>
          <w:p w:rsidR="00023D6F" w:rsidRDefault="008F72F3">
            <w:pPr>
              <w:spacing w:line="360" w:lineRule="auto"/>
              <w:ind w:left="43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10.05.2022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023D6F">
        <w:trPr>
          <w:trHeight w:val="361"/>
          <w:jc w:val="center"/>
        </w:trPr>
        <w:tc>
          <w:tcPr>
            <w:tcW w:w="9445" w:type="dxa"/>
            <w:vMerge/>
          </w:tcPr>
          <w:p w:rsidR="00023D6F" w:rsidRDefault="00023D6F">
            <w:pPr>
              <w:pStyle w:val="ListParagraph"/>
              <w:numPr>
                <w:ilvl w:val="0"/>
                <w:numId w:val="20"/>
              </w:numPr>
              <w:tabs>
                <w:tab w:val="left" w:pos="342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776" w:type="dxa"/>
          </w:tcPr>
          <w:p w:rsidR="00023D6F" w:rsidRDefault="008F72F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/18209-2022</w:t>
            </w:r>
          </w:p>
        </w:tc>
      </w:tr>
      <w:tr w:rsidR="00023D6F" w:rsidRPr="00FC4D30">
        <w:trPr>
          <w:trHeight w:val="70"/>
          <w:jc w:val="center"/>
        </w:trPr>
        <w:tc>
          <w:tcPr>
            <w:tcW w:w="9445" w:type="dxa"/>
          </w:tcPr>
          <w:p w:rsidR="00023D6F" w:rsidRDefault="008F72F3">
            <w:pPr>
              <w:spacing w:line="26" w:lineRule="atLeast"/>
              <w:ind w:firstLine="44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կոմիտեն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քննարկել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գործարքներից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2022-2025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օժանդակության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հայտնում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հետևյալը։</w:t>
            </w:r>
          </w:p>
          <w:p w:rsidR="00023D6F" w:rsidRDefault="008F72F3">
            <w:pPr>
              <w:pStyle w:val="ListParagraph"/>
              <w:numPr>
                <w:ilvl w:val="0"/>
                <w:numId w:val="26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գործարք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գործակցության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2022-2025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օժանդակության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դրույթներում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եզրույթը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հասկացություն՝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կարիք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շփոթություն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առաջացնել՝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կապված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Կուտակային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հետ։</w:t>
            </w:r>
          </w:p>
          <w:p w:rsidR="00023D6F" w:rsidRDefault="008F72F3">
            <w:pPr>
              <w:pStyle w:val="ListParagraph"/>
              <w:numPr>
                <w:ilvl w:val="0"/>
                <w:numId w:val="26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Խնդրահարույց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6-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տեսակները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կոնկրետ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ապրանքատեսակների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շեշտադրմամբ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դրանով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պայմանավորված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Cashback-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պարտադիր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գործունեության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տեսակնե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էկոնոմիկայի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2013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19-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N874-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հրամանով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տնտեսական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դասա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կարգչին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Միաժամանակ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անորոշ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հանգամանքը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կերպությունն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տեսակ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վերջինիցս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POS-terminal-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ապրանքի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դիմաց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լինելու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ոչ։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սահմանափակել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տեսակները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կոնկրետ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ապրանք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գործնականում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տարանջատումը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հնարավոր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քարտերին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տարբեր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մուտքեր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023D6F" w:rsidRDefault="008F72F3">
            <w:pPr>
              <w:pStyle w:val="ListParagraph"/>
              <w:numPr>
                <w:ilvl w:val="0"/>
                <w:numId w:val="26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17-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անկանխիկ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գործարքի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չափը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10%,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ձևավորվում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որոշակի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համամասնությամբ։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3D6F" w:rsidRDefault="008F72F3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Այս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առումով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նկատի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ունենալ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:rsidR="00023D6F" w:rsidRDefault="008F72F3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147-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բազան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նվազեցվող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ւտները։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նվազեցվող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եկամուտներ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ստեղծված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մշտապես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պետություններից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միջպե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միջկառավարական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անհատույց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ակտիվները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նույն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օգտին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վճարումները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առնելով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վերոնշյալը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եսված՝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անհատույց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մադրվող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ակտիվներ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կհանդիսանան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նվազեցվող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եկամուտներ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ագործակցող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կհաշվարկվի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150-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դրույքաչափով՝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ից՝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23D6F" w:rsidRDefault="008F72F3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113-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համաձայն՝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ռեզիդենտ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շահութահարկ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վճարողի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բազան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որոշելիս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համախառն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նվազեցվում՝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անհատույց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ակտիվները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անհատույց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անհատույց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մատուցված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պարտավորությունները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բացառությամբ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Օրենսգրքի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120-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123-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5-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Այսինքն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կարգավորումներով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որպես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ծախս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նվազեցվելու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համախառն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եկամտից։</w:t>
            </w:r>
          </w:p>
          <w:p w:rsidR="00023D6F" w:rsidRDefault="008F72F3">
            <w:pPr>
              <w:spacing w:line="276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Նպատակահարմար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համարվելու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կարգավորել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օգնության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գումարներ։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շահառու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կհանդիսանան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նվազեցվող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եկամուտներ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հարկվի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օրենսգրքով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նորմայի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գործակալի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համախառն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0.25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ոկոս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ընթացքում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համախառն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եկամտի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ընթացքում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հաշվեգրված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աշխատավարձի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հավասարեցված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հանրագումարի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չգերազանցող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չափ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որում՝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նորմայի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սահմաններում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օգնու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գործակալների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կլինեն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ծախսագրման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23D6F" w:rsidRDefault="008F72F3">
            <w:pPr>
              <w:pStyle w:val="ListParagraph"/>
              <w:numPr>
                <w:ilvl w:val="0"/>
                <w:numId w:val="26"/>
              </w:numPr>
              <w:ind w:left="22" w:firstLine="3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Հանրապետությունում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ներկայումս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ստանում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ավելի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560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քաղաքացի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քարտով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ստացողների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390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հազար։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հիմնավորմամբ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կունենա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ավելացում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մինչև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2,17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մլրդ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չափով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նշել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բյուջեով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նպաստներ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հոդվածով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նախատեսված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572,1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մլրդ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դրամ։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համակարգից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օգտվեն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աթոշակի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50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տոկոսի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չափով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պետության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կողմից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միջին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չափը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5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5%,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6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ամսվա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հետվճարի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կկազմի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14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390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կենսաթոշակառուներինը՝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5,5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մլրդ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դրամ։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եթե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390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հազար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կենսաթոշակառուներն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ամբողջ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ծավալով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օգվեն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ծրագրից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հաշվարկային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տվյալներով՝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հետագա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տարիների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ծախսը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կկազմի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շուրջ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15,7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մլրդ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դրամ։</w:t>
            </w:r>
          </w:p>
        </w:tc>
        <w:tc>
          <w:tcPr>
            <w:tcW w:w="4776" w:type="dxa"/>
          </w:tcPr>
          <w:p w:rsidR="00023D6F" w:rsidRDefault="008F72F3">
            <w:pPr>
              <w:pStyle w:val="ListParagraph"/>
              <w:numPr>
                <w:ilvl w:val="0"/>
                <w:numId w:val="27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Առաջարկն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խմբագրումներ։</w:t>
            </w:r>
          </w:p>
          <w:p w:rsidR="00023D6F" w:rsidRDefault="008F72F3">
            <w:pPr>
              <w:pStyle w:val="ListParagraph"/>
              <w:numPr>
                <w:ilvl w:val="0"/>
                <w:numId w:val="27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եսակները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համապատասխանեցվել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էկոնոմիկայի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2013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սեպտեմբերի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19-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N874-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հրամանով</w:t>
            </w:r>
            <w:r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տնտեսական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դասա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կարգչով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կոդերին։</w:t>
            </w:r>
          </w:p>
          <w:p w:rsidR="00023D6F" w:rsidRDefault="008F72F3">
            <w:pPr>
              <w:pStyle w:val="ListParagraph"/>
              <w:numPr>
                <w:ilvl w:val="0"/>
                <w:numId w:val="27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գիտություն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քննարկել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առաջարկը։</w:t>
            </w:r>
          </w:p>
          <w:p w:rsidR="00023D6F" w:rsidRDefault="008F72F3">
            <w:pPr>
              <w:pStyle w:val="ListParagraph"/>
              <w:numPr>
                <w:ilvl w:val="0"/>
                <w:numId w:val="27"/>
              </w:numPr>
              <w:ind w:left="0" w:firstLine="36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Հաշվարկները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ճշգրիտ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չեն։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Հաշվարկներում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ԱՍՀՆ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2022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գտած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ցուցանիշներից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էականորեն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տարբերվող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ցուցանիշներ</w:t>
            </w:r>
          </w:p>
        </w:tc>
      </w:tr>
    </w:tbl>
    <w:p w:rsidR="00023D6F" w:rsidRDefault="00023D6F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sectPr w:rsidR="00023D6F">
      <w:headerReference w:type="default" r:id="rId8"/>
      <w:pgSz w:w="15840" w:h="12240" w:orient="landscape"/>
      <w:pgMar w:top="1080" w:right="709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F3" w:rsidRDefault="008F72F3">
      <w:pPr>
        <w:spacing w:after="0" w:line="240" w:lineRule="auto"/>
      </w:pPr>
      <w:r>
        <w:separator/>
      </w:r>
    </w:p>
  </w:endnote>
  <w:endnote w:type="continuationSeparator" w:id="0">
    <w:p w:rsidR="008F72F3" w:rsidRDefault="008F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F3" w:rsidRDefault="008F72F3">
      <w:pPr>
        <w:spacing w:after="0" w:line="240" w:lineRule="auto"/>
      </w:pPr>
      <w:r>
        <w:separator/>
      </w:r>
    </w:p>
  </w:footnote>
  <w:footnote w:type="continuationSeparator" w:id="0">
    <w:p w:rsidR="008F72F3" w:rsidRDefault="008F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6F" w:rsidRDefault="00023D6F">
    <w:pPr>
      <w:pStyle w:val="Header"/>
      <w:tabs>
        <w:tab w:val="clear" w:pos="4680"/>
        <w:tab w:val="clear" w:pos="9360"/>
        <w:tab w:val="left" w:pos="2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3A1"/>
    <w:multiLevelType w:val="hybridMultilevel"/>
    <w:tmpl w:val="2002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787"/>
    <w:multiLevelType w:val="hybridMultilevel"/>
    <w:tmpl w:val="9762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6F5A"/>
    <w:multiLevelType w:val="hybridMultilevel"/>
    <w:tmpl w:val="8CF05B64"/>
    <w:lvl w:ilvl="0" w:tplc="CF02289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5D9652C"/>
    <w:multiLevelType w:val="hybridMultilevel"/>
    <w:tmpl w:val="6F80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6AD3"/>
    <w:multiLevelType w:val="hybridMultilevel"/>
    <w:tmpl w:val="CD88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4E94"/>
    <w:multiLevelType w:val="hybridMultilevel"/>
    <w:tmpl w:val="CB82DFFA"/>
    <w:lvl w:ilvl="0" w:tplc="461AE0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2AAE1BFF"/>
    <w:multiLevelType w:val="hybridMultilevel"/>
    <w:tmpl w:val="4BB0FA54"/>
    <w:lvl w:ilvl="0" w:tplc="04090011">
      <w:start w:val="1"/>
      <w:numFmt w:val="decimal"/>
      <w:lvlText w:val="%1)"/>
      <w:lvlJc w:val="left"/>
      <w:pPr>
        <w:ind w:left="1264" w:hanging="360"/>
      </w:p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abstractNum w:abstractNumId="7" w15:restartNumberingAfterBreak="0">
    <w:nsid w:val="30167FB2"/>
    <w:multiLevelType w:val="hybridMultilevel"/>
    <w:tmpl w:val="2228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F3603"/>
    <w:multiLevelType w:val="hybridMultilevel"/>
    <w:tmpl w:val="51FA5548"/>
    <w:lvl w:ilvl="0" w:tplc="461AE0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 w15:restartNumberingAfterBreak="0">
    <w:nsid w:val="364C3427"/>
    <w:multiLevelType w:val="hybridMultilevel"/>
    <w:tmpl w:val="51FA5548"/>
    <w:lvl w:ilvl="0" w:tplc="461AE0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0" w15:restartNumberingAfterBreak="0">
    <w:nsid w:val="3BBD7EF8"/>
    <w:multiLevelType w:val="hybridMultilevel"/>
    <w:tmpl w:val="9242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D0AC5"/>
    <w:multiLevelType w:val="hybridMultilevel"/>
    <w:tmpl w:val="AAEA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E11C5"/>
    <w:multiLevelType w:val="hybridMultilevel"/>
    <w:tmpl w:val="1A2448CC"/>
    <w:lvl w:ilvl="0" w:tplc="461AE06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 w15:restartNumberingAfterBreak="0">
    <w:nsid w:val="3FEA39CE"/>
    <w:multiLevelType w:val="hybridMultilevel"/>
    <w:tmpl w:val="644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A15B4"/>
    <w:multiLevelType w:val="hybridMultilevel"/>
    <w:tmpl w:val="EAE4E67A"/>
    <w:lvl w:ilvl="0" w:tplc="655E4FC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3A04"/>
    <w:multiLevelType w:val="hybridMultilevel"/>
    <w:tmpl w:val="9762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B60BF"/>
    <w:multiLevelType w:val="hybridMultilevel"/>
    <w:tmpl w:val="401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80A2A"/>
    <w:multiLevelType w:val="hybridMultilevel"/>
    <w:tmpl w:val="96BAE4D2"/>
    <w:lvl w:ilvl="0" w:tplc="CF627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3797E"/>
    <w:multiLevelType w:val="hybridMultilevel"/>
    <w:tmpl w:val="CF2C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A290E"/>
    <w:multiLevelType w:val="hybridMultilevel"/>
    <w:tmpl w:val="B5AE623E"/>
    <w:lvl w:ilvl="0" w:tplc="38FEB2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5FAD2C22"/>
    <w:multiLevelType w:val="hybridMultilevel"/>
    <w:tmpl w:val="4EA4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2AD7"/>
    <w:multiLevelType w:val="hybridMultilevel"/>
    <w:tmpl w:val="D0C6E676"/>
    <w:lvl w:ilvl="0" w:tplc="0B7A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667BBB"/>
    <w:multiLevelType w:val="hybridMultilevel"/>
    <w:tmpl w:val="9242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17D19"/>
    <w:multiLevelType w:val="hybridMultilevel"/>
    <w:tmpl w:val="9242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86DEB"/>
    <w:multiLevelType w:val="hybridMultilevel"/>
    <w:tmpl w:val="2852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A535A"/>
    <w:multiLevelType w:val="hybridMultilevel"/>
    <w:tmpl w:val="7AF6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4"/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"/>
  </w:num>
  <w:num w:numId="10">
    <w:abstractNumId w:val="20"/>
  </w:num>
  <w:num w:numId="11">
    <w:abstractNumId w:val="19"/>
  </w:num>
  <w:num w:numId="12">
    <w:abstractNumId w:val="2"/>
  </w:num>
  <w:num w:numId="13">
    <w:abstractNumId w:val="22"/>
  </w:num>
  <w:num w:numId="14">
    <w:abstractNumId w:val="21"/>
  </w:num>
  <w:num w:numId="15">
    <w:abstractNumId w:val="16"/>
  </w:num>
  <w:num w:numId="16">
    <w:abstractNumId w:val="6"/>
  </w:num>
  <w:num w:numId="17">
    <w:abstractNumId w:val="11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9"/>
  </w:num>
  <w:num w:numId="22">
    <w:abstractNumId w:val="8"/>
  </w:num>
  <w:num w:numId="23">
    <w:abstractNumId w:val="12"/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6F"/>
    <w:rsid w:val="00023D6F"/>
    <w:rsid w:val="008F72F3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F562"/>
  <w15:chartTrackingRefBased/>
  <w15:docId w15:val="{4B4A0B90-3DAB-403E-92D1-6692D08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A15F-9659-4145-B225-09629990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Armine.Balyan</dc:creator>
  <cp:keywords>https://mul2.gov.am/tasks/609982/oneclick/ampopatert.docx?token=9e89f11e4624a2559f3e8e7fa46422e6</cp:keywords>
  <dc:description/>
  <cp:lastModifiedBy>user</cp:lastModifiedBy>
  <cp:revision>10</cp:revision>
  <dcterms:created xsi:type="dcterms:W3CDTF">2022-05-10T16:33:00Z</dcterms:created>
  <dcterms:modified xsi:type="dcterms:W3CDTF">2022-05-18T16:41:00Z</dcterms:modified>
</cp:coreProperties>
</file>