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81" w:rsidRPr="00B01881" w:rsidRDefault="00B01881" w:rsidP="00B01881">
      <w:pPr>
        <w:jc w:val="center"/>
        <w:rPr>
          <w:rStyle w:val="Strong"/>
          <w:rFonts w:ascii="GHEA Grapalat" w:hAnsi="GHEA Grapalat"/>
          <w:color w:val="000000" w:themeColor="text1"/>
          <w:sz w:val="24"/>
          <w:szCs w:val="24"/>
        </w:rPr>
      </w:pPr>
      <w:bookmarkStart w:id="0" w:name="_GoBack"/>
      <w:bookmarkEnd w:id="0"/>
      <w:r>
        <w:rPr>
          <w:rStyle w:val="Strong"/>
          <w:rFonts w:ascii="GHEA Grapalat" w:hAnsi="GHEA Grapalat"/>
          <w:color w:val="000000" w:themeColor="text1"/>
          <w:sz w:val="24"/>
          <w:szCs w:val="24"/>
        </w:rPr>
        <w:t>ԱՄՓՈՓԱԹԵՐԹ</w:t>
      </w:r>
    </w:p>
    <w:p w:rsidR="00A82733" w:rsidRDefault="00205387" w:rsidP="00B01881">
      <w:pPr>
        <w:jc w:val="center"/>
        <w:rPr>
          <w:rStyle w:val="Strong"/>
          <w:rFonts w:ascii="GHEA Grapalat" w:hAnsi="GHEA Grapalat"/>
          <w:color w:val="000000" w:themeColor="text1"/>
          <w:sz w:val="24"/>
          <w:szCs w:val="24"/>
          <w:lang w:val="hy-AM"/>
        </w:rPr>
      </w:pPr>
      <w:r w:rsidRPr="002C30FF">
        <w:rPr>
          <w:rStyle w:val="Strong"/>
          <w:rFonts w:ascii="GHEA Grapalat" w:hAnsi="GHEA Grapalat"/>
          <w:color w:val="000000" w:themeColor="text1"/>
          <w:sz w:val="24"/>
          <w:szCs w:val="24"/>
          <w:lang w:val="hy-AM"/>
        </w:rPr>
        <w:t>ՊԵՏԱԿԱՆ ԳՈՒՅՔԻ ԿԱՌԱՎԱՐՄԱՆ 2021-2023</w:t>
      </w:r>
      <w:r w:rsidR="00081571">
        <w:rPr>
          <w:rStyle w:val="Strong"/>
          <w:rFonts w:ascii="GHEA Grapalat" w:hAnsi="GHEA Grapalat"/>
          <w:color w:val="000000" w:themeColor="text1"/>
          <w:sz w:val="24"/>
          <w:szCs w:val="24"/>
        </w:rPr>
        <w:t xml:space="preserve"> </w:t>
      </w:r>
      <w:r w:rsidRPr="002C30FF">
        <w:rPr>
          <w:rStyle w:val="Strong"/>
          <w:rFonts w:ascii="GHEA Grapalat" w:hAnsi="GHEA Grapalat"/>
          <w:color w:val="000000" w:themeColor="text1"/>
          <w:sz w:val="24"/>
          <w:szCs w:val="24"/>
          <w:lang w:val="hy-AM"/>
        </w:rPr>
        <w:t>Թ</w:t>
      </w:r>
      <w:r w:rsidR="00081571">
        <w:rPr>
          <w:rStyle w:val="Strong"/>
          <w:rFonts w:ascii="GHEA Grapalat" w:hAnsi="GHEA Grapalat"/>
          <w:color w:val="000000" w:themeColor="text1"/>
          <w:sz w:val="24"/>
          <w:szCs w:val="24"/>
        </w:rPr>
        <w:t>ՎԱԿԱՆՆԵՐԻ</w:t>
      </w:r>
      <w:r w:rsidRPr="002C30FF">
        <w:rPr>
          <w:rStyle w:val="Strong"/>
          <w:rFonts w:ascii="GHEA Grapalat" w:hAnsi="GHEA Grapalat"/>
          <w:color w:val="000000" w:themeColor="text1"/>
          <w:sz w:val="24"/>
          <w:szCs w:val="24"/>
          <w:lang w:val="hy-AM"/>
        </w:rPr>
        <w:t xml:space="preserve"> ԾՐԱԳՐԻ ԿԱՏԱՐՄԱՆ 2021 ԹՎԱԿԱՆԻ </w:t>
      </w:r>
      <w:r w:rsidR="00081571">
        <w:rPr>
          <w:rStyle w:val="Strong"/>
          <w:rFonts w:ascii="GHEA Grapalat" w:hAnsi="GHEA Grapalat"/>
          <w:color w:val="000000" w:themeColor="text1"/>
          <w:sz w:val="24"/>
          <w:szCs w:val="24"/>
        </w:rPr>
        <w:t xml:space="preserve">ՏԱՐԵԿԱՆ </w:t>
      </w:r>
      <w:r w:rsidRPr="002C30FF">
        <w:rPr>
          <w:rStyle w:val="Strong"/>
          <w:rFonts w:ascii="GHEA Grapalat" w:hAnsi="GHEA Grapalat"/>
          <w:color w:val="000000" w:themeColor="text1"/>
          <w:sz w:val="24"/>
          <w:szCs w:val="24"/>
          <w:lang w:val="hy-AM"/>
        </w:rPr>
        <w:t>ՀԱՇՎԵՏՎՈՒԹՅԱՆ</w:t>
      </w:r>
      <w:r w:rsidRPr="00B01881">
        <w:rPr>
          <w:rStyle w:val="Strong"/>
          <w:rFonts w:ascii="GHEA Grapalat" w:hAnsi="GHEA Grapalat"/>
          <w:color w:val="000000" w:themeColor="text1"/>
          <w:sz w:val="24"/>
          <w:szCs w:val="24"/>
          <w:lang w:val="hy-AM"/>
        </w:rPr>
        <w:t xml:space="preserve"> ՎԵՐԱԲԵՐՅԱԼ ՓՈԽՎԱՐՉԱՊԵՏՆԵՐ՝ ՄՀԵՐ </w:t>
      </w:r>
      <w:r w:rsidR="00263A8B">
        <w:rPr>
          <w:rStyle w:val="Strong"/>
          <w:rFonts w:ascii="GHEA Grapalat" w:hAnsi="GHEA Grapalat"/>
          <w:color w:val="000000" w:themeColor="text1"/>
          <w:sz w:val="24"/>
          <w:szCs w:val="24"/>
          <w:lang w:val="hy-AM"/>
        </w:rPr>
        <w:t>ԳՐԻԳՈՐՅԱՆ</w:t>
      </w:r>
      <w:r w:rsidRPr="00B01881">
        <w:rPr>
          <w:rStyle w:val="Strong"/>
          <w:rFonts w:ascii="GHEA Grapalat" w:hAnsi="GHEA Grapalat"/>
          <w:color w:val="000000" w:themeColor="text1"/>
          <w:sz w:val="24"/>
          <w:szCs w:val="24"/>
          <w:lang w:val="hy-AM"/>
        </w:rPr>
        <w:t xml:space="preserve"> և ՀԱՄԲԱՐՁՈՒՄ ՄԱԹևՈՍՅԱՆԻ ԳՐԱՍԵՆՅԱԿՆԵՐԻ ԴԻՏԱՐԿՈՒՄՆԵՐԻ </w:t>
      </w:r>
    </w:p>
    <w:tbl>
      <w:tblPr>
        <w:tblStyle w:val="TableGrid"/>
        <w:tblW w:w="13893" w:type="dxa"/>
        <w:tblInd w:w="-431" w:type="dxa"/>
        <w:tblLook w:val="04A0" w:firstRow="1" w:lastRow="0" w:firstColumn="1" w:lastColumn="0" w:noHBand="0" w:noVBand="1"/>
      </w:tblPr>
      <w:tblGrid>
        <w:gridCol w:w="6663"/>
        <w:gridCol w:w="7230"/>
      </w:tblGrid>
      <w:tr w:rsidR="00366ADC" w:rsidRPr="004D24BE" w:rsidTr="0092557E">
        <w:tc>
          <w:tcPr>
            <w:tcW w:w="13893" w:type="dxa"/>
            <w:gridSpan w:val="2"/>
            <w:shd w:val="clear" w:color="auto" w:fill="D9D9D9" w:themeFill="background1" w:themeFillShade="D9"/>
          </w:tcPr>
          <w:p w:rsidR="00366ADC" w:rsidRPr="00366ADC" w:rsidRDefault="00366ADC" w:rsidP="00263A8B">
            <w:pPr>
              <w:jc w:val="center"/>
              <w:rPr>
                <w:rFonts w:ascii="GHEA Grapalat" w:hAnsi="GHEA Grapalat"/>
                <w:b/>
                <w:lang w:val="hy-AM"/>
              </w:rPr>
            </w:pPr>
            <w:r w:rsidRPr="00366ADC">
              <w:rPr>
                <w:rFonts w:ascii="GHEA Grapalat" w:hAnsi="GHEA Grapalat"/>
                <w:b/>
                <w:lang w:val="hy-AM"/>
              </w:rPr>
              <w:t xml:space="preserve">Փոխվարչապետ Մհեր </w:t>
            </w:r>
            <w:r w:rsidR="00263A8B">
              <w:rPr>
                <w:rFonts w:ascii="GHEA Grapalat" w:hAnsi="GHEA Grapalat"/>
                <w:b/>
                <w:lang w:val="hy-AM"/>
              </w:rPr>
              <w:t>Գրիգորյան</w:t>
            </w:r>
            <w:r w:rsidRPr="00366ADC">
              <w:rPr>
                <w:rFonts w:ascii="GHEA Grapalat" w:hAnsi="GHEA Grapalat"/>
                <w:b/>
                <w:lang w:val="hy-AM"/>
              </w:rPr>
              <w:t xml:space="preserve"> գրասենյակի դիտարկումների վերաբերյալ</w:t>
            </w:r>
          </w:p>
        </w:tc>
      </w:tr>
      <w:tr w:rsidR="00366ADC" w:rsidRPr="00D717EB" w:rsidTr="0092557E">
        <w:tc>
          <w:tcPr>
            <w:tcW w:w="6663" w:type="dxa"/>
          </w:tcPr>
          <w:p w:rsidR="00322702" w:rsidRPr="00445DB4" w:rsidRDefault="00383BB8" w:rsidP="00445DB4">
            <w:pPr>
              <w:spacing w:after="0"/>
              <w:jc w:val="both"/>
              <w:rPr>
                <w:rFonts w:ascii="GHEA Grapalat" w:hAnsi="GHEA Grapalat"/>
                <w:sz w:val="24"/>
                <w:szCs w:val="24"/>
                <w:lang w:val="hy-AM"/>
              </w:rPr>
            </w:pPr>
            <w:r>
              <w:rPr>
                <w:rFonts w:ascii="GHEA Grapalat" w:hAnsi="GHEA Grapalat" w:cs="Sylfaen"/>
                <w:sz w:val="24"/>
                <w:szCs w:val="24"/>
                <w:lang w:val="hy-AM"/>
              </w:rPr>
              <w:t>1.</w:t>
            </w:r>
            <w:r w:rsidR="00322702" w:rsidRPr="00445DB4">
              <w:rPr>
                <w:rFonts w:ascii="GHEA Grapalat" w:hAnsi="GHEA Grapalat" w:cs="Sylfaen"/>
                <w:sz w:val="24"/>
                <w:szCs w:val="24"/>
                <w:lang w:val="hy-AM"/>
              </w:rPr>
              <w:t>Իրավական</w:t>
            </w:r>
            <w:r w:rsidR="00322702" w:rsidRPr="00445DB4">
              <w:rPr>
                <w:rFonts w:ascii="GHEA Grapalat" w:hAnsi="GHEA Grapalat"/>
                <w:sz w:val="24"/>
                <w:szCs w:val="24"/>
                <w:lang w:val="hy-AM"/>
              </w:rPr>
              <w:t xml:space="preserve"> ակտերում փոփոխություններ և լրացումներ կատարելու, ինչպես նաև իրավական ակտերում առկա բացերը լրացնելու, մեխանիզմները լավարկելու, նոր իրավական ակտերի նախագծեր մշակելու և ներկայացնելու գործառույթը հանդիսանում է քաղաքականություն իրականացնող մարմնի ամենօրյա գործառույթ, հաշվետվության մեջ վերջինիս թվարկումը կարծում ենք նպատակահարմար չէ և ծանրացնում է հաշվետվությունը, փոխարեն կարելի է թվարկել թե ինչպես են բարելավել պրոցեսները, մեխանիզմները և այլն:</w:t>
            </w:r>
          </w:p>
          <w:p w:rsidR="00366ADC" w:rsidRPr="00445DB4" w:rsidRDefault="00322702" w:rsidP="00445DB4">
            <w:pPr>
              <w:pStyle w:val="ListParagraph"/>
              <w:spacing w:after="0"/>
              <w:ind w:left="0" w:firstLine="22"/>
              <w:jc w:val="both"/>
              <w:rPr>
                <w:rFonts w:ascii="GHEA Grapalat" w:hAnsi="GHEA Grapalat"/>
                <w:b/>
                <w:sz w:val="24"/>
                <w:szCs w:val="24"/>
                <w:lang w:val="hy-AM"/>
              </w:rPr>
            </w:pPr>
            <w:r w:rsidRPr="00445DB4">
              <w:rPr>
                <w:rFonts w:ascii="GHEA Grapalat" w:hAnsi="GHEA Grapalat"/>
                <w:b/>
                <w:sz w:val="24"/>
                <w:szCs w:val="24"/>
                <w:lang w:val="hy-AM"/>
              </w:rPr>
              <w:t>Առաջարկվում է հանել հաշվետվությունից մշակված և հաստատված իրավական ակերի թվարկումները:</w:t>
            </w:r>
          </w:p>
        </w:tc>
        <w:tc>
          <w:tcPr>
            <w:tcW w:w="7230" w:type="dxa"/>
          </w:tcPr>
          <w:p w:rsidR="00366ADC" w:rsidRPr="000B5049" w:rsidRDefault="000B5049" w:rsidP="003B4133">
            <w:pPr>
              <w:pStyle w:val="ListParagraph"/>
              <w:spacing w:after="0"/>
              <w:ind w:left="0" w:firstLine="426"/>
              <w:jc w:val="both"/>
              <w:rPr>
                <w:rFonts w:ascii="GHEA Grapalat" w:hAnsi="GHEA Grapalat"/>
                <w:sz w:val="24"/>
                <w:szCs w:val="24"/>
              </w:rPr>
            </w:pPr>
            <w:r w:rsidRPr="000B5049">
              <w:rPr>
                <w:rFonts w:ascii="GHEA Grapalat" w:hAnsi="GHEA Grapalat"/>
                <w:sz w:val="24"/>
                <w:szCs w:val="24"/>
              </w:rPr>
              <w:t>Ընդունվել է, խմբագրվել է:</w:t>
            </w:r>
          </w:p>
        </w:tc>
      </w:tr>
      <w:tr w:rsidR="00466800" w:rsidRPr="004D24BE" w:rsidTr="0092557E">
        <w:tc>
          <w:tcPr>
            <w:tcW w:w="6663" w:type="dxa"/>
          </w:tcPr>
          <w:p w:rsidR="00466800" w:rsidRPr="00445DB4" w:rsidRDefault="00466800" w:rsidP="00466800">
            <w:pPr>
              <w:tabs>
                <w:tab w:val="left" w:pos="0"/>
              </w:tabs>
              <w:spacing w:after="0"/>
              <w:jc w:val="both"/>
              <w:rPr>
                <w:rFonts w:ascii="GHEA Grapalat" w:hAnsi="GHEA Grapalat"/>
                <w:sz w:val="24"/>
                <w:szCs w:val="24"/>
                <w:lang w:val="hy-AM"/>
              </w:rPr>
            </w:pPr>
            <w:r w:rsidRPr="00445DB4">
              <w:rPr>
                <w:rFonts w:ascii="GHEA Grapalat" w:hAnsi="GHEA Grapalat"/>
                <w:b/>
                <w:sz w:val="24"/>
                <w:szCs w:val="24"/>
                <w:lang w:val="hy-AM"/>
              </w:rPr>
              <w:t>2.</w:t>
            </w:r>
            <w:r w:rsidRPr="00445DB4">
              <w:rPr>
                <w:rFonts w:ascii="GHEA Grapalat" w:hAnsi="GHEA Grapalat" w:cs="Sylfaen"/>
                <w:sz w:val="24"/>
                <w:szCs w:val="24"/>
                <w:lang w:val="hy-AM"/>
              </w:rPr>
              <w:t xml:space="preserve"> Հավել</w:t>
            </w:r>
            <w:r w:rsidRPr="00445DB4">
              <w:rPr>
                <w:rFonts w:ascii="GHEA Grapalat" w:hAnsi="GHEA Grapalat"/>
                <w:sz w:val="24"/>
                <w:szCs w:val="24"/>
                <w:lang w:val="hy-AM"/>
              </w:rPr>
              <w:t xml:space="preserve">վածի 10-րդ կետի  1-ին ենթակետի ա) պարբերության համաձայն մասնավորեցվել է «Արաբկիր» բժշկական համալիր-երեխաների և դեռահասների առողջության ինստիտուտ» ՍՊԸ-ի 5,6 %-ով պետական բաժնեմասը: Ընդ որում,  Հայաստանի Հանրապետության կառավարության 2021 թվականի  փետրվարի 4-ի N125-Ա </w:t>
            </w:r>
            <w:r w:rsidRPr="00445DB4">
              <w:rPr>
                <w:rFonts w:ascii="GHEA Grapalat" w:hAnsi="GHEA Grapalat"/>
                <w:sz w:val="24"/>
                <w:szCs w:val="24"/>
                <w:lang w:val="hy-AM"/>
              </w:rPr>
              <w:lastRenderedPageBreak/>
              <w:t>որոշմամբ առաջին անգամ ներկայացվել են մասնավորեցման գնահատված արժեքով՝ 574,</w:t>
            </w:r>
            <w:r w:rsidRPr="00445DB4">
              <w:rPr>
                <w:rFonts w:cs="Calibri"/>
                <w:sz w:val="24"/>
                <w:szCs w:val="24"/>
                <w:lang w:val="hy-AM"/>
              </w:rPr>
              <w:t> </w:t>
            </w:r>
            <w:r w:rsidRPr="00445DB4">
              <w:rPr>
                <w:rFonts w:ascii="GHEA Grapalat" w:hAnsi="GHEA Grapalat"/>
                <w:sz w:val="24"/>
                <w:szCs w:val="24"/>
                <w:lang w:val="hy-AM"/>
              </w:rPr>
              <w:t>356.9 հազար հայկական դրամով, մասնավորեցումը չի կայացել։ Երկրորդ անգամ բաժնեմասը ներկայացվել է մասնավորեցման գնահատված արժեքի 75 %-ով, մասնավորեցումը նույնպես չի կայացել։ Երրորդ անգամ ընկերության պետական բաժնեմասը ուղղակի վաճառքի ձևով մասնավորեցվել է ընկերությանը՝ գնահատված արժեքի 50%-ով՝ 287,178.4 հազար հայկական դրամով:</w:t>
            </w:r>
          </w:p>
          <w:p w:rsidR="00466800" w:rsidRPr="00445DB4" w:rsidRDefault="00466800" w:rsidP="00466800">
            <w:pPr>
              <w:tabs>
                <w:tab w:val="left" w:pos="0"/>
              </w:tabs>
              <w:spacing w:after="0"/>
              <w:ind w:firstLine="22"/>
              <w:jc w:val="both"/>
              <w:rPr>
                <w:rFonts w:ascii="GHEA Grapalat" w:hAnsi="GHEA Grapalat" w:cs="Sylfaen"/>
                <w:sz w:val="24"/>
                <w:szCs w:val="24"/>
                <w:lang w:val="hy-AM"/>
              </w:rPr>
            </w:pPr>
            <w:r w:rsidRPr="00445DB4">
              <w:rPr>
                <w:rFonts w:ascii="GHEA Grapalat" w:hAnsi="GHEA Grapalat" w:cs="Sylfaen"/>
                <w:sz w:val="24"/>
                <w:szCs w:val="24"/>
                <w:lang w:val="hy-AM"/>
              </w:rPr>
              <w:t>Համաձայն 10-րդ կետի 2-րդ ենթակետի՝ ) հաշվետու ժամանակաշրջանում մասնավորեցման են ներկայացվել հետևյալ ընկերությունների պետական սեփականություն հանդիսացող բաժնետոմսերը (բաժնեմասը).</w:t>
            </w:r>
          </w:p>
          <w:p w:rsidR="00466800" w:rsidRPr="00445DB4" w:rsidRDefault="00466800" w:rsidP="00466800">
            <w:pPr>
              <w:tabs>
                <w:tab w:val="left" w:pos="0"/>
              </w:tabs>
              <w:spacing w:after="0"/>
              <w:ind w:firstLine="22"/>
              <w:jc w:val="both"/>
              <w:rPr>
                <w:rFonts w:ascii="GHEA Grapalat" w:hAnsi="GHEA Grapalat" w:cs="Sylfaen"/>
                <w:sz w:val="24"/>
                <w:szCs w:val="24"/>
                <w:lang w:val="hy-AM"/>
              </w:rPr>
            </w:pPr>
            <w:r w:rsidRPr="00445DB4">
              <w:rPr>
                <w:rFonts w:ascii="GHEA Grapalat" w:hAnsi="GHEA Grapalat" w:cs="Sylfaen"/>
                <w:sz w:val="24"/>
                <w:szCs w:val="24"/>
                <w:lang w:val="hy-AM"/>
              </w:rPr>
              <w:t xml:space="preserve">ա) Հայաստանի Հանրապետության կառավարության 2020 թվականի դեկտեմբերի 3-ի N 1982-Ա և 2021 թվականի ապրիլի 15-ի N 568-Ա որոշումների համաձայն` «Կուրորտաբանության և ֆիզիկական բժշկության գիտահետազոտական ինստիտուտ» ՓԲԸ-ի 100% պետական սեփականություն հանդիսացող բաժնետոմսերի մասնավորեցման նպատակով անցկացված 2 մրցույթները չեն կայացել՝ հայտ չլինելու պատճառով: Առաջին անգամ մրցույթով մասնավորեցման ներկայացնելու ժամանակ նվազագույն գին սահմանվել է բաժնետոմսերի գնահատված արժեքի 100 %-ը, իսկ </w:t>
            </w:r>
            <w:r w:rsidRPr="00445DB4">
              <w:rPr>
                <w:rFonts w:ascii="GHEA Grapalat" w:hAnsi="GHEA Grapalat" w:cs="Sylfaen"/>
                <w:sz w:val="24"/>
                <w:szCs w:val="24"/>
                <w:lang w:val="hy-AM"/>
              </w:rPr>
              <w:lastRenderedPageBreak/>
              <w:t>երկրորդ մրցույթի ժամանակ՝</w:t>
            </w:r>
            <w:r w:rsidRPr="00445DB4">
              <w:rPr>
                <w:rFonts w:cs="Calibri"/>
                <w:sz w:val="24"/>
                <w:szCs w:val="24"/>
                <w:lang w:val="hy-AM"/>
              </w:rPr>
              <w:t> </w:t>
            </w:r>
            <w:r w:rsidRPr="00445DB4">
              <w:rPr>
                <w:rFonts w:ascii="GHEA Grapalat" w:hAnsi="GHEA Grapalat" w:cs="Sylfaen"/>
                <w:sz w:val="24"/>
                <w:szCs w:val="24"/>
                <w:lang w:val="hy-AM"/>
              </w:rPr>
              <w:t xml:space="preserve"> 75 %-ը։ Ընկերության բաժնետոմսերը մասնավորեցման ներկայացնելու նպատակով ներկայումս կրկին շրջանառության մեջ է դրվել մասնավորեցման մասին Հայաստանի Հանրապետության կառավարության  որոշման նախագիծ:</w:t>
            </w:r>
          </w:p>
          <w:p w:rsidR="00466800" w:rsidRPr="00445DB4" w:rsidRDefault="00466800" w:rsidP="00466800">
            <w:pPr>
              <w:tabs>
                <w:tab w:val="left" w:pos="0"/>
              </w:tabs>
              <w:spacing w:after="0"/>
              <w:ind w:firstLine="708"/>
              <w:jc w:val="both"/>
              <w:rPr>
                <w:rFonts w:ascii="GHEA Grapalat" w:hAnsi="GHEA Grapalat"/>
                <w:b/>
                <w:sz w:val="24"/>
                <w:szCs w:val="24"/>
                <w:lang w:val="hy-AM"/>
              </w:rPr>
            </w:pPr>
            <w:r w:rsidRPr="00445DB4">
              <w:rPr>
                <w:rFonts w:ascii="GHEA Grapalat" w:hAnsi="GHEA Grapalat" w:cs="Sylfaen"/>
                <w:b/>
                <w:sz w:val="24"/>
                <w:szCs w:val="24"/>
                <w:lang w:val="hy-AM"/>
              </w:rPr>
              <w:t>Այս մասով կարելի է եզրահանգել հետևյալում՝ գնահատված արժեքների մեխանիզմները չեն արտահայտում իրական շուկայական պատկեր, 50 տոկոս շեղման պարագայում կարծում ենք պետք է քայլեր ձեռնարկել գնահատման մեթոդների վերանայման ուղղությամբ:</w:t>
            </w:r>
          </w:p>
        </w:tc>
        <w:tc>
          <w:tcPr>
            <w:tcW w:w="7230" w:type="dxa"/>
          </w:tcPr>
          <w:p w:rsidR="002F4F50" w:rsidRDefault="002F4F50" w:rsidP="003B3B3B">
            <w:pPr>
              <w:pStyle w:val="ListParagraph"/>
              <w:spacing w:after="0"/>
              <w:ind w:left="0" w:firstLine="426"/>
              <w:jc w:val="both"/>
              <w:rPr>
                <w:rFonts w:ascii="GHEA Grapalat" w:hAnsi="GHEA Grapalat"/>
                <w:noProof/>
                <w:sz w:val="24"/>
                <w:szCs w:val="24"/>
                <w:lang w:val="hy-AM"/>
              </w:rPr>
            </w:pPr>
            <w:r>
              <w:rPr>
                <w:rFonts w:ascii="GHEA Grapalat" w:hAnsi="GHEA Grapalat"/>
                <w:noProof/>
                <w:sz w:val="24"/>
                <w:szCs w:val="24"/>
                <w:lang w:val="hy-AM"/>
              </w:rPr>
              <w:lastRenderedPageBreak/>
              <w:t xml:space="preserve">Պարզաբանում` </w:t>
            </w:r>
          </w:p>
          <w:p w:rsidR="00DF0430" w:rsidRPr="00DF0430" w:rsidRDefault="00DF0430" w:rsidP="003B3B3B">
            <w:pPr>
              <w:pStyle w:val="ListParagraph"/>
              <w:spacing w:after="0"/>
              <w:ind w:left="0" w:firstLine="426"/>
              <w:jc w:val="both"/>
              <w:rPr>
                <w:rFonts w:ascii="GHEA Grapalat" w:hAnsi="GHEA Grapalat"/>
                <w:sz w:val="24"/>
                <w:szCs w:val="24"/>
                <w:lang w:val="hy-AM"/>
              </w:rPr>
            </w:pPr>
            <w:r w:rsidRPr="00A9403D">
              <w:rPr>
                <w:rFonts w:ascii="GHEA Grapalat" w:hAnsi="GHEA Grapalat"/>
                <w:noProof/>
                <w:sz w:val="24"/>
                <w:szCs w:val="24"/>
                <w:lang w:val="hy-AM"/>
              </w:rPr>
              <w:t xml:space="preserve">Ընկերությունների գնահատումը իրականացվում է օրենսդրությամբ </w:t>
            </w:r>
            <w:r w:rsidRPr="00603BDB">
              <w:rPr>
                <w:rFonts w:ascii="GHEA Grapalat" w:hAnsi="GHEA Grapalat"/>
                <w:noProof/>
                <w:sz w:val="24"/>
                <w:szCs w:val="24"/>
                <w:lang w:val="hy-AM"/>
              </w:rPr>
              <w:t xml:space="preserve">սահմանաված </w:t>
            </w:r>
            <w:r>
              <w:rPr>
                <w:rFonts w:ascii="GHEA Grapalat" w:hAnsi="GHEA Grapalat"/>
                <w:noProof/>
                <w:sz w:val="24"/>
                <w:szCs w:val="24"/>
                <w:lang w:val="hy-AM"/>
              </w:rPr>
              <w:t xml:space="preserve">կարգով հաստատված </w:t>
            </w:r>
            <w:r w:rsidRPr="00603BDB">
              <w:rPr>
                <w:rFonts w:ascii="GHEA Grapalat" w:hAnsi="GHEA Grapalat"/>
                <w:noProof/>
                <w:sz w:val="24"/>
                <w:szCs w:val="24"/>
                <w:lang w:val="hy-AM"/>
              </w:rPr>
              <w:t xml:space="preserve"> </w:t>
            </w:r>
            <w:r w:rsidRPr="00A9403D">
              <w:rPr>
                <w:rFonts w:ascii="GHEA Grapalat" w:hAnsi="GHEA Grapalat"/>
                <w:noProof/>
                <w:sz w:val="24"/>
                <w:szCs w:val="24"/>
                <w:lang w:val="hy-AM"/>
              </w:rPr>
              <w:t>ստանդարտների համաձայն, իսկ</w:t>
            </w:r>
            <w:r w:rsidRPr="00DF0430">
              <w:rPr>
                <w:rFonts w:ascii="GHEA Grapalat" w:hAnsi="GHEA Grapalat"/>
                <w:noProof/>
                <w:sz w:val="24"/>
                <w:szCs w:val="24"/>
                <w:lang w:val="hy-AM"/>
              </w:rPr>
              <w:t xml:space="preserve"> </w:t>
            </w:r>
            <w:r w:rsidR="00693867" w:rsidRPr="00DF0430">
              <w:rPr>
                <w:rFonts w:ascii="GHEA Grapalat" w:hAnsi="GHEA Grapalat"/>
                <w:sz w:val="24"/>
                <w:szCs w:val="24"/>
                <w:lang w:val="hy-AM"/>
              </w:rPr>
              <w:t>մասնավորեցվող պետական գույքի գինը</w:t>
            </w:r>
            <w:r w:rsidR="00693867" w:rsidRPr="00445DB4">
              <w:rPr>
                <w:rFonts w:ascii="GHEA Grapalat" w:hAnsi="GHEA Grapalat"/>
                <w:sz w:val="24"/>
                <w:szCs w:val="24"/>
                <w:lang w:val="hy-AM"/>
              </w:rPr>
              <w:t xml:space="preserve"> </w:t>
            </w:r>
            <w:r w:rsidRPr="00445DB4">
              <w:rPr>
                <w:rFonts w:ascii="GHEA Grapalat" w:hAnsi="GHEA Grapalat"/>
                <w:sz w:val="24"/>
                <w:szCs w:val="24"/>
                <w:lang w:val="hy-AM"/>
              </w:rPr>
              <w:t>«</w:t>
            </w:r>
            <w:r w:rsidRPr="00DF0430">
              <w:rPr>
                <w:rFonts w:ascii="GHEA Grapalat" w:hAnsi="GHEA Grapalat"/>
                <w:bCs/>
                <w:noProof/>
                <w:sz w:val="24"/>
                <w:szCs w:val="24"/>
                <w:lang w:val="hy-AM"/>
              </w:rPr>
              <w:t xml:space="preserve">Պետական գույքի մասնավորեցման </w:t>
            </w:r>
            <w:r w:rsidRPr="00DF0430">
              <w:rPr>
                <w:rFonts w:ascii="GHEA Grapalat" w:hAnsi="GHEA Grapalat"/>
                <w:bCs/>
                <w:noProof/>
                <w:sz w:val="24"/>
                <w:szCs w:val="24"/>
                <w:lang w:val="hy-AM"/>
              </w:rPr>
              <w:lastRenderedPageBreak/>
              <w:t>(սեփականաշնորհման) մասին</w:t>
            </w:r>
            <w:r w:rsidRPr="00445DB4">
              <w:rPr>
                <w:rFonts w:ascii="GHEA Grapalat" w:hAnsi="GHEA Grapalat"/>
                <w:sz w:val="24"/>
                <w:szCs w:val="24"/>
                <w:lang w:val="hy-AM"/>
              </w:rPr>
              <w:t>»</w:t>
            </w:r>
            <w:r w:rsidRPr="00DF0430">
              <w:rPr>
                <w:rFonts w:ascii="GHEA Grapalat" w:hAnsi="GHEA Grapalat"/>
                <w:sz w:val="24"/>
                <w:szCs w:val="24"/>
                <w:lang w:val="hy-AM"/>
              </w:rPr>
              <w:t xml:space="preserve"> ՀՀ օրենքի 25-րդ հոդվածի համաձայն՝ ձևավորվում է մասնավորեցման արդյունքում:</w:t>
            </w:r>
          </w:p>
          <w:p w:rsidR="00DF0430" w:rsidRDefault="00DF0430" w:rsidP="003B3B3B">
            <w:pPr>
              <w:pStyle w:val="ListParagraph"/>
              <w:spacing w:after="0"/>
              <w:ind w:left="0" w:firstLine="426"/>
              <w:jc w:val="both"/>
              <w:rPr>
                <w:rFonts w:ascii="GHEA Grapalat" w:hAnsi="GHEA Grapalat"/>
                <w:noProof/>
                <w:sz w:val="24"/>
                <w:szCs w:val="24"/>
                <w:lang w:val="hy-AM"/>
              </w:rPr>
            </w:pPr>
          </w:p>
          <w:p w:rsidR="00DF0430" w:rsidRDefault="00DF0430" w:rsidP="003B3B3B">
            <w:pPr>
              <w:pStyle w:val="ListParagraph"/>
              <w:spacing w:after="0"/>
              <w:ind w:left="0" w:firstLine="426"/>
              <w:jc w:val="both"/>
              <w:rPr>
                <w:rFonts w:ascii="GHEA Grapalat" w:hAnsi="GHEA Grapalat"/>
                <w:noProof/>
                <w:sz w:val="24"/>
                <w:szCs w:val="24"/>
                <w:lang w:val="hy-AM"/>
              </w:rPr>
            </w:pPr>
          </w:p>
          <w:p w:rsidR="00A9403D" w:rsidRDefault="00A9403D" w:rsidP="003B3B3B">
            <w:pPr>
              <w:pStyle w:val="ListParagraph"/>
              <w:spacing w:after="0"/>
              <w:ind w:left="0" w:firstLine="426"/>
              <w:jc w:val="both"/>
              <w:rPr>
                <w:rFonts w:ascii="GHEA Grapalat" w:hAnsi="GHEA Grapalat"/>
                <w:noProof/>
                <w:sz w:val="24"/>
                <w:szCs w:val="24"/>
                <w:lang w:val="hy-AM"/>
              </w:rPr>
            </w:pPr>
          </w:p>
          <w:p w:rsidR="00466800" w:rsidRPr="00445DB4" w:rsidRDefault="00466800" w:rsidP="003B3B3B">
            <w:pPr>
              <w:pStyle w:val="ListParagraph"/>
              <w:spacing w:after="0"/>
              <w:ind w:left="0" w:firstLine="426"/>
              <w:jc w:val="both"/>
              <w:rPr>
                <w:rFonts w:ascii="GHEA Grapalat" w:hAnsi="GHEA Grapalat"/>
                <w:b/>
                <w:sz w:val="24"/>
                <w:szCs w:val="24"/>
                <w:lang w:val="hy-AM"/>
              </w:rPr>
            </w:pPr>
          </w:p>
        </w:tc>
      </w:tr>
      <w:tr w:rsidR="00466800" w:rsidRPr="004D24BE" w:rsidTr="0092557E">
        <w:tc>
          <w:tcPr>
            <w:tcW w:w="6663" w:type="dxa"/>
          </w:tcPr>
          <w:p w:rsidR="00466800" w:rsidRPr="00445DB4" w:rsidRDefault="00466800" w:rsidP="00466800">
            <w:pPr>
              <w:spacing w:after="0"/>
              <w:ind w:right="39"/>
              <w:jc w:val="both"/>
              <w:rPr>
                <w:rFonts w:ascii="GHEA Grapalat" w:hAnsi="GHEA Grapalat" w:cs="Sylfaen"/>
                <w:b/>
                <w:sz w:val="24"/>
                <w:szCs w:val="24"/>
                <w:lang w:val="hy-AM"/>
              </w:rPr>
            </w:pPr>
            <w:r w:rsidRPr="00445DB4">
              <w:rPr>
                <w:rFonts w:ascii="GHEA Grapalat" w:hAnsi="GHEA Grapalat"/>
                <w:b/>
                <w:sz w:val="24"/>
                <w:szCs w:val="24"/>
                <w:lang w:val="hy-AM"/>
              </w:rPr>
              <w:lastRenderedPageBreak/>
              <w:t xml:space="preserve">3. </w:t>
            </w:r>
            <w:r w:rsidRPr="00445DB4">
              <w:rPr>
                <w:rFonts w:ascii="GHEA Grapalat" w:hAnsi="GHEA Grapalat" w:cs="Sylfaen"/>
                <w:sz w:val="24"/>
                <w:szCs w:val="24"/>
                <w:lang w:val="hy-AM"/>
              </w:rPr>
              <w:t>17-րդ կետի համաձայն Ծրագրի հավելված N 3-ի ցանկում ընդգրկված կազմակերպությունների տնտեսական գործունեության հիմնական ցուցանիշների վերլուծության հետ կապված՝ Ծրագրով նախատեսված միջոցառումների կատարման մասով Հայաստանի Հանրապետության կառավարության 2017 թվականի հոկտեմբերի 5-ի N 1262-Ն որոշմամբ (այսուհետ՝ Որոշում) հաստատված կարգի համաձայն իրականացվել են հետևյալ աշխատանքները.</w:t>
            </w:r>
          </w:p>
          <w:p w:rsidR="00466800" w:rsidRPr="00445DB4" w:rsidRDefault="00466800" w:rsidP="00466800">
            <w:pPr>
              <w:spacing w:after="0"/>
              <w:ind w:left="22" w:right="39"/>
              <w:jc w:val="both"/>
              <w:rPr>
                <w:rFonts w:ascii="GHEA Grapalat" w:hAnsi="GHEA Grapalat" w:cs="Sylfaen"/>
                <w:sz w:val="24"/>
                <w:szCs w:val="24"/>
                <w:lang w:val="hy-AM"/>
              </w:rPr>
            </w:pPr>
            <w:r w:rsidRPr="00445DB4">
              <w:rPr>
                <w:rFonts w:ascii="GHEA Grapalat" w:hAnsi="GHEA Grapalat" w:cs="Sylfaen"/>
                <w:sz w:val="24"/>
                <w:szCs w:val="24"/>
                <w:lang w:val="hy-AM"/>
              </w:rPr>
              <w:t xml:space="preserve">1) Որոշման հավելված N1-ի համաձայն Կոմիտեի կողմից իրականացվել է 50% և ավելի պետական մասնակցությամբ առևտրային կազմակերպությունների 2021 թվականի առաջին կիսամյակի և 2020 թվականի </w:t>
            </w:r>
            <w:r w:rsidRPr="00445DB4">
              <w:rPr>
                <w:rFonts w:ascii="GHEA Grapalat" w:hAnsi="GHEA Grapalat" w:cs="Sylfaen"/>
                <w:sz w:val="24"/>
                <w:szCs w:val="24"/>
                <w:lang w:val="hy-AM"/>
              </w:rPr>
              <w:lastRenderedPageBreak/>
              <w:t>տարեկան տվյալների հիման վրա  ֆինանսատնտեսական վիճակի դիտարկումներ և վերլուծություններ: Վերլուծության արդյունքներն ամփոփ տեղեկանքների տեսքով ներկայացվել են Վարչապետին և ՀՀ ֆինանսների նախարարություն,</w:t>
            </w:r>
          </w:p>
          <w:p w:rsidR="00466800" w:rsidRPr="00445DB4" w:rsidRDefault="00466800" w:rsidP="00466800">
            <w:pPr>
              <w:spacing w:after="0"/>
              <w:ind w:left="22" w:right="39"/>
              <w:jc w:val="both"/>
              <w:rPr>
                <w:rFonts w:ascii="GHEA Grapalat" w:hAnsi="GHEA Grapalat" w:cs="Sylfaen"/>
                <w:sz w:val="24"/>
                <w:szCs w:val="24"/>
                <w:lang w:val="hy-AM"/>
              </w:rPr>
            </w:pPr>
            <w:r w:rsidRPr="00445DB4">
              <w:rPr>
                <w:rFonts w:ascii="GHEA Grapalat" w:hAnsi="GHEA Grapalat" w:cs="Sylfaen"/>
                <w:sz w:val="24"/>
                <w:szCs w:val="24"/>
                <w:lang w:val="hy-AM"/>
              </w:rPr>
              <w:t>2)  Որոշման հավելված N4-ի համաձայն՝ 2020 թվականից իրականացվել է կազմակերպությունների գործունեության արդյունավետության որոշում, գործադիր մարմինների ղեկավարների կատարած աշխատանքի գնահատում: Արդյունքում, համապատասխան առաջարկություններ է ուղարկվել կազմակերպությունների կառավարումն իրականացնող լիազոր մարմիններ։</w:t>
            </w:r>
          </w:p>
          <w:p w:rsidR="00466800" w:rsidRPr="00445DB4" w:rsidRDefault="00466800" w:rsidP="00466800">
            <w:pPr>
              <w:spacing w:after="0"/>
              <w:ind w:right="39" w:firstLine="567"/>
              <w:jc w:val="both"/>
              <w:textAlignment w:val="baseline"/>
              <w:rPr>
                <w:rFonts w:ascii="GHEA Grapalat" w:hAnsi="GHEA Grapalat"/>
                <w:b/>
                <w:sz w:val="24"/>
                <w:szCs w:val="24"/>
                <w:lang w:val="hy-AM"/>
              </w:rPr>
            </w:pPr>
            <w:r w:rsidRPr="00445DB4">
              <w:rPr>
                <w:rFonts w:ascii="GHEA Grapalat" w:hAnsi="GHEA Grapalat"/>
                <w:b/>
                <w:sz w:val="24"/>
                <w:szCs w:val="24"/>
                <w:lang w:val="hy-AM"/>
              </w:rPr>
              <w:t>Առաջարկ: Իրականացված վերլուծությունների բովանդակային մասը բացահայտված չէ, առաջարկվում է այս մասում նաև նշել արձանագրված արդյունքները:</w:t>
            </w:r>
          </w:p>
        </w:tc>
        <w:tc>
          <w:tcPr>
            <w:tcW w:w="7230" w:type="dxa"/>
          </w:tcPr>
          <w:p w:rsidR="00D05064" w:rsidRPr="00D05064" w:rsidRDefault="00C91E76" w:rsidP="00D05064">
            <w:pPr>
              <w:jc w:val="both"/>
              <w:rPr>
                <w:rFonts w:ascii="GHEA Grapalat" w:hAnsi="GHEA Grapalat" w:cs="Sylfaen"/>
                <w:kern w:val="2"/>
                <w:sz w:val="24"/>
                <w:szCs w:val="24"/>
                <w:lang w:val="hy-AM"/>
              </w:rPr>
            </w:pPr>
            <w:r w:rsidRPr="00445DB4">
              <w:rPr>
                <w:rFonts w:ascii="GHEA Grapalat" w:hAnsi="GHEA Grapalat" w:cs="Sylfaen"/>
                <w:sz w:val="24"/>
                <w:szCs w:val="24"/>
                <w:lang w:val="hy-AM"/>
              </w:rPr>
              <w:lastRenderedPageBreak/>
              <w:t xml:space="preserve">  </w:t>
            </w:r>
            <w:r w:rsidR="00C97D46" w:rsidRPr="00AB25E7">
              <w:rPr>
                <w:rFonts w:ascii="GHEA Grapalat" w:hAnsi="GHEA Grapalat" w:cs="Sylfaen"/>
                <w:kern w:val="2"/>
                <w:sz w:val="24"/>
                <w:szCs w:val="24"/>
                <w:lang w:val="hy-AM"/>
              </w:rPr>
              <w:t>ՀՀ կառավարության 2017 թվականի հոկտեմբերի 5-ի թիվ 1262-Ն</w:t>
            </w:r>
            <w:r w:rsidR="00C97D46" w:rsidRPr="00093CAC">
              <w:rPr>
                <w:rFonts w:ascii="GHEA Grapalat" w:hAnsi="GHEA Grapalat" w:cs="Sylfaen"/>
                <w:kern w:val="2"/>
                <w:sz w:val="24"/>
                <w:szCs w:val="24"/>
                <w:lang w:val="hy-AM"/>
              </w:rPr>
              <w:t xml:space="preserve"> որոշմա</w:t>
            </w:r>
            <w:r w:rsidR="00C97D46">
              <w:rPr>
                <w:rFonts w:ascii="GHEA Grapalat" w:hAnsi="GHEA Grapalat" w:cs="Sylfaen"/>
                <w:kern w:val="2"/>
                <w:sz w:val="24"/>
                <w:szCs w:val="24"/>
                <w:lang w:val="hy-AM"/>
              </w:rPr>
              <w:t>ն</w:t>
            </w:r>
            <w:r w:rsidR="00C97D46" w:rsidRPr="00093CAC">
              <w:rPr>
                <w:rFonts w:ascii="GHEA Grapalat" w:hAnsi="GHEA Grapalat" w:cs="Sylfaen"/>
                <w:kern w:val="2"/>
                <w:sz w:val="24"/>
                <w:szCs w:val="24"/>
                <w:lang w:val="hy-AM"/>
              </w:rPr>
              <w:t xml:space="preserve"> հավելված N</w:t>
            </w:r>
            <w:r w:rsidR="002F4F50">
              <w:rPr>
                <w:rFonts w:ascii="GHEA Grapalat" w:hAnsi="GHEA Grapalat" w:cs="Sylfaen"/>
                <w:kern w:val="2"/>
                <w:sz w:val="24"/>
                <w:szCs w:val="24"/>
                <w:lang w:val="hy-AM"/>
              </w:rPr>
              <w:t xml:space="preserve"> </w:t>
            </w:r>
            <w:r w:rsidR="00C97D46" w:rsidRPr="00093CAC">
              <w:rPr>
                <w:rFonts w:ascii="GHEA Grapalat" w:hAnsi="GHEA Grapalat" w:cs="Sylfaen"/>
                <w:kern w:val="2"/>
                <w:sz w:val="24"/>
                <w:szCs w:val="24"/>
                <w:lang w:val="hy-AM"/>
              </w:rPr>
              <w:t>4-ով հաստատված կարգի համաձայն իրականացվող կազմակերպությունների գործունեության արդյունավետության որոշման, գործադիր մարմինների ղեկավարների կատարած աշխատանքի գնահատման ժամանակ կիրառվող ցուցանիշների համակարգը՝ կախված կազմակերպության գործունեության բնույթից, հնարավորություն չի տվել ամբողջությամբ և ճշգրիտ գնահատել կատարված աշխատանքները և հետևաբար նախատեսվում է փոփոխություն</w:t>
            </w:r>
            <w:r w:rsidR="00C93406" w:rsidRPr="000412AF">
              <w:rPr>
                <w:rFonts w:ascii="GHEA Grapalat" w:hAnsi="GHEA Grapalat" w:cs="Sylfaen"/>
                <w:kern w:val="2"/>
                <w:sz w:val="24"/>
                <w:szCs w:val="24"/>
                <w:lang w:val="hy-AM"/>
              </w:rPr>
              <w:t xml:space="preserve"> կատարել </w:t>
            </w:r>
            <w:r w:rsidR="00C97D46" w:rsidRPr="00093CAC">
              <w:rPr>
                <w:rFonts w:ascii="GHEA Grapalat" w:hAnsi="GHEA Grapalat" w:cs="Sylfaen"/>
                <w:kern w:val="2"/>
                <w:sz w:val="24"/>
                <w:szCs w:val="24"/>
                <w:lang w:val="hy-AM"/>
              </w:rPr>
              <w:t>նշված կարգում։</w:t>
            </w:r>
          </w:p>
          <w:p w:rsidR="007D2BCC" w:rsidRPr="00263A8B" w:rsidRDefault="007D2BCC" w:rsidP="007D2BCC">
            <w:pPr>
              <w:spacing w:after="0" w:line="240" w:lineRule="auto"/>
              <w:ind w:firstLine="317"/>
              <w:jc w:val="both"/>
              <w:rPr>
                <w:rFonts w:ascii="GHEA Grapalat" w:hAnsi="GHEA Grapalat" w:cs="Sylfaen"/>
                <w:kern w:val="2"/>
                <w:sz w:val="24"/>
                <w:szCs w:val="24"/>
                <w:lang w:val="hy-AM"/>
              </w:rPr>
            </w:pPr>
            <w:r w:rsidRPr="00263A8B">
              <w:rPr>
                <w:rFonts w:ascii="GHEA Grapalat" w:hAnsi="GHEA Grapalat" w:cs="Sylfaen"/>
                <w:kern w:val="2"/>
                <w:sz w:val="24"/>
                <w:szCs w:val="24"/>
                <w:lang w:val="hy-AM"/>
              </w:rPr>
              <w:t>Ա</w:t>
            </w:r>
            <w:r w:rsidR="00D05064" w:rsidRPr="00263A8B">
              <w:rPr>
                <w:rFonts w:ascii="GHEA Grapalat" w:hAnsi="GHEA Grapalat" w:cs="Sylfaen"/>
                <w:kern w:val="2"/>
                <w:sz w:val="24"/>
                <w:szCs w:val="24"/>
                <w:lang w:val="hy-AM"/>
              </w:rPr>
              <w:t>ռաջա</w:t>
            </w:r>
            <w:r w:rsidRPr="00263A8B">
              <w:rPr>
                <w:rFonts w:ascii="GHEA Grapalat" w:hAnsi="GHEA Grapalat" w:cs="Sylfaen"/>
                <w:kern w:val="2"/>
                <w:sz w:val="24"/>
                <w:szCs w:val="24"/>
                <w:lang w:val="hy-AM"/>
              </w:rPr>
              <w:t>ր</w:t>
            </w:r>
            <w:r w:rsidR="00D05064" w:rsidRPr="00263A8B">
              <w:rPr>
                <w:rFonts w:ascii="GHEA Grapalat" w:hAnsi="GHEA Grapalat" w:cs="Sylfaen"/>
                <w:kern w:val="2"/>
                <w:sz w:val="24"/>
                <w:szCs w:val="24"/>
                <w:lang w:val="hy-AM"/>
              </w:rPr>
              <w:t>կ</w:t>
            </w:r>
            <w:r w:rsidRPr="00263A8B">
              <w:rPr>
                <w:rFonts w:ascii="GHEA Grapalat" w:hAnsi="GHEA Grapalat" w:cs="Sylfaen"/>
                <w:kern w:val="2"/>
                <w:sz w:val="24"/>
                <w:szCs w:val="24"/>
                <w:lang w:val="hy-AM"/>
              </w:rPr>
              <w:t>ը</w:t>
            </w:r>
            <w:r w:rsidR="00D05064" w:rsidRPr="00263A8B">
              <w:rPr>
                <w:rFonts w:ascii="GHEA Grapalat" w:hAnsi="GHEA Grapalat" w:cs="Sylfaen"/>
                <w:kern w:val="2"/>
                <w:sz w:val="24"/>
                <w:szCs w:val="24"/>
                <w:lang w:val="hy-AM"/>
              </w:rPr>
              <w:t>՝</w:t>
            </w:r>
            <w:r w:rsidRPr="00263A8B">
              <w:rPr>
                <w:rFonts w:ascii="GHEA Grapalat" w:hAnsi="GHEA Grapalat" w:cs="Sylfaen"/>
                <w:kern w:val="2"/>
                <w:sz w:val="24"/>
                <w:szCs w:val="24"/>
                <w:lang w:val="hy-AM"/>
              </w:rPr>
              <w:t xml:space="preserve"> ընդունվել է:</w:t>
            </w:r>
          </w:p>
          <w:p w:rsidR="00D05064" w:rsidRPr="00263A8B" w:rsidRDefault="007D2BCC" w:rsidP="007D2BCC">
            <w:pPr>
              <w:spacing w:after="0" w:line="240" w:lineRule="auto"/>
              <w:ind w:firstLine="317"/>
              <w:jc w:val="both"/>
              <w:rPr>
                <w:rFonts w:ascii="GHEA Grapalat" w:hAnsi="GHEA Grapalat" w:cs="Sylfaen"/>
                <w:kern w:val="2"/>
                <w:sz w:val="24"/>
                <w:szCs w:val="24"/>
                <w:lang w:val="hy-AM"/>
              </w:rPr>
            </w:pPr>
            <w:r w:rsidRPr="00263A8B">
              <w:rPr>
                <w:rFonts w:ascii="GHEA Grapalat" w:hAnsi="GHEA Grapalat" w:cs="Sylfaen"/>
                <w:kern w:val="2"/>
                <w:sz w:val="24"/>
                <w:szCs w:val="24"/>
                <w:lang w:val="hy-AM"/>
              </w:rPr>
              <w:t>Ն</w:t>
            </w:r>
            <w:r w:rsidR="00D05064" w:rsidRPr="00263A8B">
              <w:rPr>
                <w:rFonts w:ascii="GHEA Grapalat" w:hAnsi="GHEA Grapalat" w:cs="Sylfaen"/>
                <w:kern w:val="2"/>
                <w:sz w:val="24"/>
                <w:szCs w:val="24"/>
                <w:lang w:val="hy-AM"/>
              </w:rPr>
              <w:t>ախագծում ներառվել է</w:t>
            </w:r>
            <w:r w:rsidR="00D05064" w:rsidRPr="00445DB4">
              <w:rPr>
                <w:rFonts w:ascii="GHEA Grapalat" w:hAnsi="GHEA Grapalat" w:cs="Sylfaen"/>
                <w:sz w:val="24"/>
                <w:szCs w:val="24"/>
                <w:lang w:val="hy-AM"/>
              </w:rPr>
              <w:t xml:space="preserve"> Կոմիտեի կողմից իրականացվ</w:t>
            </w:r>
            <w:r w:rsidR="00D05064" w:rsidRPr="00263A8B">
              <w:rPr>
                <w:rFonts w:ascii="GHEA Grapalat" w:hAnsi="GHEA Grapalat" w:cs="Sylfaen"/>
                <w:sz w:val="24"/>
                <w:szCs w:val="24"/>
                <w:lang w:val="hy-AM"/>
              </w:rPr>
              <w:t>ած</w:t>
            </w:r>
            <w:r w:rsidR="00D05064" w:rsidRPr="00445DB4">
              <w:rPr>
                <w:rFonts w:ascii="GHEA Grapalat" w:hAnsi="GHEA Grapalat" w:cs="Sylfaen"/>
                <w:sz w:val="24"/>
                <w:szCs w:val="24"/>
                <w:lang w:val="hy-AM"/>
              </w:rPr>
              <w:t xml:space="preserve"> 50% և ավելի պետական մասնակցությամբ առևտրային </w:t>
            </w:r>
            <w:r w:rsidR="00D05064" w:rsidRPr="00445DB4">
              <w:rPr>
                <w:rFonts w:ascii="GHEA Grapalat" w:hAnsi="GHEA Grapalat" w:cs="Sylfaen"/>
                <w:sz w:val="24"/>
                <w:szCs w:val="24"/>
                <w:lang w:val="hy-AM"/>
              </w:rPr>
              <w:lastRenderedPageBreak/>
              <w:t>կազմակերպությունների 2021 թվականի առաջին կիսամյակի</w:t>
            </w:r>
            <w:r w:rsidR="00D05064" w:rsidRPr="00263A8B">
              <w:rPr>
                <w:rFonts w:ascii="GHEA Grapalat" w:hAnsi="GHEA Grapalat" w:cs="Sylfaen"/>
                <w:kern w:val="2"/>
                <w:sz w:val="24"/>
                <w:szCs w:val="24"/>
                <w:lang w:val="hy-AM"/>
              </w:rPr>
              <w:t xml:space="preserve"> </w:t>
            </w:r>
            <w:r w:rsidR="00D05064" w:rsidRPr="00445DB4">
              <w:rPr>
                <w:rFonts w:ascii="GHEA Grapalat" w:hAnsi="GHEA Grapalat" w:cs="Sylfaen"/>
                <w:sz w:val="24"/>
                <w:szCs w:val="24"/>
                <w:lang w:val="hy-AM"/>
              </w:rPr>
              <w:t>տվյալների հիման վրա  ֆինանսատնտեսական վիճակի դիտարկումներ և վերլուծություններ</w:t>
            </w:r>
            <w:r w:rsidR="00D05064" w:rsidRPr="00263A8B">
              <w:rPr>
                <w:rFonts w:ascii="GHEA Grapalat" w:hAnsi="GHEA Grapalat" w:cs="Sylfaen"/>
                <w:sz w:val="24"/>
                <w:szCs w:val="24"/>
                <w:lang w:val="hy-AM"/>
              </w:rPr>
              <w:t>ի վերաբերյալ արձանագրված արդյունքները:</w:t>
            </w:r>
          </w:p>
          <w:p w:rsidR="00466800" w:rsidRPr="00445DB4" w:rsidRDefault="00466800" w:rsidP="00466800">
            <w:pPr>
              <w:jc w:val="center"/>
              <w:rPr>
                <w:rFonts w:ascii="GHEA Grapalat" w:hAnsi="GHEA Grapalat"/>
                <w:b/>
                <w:sz w:val="24"/>
                <w:szCs w:val="24"/>
                <w:lang w:val="hy-AM"/>
              </w:rPr>
            </w:pPr>
          </w:p>
        </w:tc>
      </w:tr>
      <w:tr w:rsidR="00466800" w:rsidRPr="004D24BE" w:rsidTr="0092557E">
        <w:tc>
          <w:tcPr>
            <w:tcW w:w="6663" w:type="dxa"/>
          </w:tcPr>
          <w:p w:rsidR="00466800" w:rsidRPr="00445DB4" w:rsidRDefault="00466800" w:rsidP="00466800">
            <w:pPr>
              <w:spacing w:after="0"/>
              <w:ind w:right="39"/>
              <w:jc w:val="both"/>
              <w:textAlignment w:val="baseline"/>
              <w:rPr>
                <w:rFonts w:ascii="GHEA Grapalat" w:hAnsi="GHEA Grapalat"/>
                <w:sz w:val="24"/>
                <w:szCs w:val="24"/>
                <w:lang w:val="hy-AM"/>
              </w:rPr>
            </w:pPr>
            <w:r w:rsidRPr="00D717EB">
              <w:rPr>
                <w:rFonts w:ascii="GHEA Grapalat" w:hAnsi="GHEA Grapalat"/>
                <w:b/>
                <w:sz w:val="24"/>
                <w:szCs w:val="24"/>
                <w:lang w:val="hy-AM"/>
              </w:rPr>
              <w:lastRenderedPageBreak/>
              <w:t xml:space="preserve">4. </w:t>
            </w:r>
            <w:r w:rsidRPr="00445DB4">
              <w:rPr>
                <w:rFonts w:ascii="GHEA Grapalat" w:hAnsi="GHEA Grapalat" w:cs="Sylfaen"/>
                <w:sz w:val="24"/>
                <w:szCs w:val="24"/>
                <w:lang w:val="hy-AM"/>
              </w:rPr>
              <w:t>Հաշվետվությամբ</w:t>
            </w:r>
            <w:r w:rsidRPr="00445DB4">
              <w:rPr>
                <w:rFonts w:ascii="GHEA Grapalat" w:hAnsi="GHEA Grapalat"/>
                <w:sz w:val="24"/>
                <w:szCs w:val="24"/>
                <w:lang w:val="hy-AM"/>
              </w:rPr>
              <w:t xml:space="preserve"> պարզաբանված չեն՝</w:t>
            </w:r>
          </w:p>
          <w:p w:rsidR="00466800" w:rsidRPr="00445DB4" w:rsidRDefault="00466800" w:rsidP="00466800">
            <w:pPr>
              <w:spacing w:after="0"/>
              <w:ind w:right="39" w:firstLine="142"/>
              <w:jc w:val="both"/>
              <w:rPr>
                <w:rFonts w:ascii="GHEA Grapalat" w:eastAsia="Times New Roman" w:hAnsi="GHEA Grapalat" w:cs="Arial"/>
                <w:spacing w:val="-8"/>
                <w:sz w:val="24"/>
                <w:szCs w:val="24"/>
                <w:lang w:val="hy-AM" w:eastAsia="ru-RU"/>
              </w:rPr>
            </w:pPr>
            <w:r w:rsidRPr="00445DB4">
              <w:rPr>
                <w:rFonts w:ascii="GHEA Grapalat" w:eastAsia="Times New Roman" w:hAnsi="GHEA Grapalat" w:cs="Arial"/>
                <w:sz w:val="24"/>
                <w:szCs w:val="24"/>
                <w:lang w:val="hy-AM" w:eastAsia="ru-RU"/>
              </w:rPr>
              <w:t>Մասնավորեցված</w:t>
            </w:r>
            <w:r w:rsidRPr="00445DB4">
              <w:rPr>
                <w:rFonts w:ascii="GHEA Grapalat" w:eastAsia="Times New Roman" w:hAnsi="GHEA Grapalat"/>
                <w:sz w:val="24"/>
                <w:szCs w:val="24"/>
                <w:lang w:val="hy-AM" w:eastAsia="ru-RU"/>
              </w:rPr>
              <w:t xml:space="preserve">, </w:t>
            </w:r>
            <w:r w:rsidRPr="00445DB4">
              <w:rPr>
                <w:rFonts w:ascii="GHEA Grapalat" w:eastAsia="Times New Roman" w:hAnsi="GHEA Grapalat" w:cs="Arial"/>
                <w:sz w:val="24"/>
                <w:szCs w:val="24"/>
                <w:lang w:val="hy-AM" w:eastAsia="ru-RU"/>
              </w:rPr>
              <w:t>օտարված</w:t>
            </w:r>
            <w:r w:rsidRPr="00445DB4">
              <w:rPr>
                <w:rFonts w:ascii="GHEA Grapalat" w:eastAsia="Times New Roman" w:hAnsi="GHEA Grapalat" w:cs="Arial Armenian"/>
                <w:sz w:val="24"/>
                <w:szCs w:val="24"/>
                <w:lang w:val="hy-AM" w:eastAsia="ru-RU"/>
              </w:rPr>
              <w:t xml:space="preserve">, </w:t>
            </w:r>
            <w:r w:rsidRPr="00445DB4">
              <w:rPr>
                <w:rFonts w:ascii="GHEA Grapalat" w:eastAsia="Times New Roman" w:hAnsi="GHEA Grapalat" w:cs="Arial"/>
                <w:sz w:val="24"/>
                <w:szCs w:val="24"/>
                <w:lang w:val="hy-AM" w:eastAsia="ru-RU"/>
              </w:rPr>
              <w:t>նվիրաբերված</w:t>
            </w:r>
            <w:r w:rsidRPr="00445DB4">
              <w:rPr>
                <w:rFonts w:ascii="GHEA Grapalat" w:eastAsia="Times New Roman" w:hAnsi="GHEA Grapalat"/>
                <w:sz w:val="24"/>
                <w:szCs w:val="24"/>
                <w:lang w:val="hy-AM" w:eastAsia="ru-RU"/>
              </w:rPr>
              <w:t xml:space="preserve">, </w:t>
            </w:r>
            <w:r w:rsidRPr="00445DB4">
              <w:rPr>
                <w:rFonts w:ascii="GHEA Grapalat" w:eastAsia="Times New Roman" w:hAnsi="GHEA Grapalat" w:cs="Arial"/>
                <w:sz w:val="24"/>
                <w:szCs w:val="24"/>
                <w:lang w:val="hy-AM" w:eastAsia="ru-RU"/>
              </w:rPr>
              <w:t xml:space="preserve">վարձակալությամբ ինչպես նաև անհատույց օգտագործման </w:t>
            </w:r>
            <w:r w:rsidRPr="00445DB4">
              <w:rPr>
                <w:rFonts w:ascii="GHEA Grapalat" w:eastAsia="Times New Roman" w:hAnsi="GHEA Grapalat" w:cs="Arial"/>
                <w:spacing w:val="-6"/>
                <w:sz w:val="24"/>
                <w:szCs w:val="24"/>
                <w:lang w:val="hy-AM" w:eastAsia="ru-RU"/>
              </w:rPr>
              <w:t>իրավունքով տրված օբյեկտների գնորդների</w:t>
            </w:r>
            <w:r w:rsidRPr="00445DB4">
              <w:rPr>
                <w:rFonts w:ascii="GHEA Grapalat" w:eastAsia="Times New Roman" w:hAnsi="GHEA Grapalat"/>
                <w:spacing w:val="-6"/>
                <w:sz w:val="24"/>
                <w:szCs w:val="24"/>
                <w:lang w:val="hy-AM" w:eastAsia="ru-RU"/>
              </w:rPr>
              <w:t xml:space="preserve">, </w:t>
            </w:r>
            <w:r w:rsidRPr="00445DB4">
              <w:rPr>
                <w:rFonts w:ascii="GHEA Grapalat" w:eastAsia="Times New Roman" w:hAnsi="GHEA Grapalat" w:cs="Arial"/>
                <w:spacing w:val="-6"/>
                <w:sz w:val="24"/>
                <w:szCs w:val="24"/>
                <w:lang w:val="hy-AM" w:eastAsia="ru-RU"/>
              </w:rPr>
              <w:t>նվիրառուների</w:t>
            </w:r>
            <w:r w:rsidRPr="00445DB4">
              <w:rPr>
                <w:rFonts w:ascii="GHEA Grapalat" w:eastAsia="Times New Roman" w:hAnsi="GHEA Grapalat"/>
                <w:spacing w:val="-6"/>
                <w:sz w:val="24"/>
                <w:szCs w:val="24"/>
                <w:lang w:val="hy-AM" w:eastAsia="ru-RU"/>
              </w:rPr>
              <w:t xml:space="preserve">, </w:t>
            </w:r>
            <w:r w:rsidRPr="00445DB4">
              <w:rPr>
                <w:rFonts w:ascii="GHEA Grapalat" w:eastAsia="Times New Roman" w:hAnsi="GHEA Grapalat" w:cs="Arial"/>
                <w:spacing w:val="-6"/>
                <w:sz w:val="24"/>
                <w:szCs w:val="24"/>
                <w:lang w:val="hy-AM" w:eastAsia="ru-RU"/>
              </w:rPr>
              <w:t>վարձակալների և օգտագործողների կողմից</w:t>
            </w:r>
            <w:r w:rsidRPr="00445DB4">
              <w:rPr>
                <w:rFonts w:ascii="GHEA Grapalat" w:eastAsia="Times New Roman" w:hAnsi="GHEA Grapalat"/>
                <w:spacing w:val="-6"/>
                <w:sz w:val="24"/>
                <w:szCs w:val="24"/>
                <w:lang w:val="hy-AM" w:eastAsia="ru-RU"/>
              </w:rPr>
              <w:t xml:space="preserve">, </w:t>
            </w:r>
            <w:r w:rsidRPr="00445DB4">
              <w:rPr>
                <w:rFonts w:ascii="GHEA Grapalat" w:eastAsia="Times New Roman" w:hAnsi="GHEA Grapalat" w:cs="Arial"/>
                <w:spacing w:val="-8"/>
                <w:sz w:val="24"/>
                <w:szCs w:val="24"/>
                <w:lang w:val="hy-AM" w:eastAsia="ru-RU"/>
              </w:rPr>
              <w:t>ծրագրային ժամանակահատվածի</w:t>
            </w:r>
            <w:r w:rsidRPr="00445DB4">
              <w:rPr>
                <w:rFonts w:ascii="GHEA Grapalat" w:eastAsia="Times New Roman" w:hAnsi="GHEA Grapalat" w:cs="Arial Armenian"/>
                <w:spacing w:val="-8"/>
                <w:sz w:val="24"/>
                <w:szCs w:val="24"/>
                <w:lang w:val="hy-AM" w:eastAsia="ru-RU"/>
              </w:rPr>
              <w:t xml:space="preserve"> (2021-2023թթ.) </w:t>
            </w:r>
            <w:r w:rsidRPr="00445DB4">
              <w:rPr>
                <w:rFonts w:ascii="GHEA Grapalat" w:eastAsia="Times New Roman" w:hAnsi="GHEA Grapalat" w:cs="Arial"/>
                <w:spacing w:val="-8"/>
                <w:sz w:val="24"/>
                <w:szCs w:val="24"/>
                <w:lang w:val="hy-AM" w:eastAsia="ru-RU"/>
              </w:rPr>
              <w:t xml:space="preserve">ընթացքում ստանձնած ներդրումային պարտավորությունների կատարման մոնիտորինգի մեխանզիմները, այդ թվում Կոմիտեի կողմից </w:t>
            </w:r>
            <w:r w:rsidRPr="00445DB4">
              <w:rPr>
                <w:rFonts w:ascii="GHEA Grapalat" w:eastAsia="Times New Roman" w:hAnsi="GHEA Grapalat" w:cs="Arial"/>
                <w:spacing w:val="-8"/>
                <w:sz w:val="24"/>
                <w:szCs w:val="24"/>
                <w:lang w:val="hy-AM" w:eastAsia="ru-RU"/>
              </w:rPr>
              <w:lastRenderedPageBreak/>
              <w:t>հավաստիացումներ ստանալու ընթացակարգերը, և ներդրումային ծրագրերի դեպքում ներդրողների կողմից 2021 թվականի պարտավորությունների չկատարման հիմքով պարտավորությունների ժամկետների հետաձգումները, որոնք պետության տեսանկյունից ֆինանսական հետևանքներ են առաջացնում, մասնավորապես նոր աշխատատեղերի ստեղծում (օրինակ՝ «Ավելիաց» ՍՊԸ-ի պարտավորության կատարման ժամկետի հետաձգում, «Դամալա Գրուպ» ՍՊԸ-ի 5 մլն ԱՄՆ դոլար ներդրման և 350-450 աշխատատեղերի ստեղծման պարտավորության հետաձգում, «Բասենի Գովք» ՍՊԸ-ի մասով նշված է ներդրման պարտավորության կատարումը և նշված չէ աշխատատեղերի ստեղծման մասով  100-150 աշխատատեղի մասով ինչ է արված, «Հայաստանի ֆուտբոլի ֆեդերացիա» իրավաբանական անձանց միավորման շուրջ 628 մլն ՀՀ դրամ ներդրման պարտավորության ժամկետի հետաձգում և այլն), դրամական միջոջների ներդրումների կատարում և այլն:</w:t>
            </w:r>
          </w:p>
          <w:p w:rsidR="00466800" w:rsidRPr="00445DB4" w:rsidRDefault="00466800" w:rsidP="00466800">
            <w:pPr>
              <w:spacing w:after="0"/>
              <w:ind w:right="39" w:firstLine="142"/>
              <w:jc w:val="both"/>
              <w:rPr>
                <w:rFonts w:ascii="GHEA Grapalat" w:hAnsi="GHEA Grapalat"/>
                <w:b/>
                <w:sz w:val="24"/>
                <w:szCs w:val="24"/>
                <w:lang w:val="hy-AM"/>
              </w:rPr>
            </w:pPr>
            <w:r w:rsidRPr="00445DB4">
              <w:rPr>
                <w:rFonts w:ascii="GHEA Grapalat" w:eastAsia="Times New Roman" w:hAnsi="GHEA Grapalat" w:cs="Arial"/>
                <w:b/>
                <w:spacing w:val="-8"/>
                <w:sz w:val="24"/>
                <w:szCs w:val="24"/>
                <w:lang w:val="hy-AM" w:eastAsia="ru-RU"/>
              </w:rPr>
              <w:t xml:space="preserve">Քանի որ առկա չէ հավաստիացումներ ստանալու և մոնիտորինգ իրականացնելու մեխանիզմներ՝ Կոմիտեն հենվում է միայն ներդրող ընկերության կողմից վարձվող անկախ փորձագետի կողմից տրամադրված եզրակացության հիման վրա միայն, ուստի առաջարկվում է մշակել և ներդնել հավաստիացման հստակ մեխանիզմեր (օրինակ ՊԵԿ-ից ստանալ տեղեկատվություն հաշվետու </w:t>
            </w:r>
            <w:r w:rsidRPr="00445DB4">
              <w:rPr>
                <w:rFonts w:ascii="GHEA Grapalat" w:eastAsia="Times New Roman" w:hAnsi="GHEA Grapalat" w:cs="Arial"/>
                <w:b/>
                <w:spacing w:val="-8"/>
                <w:sz w:val="24"/>
                <w:szCs w:val="24"/>
                <w:lang w:val="hy-AM" w:eastAsia="ru-RU"/>
              </w:rPr>
              <w:lastRenderedPageBreak/>
              <w:t>ժամանակաշրջանում գրանցված աշխատակցիներ, մասով, ստացված հարկային հաշիվներ մասով և այլն):</w:t>
            </w:r>
          </w:p>
        </w:tc>
        <w:tc>
          <w:tcPr>
            <w:tcW w:w="7230" w:type="dxa"/>
          </w:tcPr>
          <w:p w:rsidR="00466800" w:rsidRPr="005F49C9" w:rsidRDefault="00466800" w:rsidP="00466800">
            <w:pPr>
              <w:spacing w:after="0"/>
              <w:ind w:firstLine="460"/>
              <w:jc w:val="both"/>
              <w:rPr>
                <w:rFonts w:ascii="GHEA Grapalat" w:hAnsi="GHEA Grapalat"/>
                <w:bCs/>
                <w:color w:val="000000" w:themeColor="text1"/>
                <w:sz w:val="24"/>
                <w:szCs w:val="24"/>
                <w:lang w:val="hy-AM"/>
              </w:rPr>
            </w:pPr>
            <w:r w:rsidRPr="005F49C9">
              <w:rPr>
                <w:rFonts w:ascii="GHEA Grapalat" w:hAnsi="GHEA Grapalat"/>
                <w:bCs/>
                <w:color w:val="000000" w:themeColor="text1"/>
                <w:sz w:val="24"/>
                <w:szCs w:val="24"/>
                <w:lang w:val="hy-AM"/>
              </w:rPr>
              <w:lastRenderedPageBreak/>
              <w:t>Պայմանագրերի կնքման և պայմանագրային պարտավորությունների հսկողության բաժնի կողմից (այսուհետ՝ Բաժին) կնքված պայմանագրերով ստանձնած պարտավորությունների կատարման նկատմամբ հսկողությունն իրականացնելու վերաբերյալ գործընթացը կարգավորված է Բաժնի կանոնադրությամբ:</w:t>
            </w:r>
          </w:p>
          <w:p w:rsidR="00466800" w:rsidRPr="005F49C9" w:rsidRDefault="00466800" w:rsidP="00466800">
            <w:pPr>
              <w:spacing w:after="0"/>
              <w:ind w:firstLine="460"/>
              <w:jc w:val="both"/>
              <w:rPr>
                <w:rFonts w:ascii="GHEA Grapalat" w:hAnsi="GHEA Grapalat"/>
                <w:bCs/>
                <w:color w:val="000000" w:themeColor="text1"/>
                <w:sz w:val="24"/>
                <w:szCs w:val="24"/>
                <w:lang w:val="hy-AM"/>
              </w:rPr>
            </w:pPr>
            <w:r w:rsidRPr="005F49C9">
              <w:rPr>
                <w:rFonts w:ascii="GHEA Grapalat" w:hAnsi="GHEA Grapalat"/>
                <w:bCs/>
                <w:color w:val="000000" w:themeColor="text1"/>
                <w:sz w:val="24"/>
                <w:szCs w:val="24"/>
                <w:lang w:val="hy-AM"/>
              </w:rPr>
              <w:t xml:space="preserve">Պայմանագրային պատավորությունների կատարման վերաբերյալ հաշվետվությունն ընդունելու որևէ ձևաչափ սահմանված չէ օրենսդրությամբ: Ինչ վերաբերվում է </w:t>
            </w:r>
            <w:r w:rsidRPr="005F49C9">
              <w:rPr>
                <w:rFonts w:ascii="GHEA Grapalat" w:hAnsi="GHEA Grapalat"/>
                <w:bCs/>
                <w:color w:val="000000" w:themeColor="text1"/>
                <w:sz w:val="24"/>
                <w:szCs w:val="24"/>
                <w:lang w:val="hy-AM"/>
              </w:rPr>
              <w:lastRenderedPageBreak/>
              <w:t>մասնավորեցված, օտարված, նվիրաբերված, վարձակալության, ինչպես նաև անհատույց օգտագործման իրավունքով տրամադրված օբյեկտների գնորդների, նվիրաբերություն ստացողների, վարձակալների և փոխառուների կողմից հաշվետու ժամանակահատվածում պայմանագրերով ստանձնած պարտավորությունների կատարման վերաբերյալ հաշվետվությունների  ընդունման մեխանիզմներին, ապա հայտնում ենք, որ պայմանագրերով նախատեսված պարտավորությունների կատարման վերաբերյալ տեղեկատվությունն իր մեջ ներառում է, անկախ գնահատողի կողմից ներկայացված հաշվետվությունը (որը պայմանագրի կողմը կարող է ներկայացնել իր հայեցողությամբ), պայմանագրեր, նախահաշիվներ, կատարողական ակտեր, ընդունման-հանձնման ակտեր, հարկային հաշիվներ, վճարման հանձնարարագրեր և այլ անհարժեշտ փաստաթղթեր:  Գործարար ծրագրերով նախատեսված պարտավորությունները ընդունվում են նաև այլ փաստաթղթերով, ըստ գործունեության ուղղվածության (օրինակ՝ լուսանկարներ, տեսաերիզներ, հաշվետվություններ կատարված աշխատանքների վերաբերյալ և այլ փաստաթղթեր), որոնք ամփոփվում են պայմանագրի առարկա հանդիսացող տարածքում փաստացի տեղազննությամբ, որի վերաբերյալ կազմվում է համապատասխան արձանագրություն:</w:t>
            </w:r>
          </w:p>
          <w:p w:rsidR="00466800" w:rsidRPr="004D24BE" w:rsidRDefault="00466800" w:rsidP="004D24BE">
            <w:pPr>
              <w:spacing w:after="0"/>
              <w:ind w:firstLine="319"/>
              <w:jc w:val="both"/>
              <w:rPr>
                <w:rFonts w:ascii="GHEA Grapalat" w:hAnsi="GHEA Grapalat"/>
                <w:bCs/>
                <w:color w:val="000000" w:themeColor="text1"/>
                <w:sz w:val="24"/>
                <w:szCs w:val="24"/>
                <w:lang w:val="hy-AM"/>
              </w:rPr>
            </w:pPr>
            <w:r w:rsidRPr="005F49C9">
              <w:rPr>
                <w:rFonts w:ascii="GHEA Grapalat" w:hAnsi="GHEA Grapalat"/>
                <w:bCs/>
                <w:color w:val="000000" w:themeColor="text1"/>
                <w:sz w:val="24"/>
                <w:szCs w:val="24"/>
                <w:lang w:val="hy-AM"/>
              </w:rPr>
              <w:lastRenderedPageBreak/>
              <w:t>Հայտնում ենք նաև, որ Կոմիտեն պայմանագրային պարտավորությունների կատարման վերաբերյալ ներկայացված փաստաթղթերի հավաստիությունը որոշելու նպատակով, ըստ անհրաժեշտության  տեղեկատվություն է պահանջում տվյալ ոլորտը կարգավորող համապատասխան լիազոր մարմիններից (օրինակ՝ Հայասատանի Հանրապետության պետական եկամուտների կոմիտեից, Հայասատանի Հանրապետության ազգային վիճակագրական կոմիտեից և այլ պետական մարմիններից</w:t>
            </w:r>
            <w:r w:rsidR="004D24BE">
              <w:rPr>
                <w:rFonts w:ascii="GHEA Grapalat" w:hAnsi="GHEA Grapalat"/>
                <w:bCs/>
                <w:color w:val="000000" w:themeColor="text1"/>
                <w:sz w:val="24"/>
                <w:szCs w:val="24"/>
                <w:lang w:val="hy-AM"/>
              </w:rPr>
              <w:t xml:space="preserve">), իսկ </w:t>
            </w:r>
            <w:r w:rsidRPr="002231F1">
              <w:rPr>
                <w:rFonts w:ascii="GHEA Grapalat" w:hAnsi="GHEA Grapalat"/>
                <w:bCs/>
                <w:color w:val="000000" w:themeColor="text1"/>
                <w:sz w:val="24"/>
                <w:szCs w:val="24"/>
                <w:lang w:val="hy-AM"/>
              </w:rPr>
              <w:t>պայմանագրային պարտավորությունների կատարման ժամկետները երկարաձգելու վերաբերյալ փոփոխություններն իրականացվում են ՀՀ կառավարության համապատասխան որոշումներով:</w:t>
            </w:r>
          </w:p>
        </w:tc>
      </w:tr>
      <w:tr w:rsidR="00466800" w:rsidRPr="004D24BE" w:rsidTr="0092557E">
        <w:tc>
          <w:tcPr>
            <w:tcW w:w="6663" w:type="dxa"/>
          </w:tcPr>
          <w:p w:rsidR="00466800" w:rsidRPr="00445DB4" w:rsidRDefault="00466800" w:rsidP="00466800">
            <w:pPr>
              <w:spacing w:after="0"/>
              <w:jc w:val="both"/>
              <w:rPr>
                <w:rFonts w:ascii="GHEA Grapalat" w:hAnsi="GHEA Grapalat" w:cs="Sylfaen"/>
                <w:sz w:val="24"/>
                <w:szCs w:val="24"/>
                <w:lang w:val="hy-AM"/>
              </w:rPr>
            </w:pPr>
            <w:r w:rsidRPr="00445DB4">
              <w:rPr>
                <w:rFonts w:ascii="GHEA Grapalat" w:hAnsi="GHEA Grapalat"/>
                <w:b/>
                <w:sz w:val="24"/>
                <w:szCs w:val="24"/>
                <w:lang w:val="hy-AM"/>
              </w:rPr>
              <w:lastRenderedPageBreak/>
              <w:t xml:space="preserve">5. </w:t>
            </w:r>
            <w:r w:rsidRPr="00445DB4">
              <w:rPr>
                <w:rFonts w:ascii="GHEA Grapalat" w:hAnsi="GHEA Grapalat" w:cs="Sylfaen"/>
                <w:sz w:val="24"/>
                <w:szCs w:val="24"/>
                <w:lang w:val="hy-AM"/>
              </w:rPr>
              <w:t>Վարձակալությամբ</w:t>
            </w:r>
            <w:r w:rsidRPr="00445DB4">
              <w:rPr>
                <w:rFonts w:ascii="GHEA Grapalat" w:hAnsi="GHEA Grapalat"/>
                <w:sz w:val="24"/>
                <w:szCs w:val="24"/>
                <w:lang w:val="hy-AM"/>
              </w:rPr>
              <w:t xml:space="preserve"> և անհատույց օգտագործման իրավունքով տրված օբյեկտների վարձակալների և օգտագործողների կողմից ստանձնած պարտավորությունների մասով</w:t>
            </w:r>
            <w:r w:rsidRPr="00445DB4">
              <w:rPr>
                <w:rFonts w:ascii="GHEA Grapalat" w:eastAsia="Times New Roman" w:hAnsi="GHEA Grapalat" w:cs="Arial"/>
                <w:spacing w:val="-8"/>
                <w:sz w:val="24"/>
                <w:szCs w:val="24"/>
                <w:lang w:val="hy-AM" w:eastAsia="ru-RU"/>
              </w:rPr>
              <w:t xml:space="preserve"> որոշ դեպքերում, երբ որպես պարտավորություն է նշված պրոֆիլի </w:t>
            </w:r>
            <w:r w:rsidRPr="00445DB4">
              <w:rPr>
                <w:rFonts w:ascii="GHEA Grapalat" w:hAnsi="GHEA Grapalat"/>
                <w:sz w:val="24"/>
                <w:szCs w:val="24"/>
                <w:lang w:val="hy-AM"/>
              </w:rPr>
              <w:t>գործունեություն իրականացնելու պարտավորություն, որպես արդյունք է</w:t>
            </w:r>
            <w:r w:rsidRPr="00445DB4">
              <w:rPr>
                <w:rFonts w:ascii="GHEA Grapalat" w:eastAsia="Times New Roman" w:hAnsi="GHEA Grapalat" w:cs="Arial"/>
                <w:spacing w:val="-8"/>
                <w:sz w:val="24"/>
                <w:szCs w:val="24"/>
                <w:lang w:val="hy-AM" w:eastAsia="ru-RU"/>
              </w:rPr>
              <w:t xml:space="preserve"> նշված պարտավորությունները կատարվում են, ինչը մեր գնահատմամբ պետք է տեղի ունենա հստակ հավաստացմամբ:   Օրինակ ՝ </w:t>
            </w:r>
            <w:r w:rsidRPr="00445DB4">
              <w:rPr>
                <w:rFonts w:ascii="GHEA Grapalat" w:eastAsia="Times New Roman" w:hAnsi="GHEA Grapalat" w:cs="Times Armenian"/>
                <w:sz w:val="24"/>
                <w:szCs w:val="24"/>
                <w:lang w:val="fr-FR"/>
              </w:rPr>
              <w:t>«</w:t>
            </w:r>
            <w:r w:rsidRPr="00445DB4">
              <w:rPr>
                <w:rFonts w:ascii="GHEA Grapalat" w:eastAsia="Times New Roman" w:hAnsi="GHEA Grapalat"/>
                <w:sz w:val="24"/>
                <w:szCs w:val="24"/>
                <w:lang w:val="hy-AM"/>
              </w:rPr>
              <w:t>Ռոբերտ Սահակյանցի անվան անիմացիոն արվեստանոց</w:t>
            </w:r>
            <w:r w:rsidRPr="00445DB4">
              <w:rPr>
                <w:rFonts w:ascii="GHEA Grapalat" w:eastAsia="Times New Roman" w:hAnsi="GHEA Grapalat" w:cs="Arial Armenian"/>
                <w:sz w:val="24"/>
                <w:szCs w:val="24"/>
                <w:lang w:val="fr-FR"/>
              </w:rPr>
              <w:t>»</w:t>
            </w:r>
            <w:r w:rsidRPr="00445DB4">
              <w:rPr>
                <w:rFonts w:ascii="GHEA Grapalat" w:eastAsia="Times New Roman" w:hAnsi="GHEA Grapalat"/>
                <w:sz w:val="24"/>
                <w:szCs w:val="24"/>
                <w:lang w:val="hy-AM"/>
              </w:rPr>
              <w:t xml:space="preserve"> ՀԿ-ի կողմից ստանձնած պարտավորություն է՝  </w:t>
            </w:r>
            <w:r w:rsidRPr="00445DB4">
              <w:rPr>
                <w:rFonts w:ascii="GHEA Grapalat" w:hAnsi="GHEA Grapalat"/>
                <w:sz w:val="24"/>
                <w:szCs w:val="24"/>
                <w:lang w:val="hy-AM"/>
              </w:rPr>
              <w:t xml:space="preserve">դպրոց-ստուդիայի հիմնադրում և Կինոսրահի բացում և թանգարանի բացում: </w:t>
            </w:r>
            <w:r w:rsidRPr="00445DB4">
              <w:rPr>
                <w:rFonts w:ascii="GHEA Grapalat" w:hAnsi="GHEA Grapalat"/>
                <w:sz w:val="24"/>
                <w:szCs w:val="24"/>
                <w:lang w:val="hy-AM"/>
              </w:rPr>
              <w:lastRenderedPageBreak/>
              <w:t>Նշված է որ պարտավորությունները կատարվում են: Հիմա անհասկանալի է թե դպրոց ստուդիան,  կիոնոսրահի թանգարանը վերջիվերջո 2021 թվականի ընթացքում հիմնադրվել և բացվել են թե ոչ՞:</w:t>
            </w:r>
          </w:p>
          <w:p w:rsidR="00466800" w:rsidRPr="00445DB4" w:rsidRDefault="00466800" w:rsidP="00466800">
            <w:pPr>
              <w:spacing w:after="0"/>
              <w:jc w:val="both"/>
              <w:rPr>
                <w:rFonts w:ascii="GHEA Grapalat" w:hAnsi="GHEA Grapalat"/>
                <w:b/>
                <w:sz w:val="24"/>
                <w:szCs w:val="24"/>
                <w:lang w:val="hy-AM"/>
              </w:rPr>
            </w:pPr>
            <w:r w:rsidRPr="00445DB4">
              <w:rPr>
                <w:rFonts w:ascii="GHEA Grapalat" w:hAnsi="GHEA Grapalat"/>
                <w:b/>
                <w:sz w:val="24"/>
                <w:szCs w:val="24"/>
                <w:lang w:val="hy-AM"/>
              </w:rPr>
              <w:t xml:space="preserve">Առաջարկվում է ինչպես պարտավորությունների սահմանման այնպես էլ պարտավորություններ կատարման գործընթացները դարձնել հնարավորինս կոնկրետ չափելի և արդյունքների տեսանկյունից հստակ: </w:t>
            </w:r>
          </w:p>
        </w:tc>
        <w:tc>
          <w:tcPr>
            <w:tcW w:w="7230" w:type="dxa"/>
          </w:tcPr>
          <w:p w:rsidR="00466800" w:rsidRPr="002231F1" w:rsidRDefault="00466800" w:rsidP="00466800">
            <w:pPr>
              <w:spacing w:after="0"/>
              <w:ind w:firstLine="319"/>
              <w:jc w:val="both"/>
              <w:rPr>
                <w:rFonts w:ascii="GHEA Grapalat" w:hAnsi="GHEA Grapalat"/>
                <w:sz w:val="24"/>
                <w:szCs w:val="24"/>
                <w:lang w:val="hy-AM"/>
              </w:rPr>
            </w:pPr>
            <w:r w:rsidRPr="002231F1">
              <w:rPr>
                <w:rFonts w:ascii="GHEA Grapalat" w:hAnsi="GHEA Grapalat"/>
                <w:bCs/>
                <w:color w:val="000000" w:themeColor="text1"/>
                <w:sz w:val="24"/>
                <w:szCs w:val="24"/>
                <w:lang w:val="hy-AM"/>
              </w:rPr>
              <w:lastRenderedPageBreak/>
              <w:t xml:space="preserve"> «Ռոբերտ Սահակյանցի անվան անիմացիոն արվեստանոց» ՀԿ-ի (այսուհետ՝ Կազմակերպություն) կողմից ստանձնած պարտավորությունների </w:t>
            </w:r>
            <w:r w:rsidR="000134E1">
              <w:rPr>
                <w:rFonts w:ascii="GHEA Grapalat" w:hAnsi="GHEA Grapalat"/>
                <w:bCs/>
                <w:color w:val="000000" w:themeColor="text1"/>
                <w:sz w:val="24"/>
                <w:szCs w:val="24"/>
                <w:lang w:val="hy-AM"/>
              </w:rPr>
              <w:t>կատարման</w:t>
            </w:r>
            <w:r w:rsidRPr="002231F1">
              <w:rPr>
                <w:rFonts w:ascii="GHEA Grapalat" w:hAnsi="GHEA Grapalat"/>
                <w:bCs/>
                <w:color w:val="000000" w:themeColor="text1"/>
                <w:sz w:val="24"/>
                <w:szCs w:val="24"/>
                <w:lang w:val="hy-AM"/>
              </w:rPr>
              <w:t xml:space="preserve"> (դպրոց-ստուդիայի հիմնադրում, կինոսրահի բացում և թանգարանի բացում)</w:t>
            </w:r>
            <w:r w:rsidR="00CD107B" w:rsidRPr="000134E1">
              <w:rPr>
                <w:rFonts w:ascii="GHEA Grapalat" w:hAnsi="GHEA Grapalat"/>
                <w:bCs/>
                <w:color w:val="000000" w:themeColor="text1"/>
                <w:sz w:val="24"/>
                <w:szCs w:val="24"/>
                <w:lang w:val="hy-AM"/>
              </w:rPr>
              <w:t xml:space="preserve"> վերաբերյալ </w:t>
            </w:r>
            <w:r w:rsidRPr="002231F1">
              <w:rPr>
                <w:rFonts w:ascii="GHEA Grapalat" w:hAnsi="GHEA Grapalat"/>
                <w:bCs/>
                <w:color w:val="000000" w:themeColor="text1"/>
                <w:sz w:val="24"/>
                <w:szCs w:val="24"/>
                <w:lang w:val="hy-AM"/>
              </w:rPr>
              <w:t>հայտնում ենք, որ  վ</w:t>
            </w:r>
            <w:r w:rsidRPr="002231F1">
              <w:rPr>
                <w:rFonts w:ascii="GHEA Grapalat" w:hAnsi="GHEA Grapalat"/>
                <w:sz w:val="24"/>
                <w:szCs w:val="24"/>
                <w:lang w:val="hy-AM"/>
              </w:rPr>
              <w:t>երջինիս կողմից տարածքն օգտագործվում է ներկայացված ծրագրին համապատասխան՝ հիմնադրվել է դպրոց-ստուդիա, կինոսրահ և թանգարան (անհրաժեշտության դեպքում կտրամադրվեն համապատասխան փաստաթղթերը):</w:t>
            </w:r>
          </w:p>
          <w:p w:rsidR="00466800" w:rsidRPr="00445DB4" w:rsidRDefault="00466800" w:rsidP="00466800">
            <w:pPr>
              <w:jc w:val="center"/>
              <w:rPr>
                <w:rFonts w:ascii="GHEA Grapalat" w:hAnsi="GHEA Grapalat"/>
                <w:b/>
                <w:sz w:val="24"/>
                <w:szCs w:val="24"/>
                <w:lang w:val="hy-AM"/>
              </w:rPr>
            </w:pPr>
          </w:p>
        </w:tc>
      </w:tr>
      <w:tr w:rsidR="00466800" w:rsidRPr="00445DB4" w:rsidTr="0092557E">
        <w:tc>
          <w:tcPr>
            <w:tcW w:w="13893" w:type="dxa"/>
            <w:gridSpan w:val="2"/>
            <w:shd w:val="clear" w:color="auto" w:fill="BFBFBF" w:themeFill="background1" w:themeFillShade="BF"/>
          </w:tcPr>
          <w:p w:rsidR="00466800" w:rsidRPr="00445DB4" w:rsidRDefault="00466800" w:rsidP="00466800">
            <w:pPr>
              <w:spacing w:after="0"/>
              <w:ind w:right="-180"/>
              <w:jc w:val="center"/>
              <w:rPr>
                <w:rFonts w:ascii="GHEA Grapalat" w:hAnsi="GHEA Grapalat"/>
                <w:b/>
                <w:sz w:val="24"/>
                <w:szCs w:val="24"/>
                <w:lang w:val="hy-AM"/>
              </w:rPr>
            </w:pPr>
            <w:r w:rsidRPr="00DC5AB1">
              <w:rPr>
                <w:rFonts w:ascii="GHEA Grapalat" w:eastAsiaTheme="minorHAnsi" w:hAnsi="GHEA Grapalat" w:cstheme="minorBidi"/>
                <w:b/>
                <w:sz w:val="24"/>
                <w:szCs w:val="24"/>
                <w:lang w:val="hy-AM"/>
              </w:rPr>
              <w:lastRenderedPageBreak/>
              <w:t>Փոխվարչապետ Համբարձում Մաթևոսյանի գրասենյակ</w:t>
            </w:r>
          </w:p>
        </w:tc>
      </w:tr>
      <w:tr w:rsidR="00466800" w:rsidRPr="004D24BE" w:rsidTr="0092557E">
        <w:tc>
          <w:tcPr>
            <w:tcW w:w="6663" w:type="dxa"/>
          </w:tcPr>
          <w:p w:rsidR="00466800" w:rsidRPr="00445DB4" w:rsidRDefault="00466800" w:rsidP="00466800">
            <w:pPr>
              <w:spacing w:after="0"/>
              <w:jc w:val="both"/>
              <w:rPr>
                <w:rFonts w:ascii="GHEA Grapalat" w:hAnsi="GHEA Grapalat"/>
                <w:b/>
                <w:sz w:val="24"/>
                <w:szCs w:val="24"/>
                <w:lang w:val="hy-AM"/>
              </w:rPr>
            </w:pPr>
            <w:r w:rsidRPr="00445DB4">
              <w:rPr>
                <w:rFonts w:ascii="GHEA Grapalat" w:hAnsi="GHEA Grapalat"/>
                <w:b/>
                <w:sz w:val="24"/>
                <w:szCs w:val="24"/>
                <w:lang w:val="hy-AM"/>
              </w:rPr>
              <w:t xml:space="preserve">1.  </w:t>
            </w:r>
            <w:r w:rsidRPr="00445DB4">
              <w:rPr>
                <w:rFonts w:ascii="GHEA Grapalat" w:eastAsia="Batang" w:hAnsi="GHEA Grapalat" w:cs="Sylfaen"/>
                <w:sz w:val="24"/>
                <w:szCs w:val="24"/>
                <w:lang w:val="hy-AM"/>
              </w:rPr>
              <w:t xml:space="preserve">Հայաստանի Հանրապետության կառավարության 2021 թվականի ապրիլի 1-ի N 458-Լ որոշման </w:t>
            </w:r>
            <w:r w:rsidRPr="00445DB4">
              <w:rPr>
                <w:rFonts w:ascii="GHEA Grapalat" w:eastAsia="Times New Roman" w:hAnsi="GHEA Grapalat"/>
                <w:sz w:val="24"/>
                <w:szCs w:val="24"/>
                <w:lang w:val="hy-AM" w:eastAsia="ru-RU"/>
              </w:rPr>
              <w:t xml:space="preserve">Ծրագրի </w:t>
            </w:r>
            <w:r w:rsidRPr="00445DB4">
              <w:rPr>
                <w:rFonts w:ascii="GHEA Grapalat" w:eastAsia="Batang" w:hAnsi="GHEA Grapalat" w:cs="Sylfaen"/>
                <w:sz w:val="24"/>
                <w:szCs w:val="24"/>
                <w:lang w:val="hy-AM"/>
              </w:rPr>
              <w:t>հավելված</w:t>
            </w:r>
            <w:r w:rsidRPr="00445DB4">
              <w:rPr>
                <w:rFonts w:ascii="GHEA Grapalat" w:eastAsia="Batang" w:hAnsi="GHEA Grapalat" w:cs="Sylfaen"/>
                <w:sz w:val="24"/>
                <w:szCs w:val="24"/>
                <w:lang w:val="af-ZA"/>
              </w:rPr>
              <w:t xml:space="preserve"> N</w:t>
            </w:r>
            <w:r w:rsidRPr="00445DB4">
              <w:rPr>
                <w:rFonts w:ascii="GHEA Grapalat" w:eastAsia="Batang" w:hAnsi="GHEA Grapalat" w:cs="Sylfaen"/>
                <w:sz w:val="24"/>
                <w:szCs w:val="24"/>
                <w:lang w:val="hy-AM"/>
              </w:rPr>
              <w:t xml:space="preserve"> 3</w:t>
            </w:r>
            <w:r w:rsidRPr="00445DB4">
              <w:rPr>
                <w:rFonts w:ascii="GHEA Grapalat" w:eastAsia="Batang" w:hAnsi="GHEA Grapalat" w:cs="Sylfaen"/>
                <w:sz w:val="24"/>
                <w:szCs w:val="24"/>
                <w:lang w:val="af-ZA"/>
              </w:rPr>
              <w:t>-</w:t>
            </w:r>
            <w:r w:rsidRPr="00445DB4">
              <w:rPr>
                <w:rFonts w:ascii="GHEA Grapalat" w:eastAsia="Batang" w:hAnsi="GHEA Grapalat" w:cs="Sylfaen"/>
                <w:sz w:val="24"/>
                <w:szCs w:val="24"/>
                <w:lang w:val="hy-AM"/>
              </w:rPr>
              <w:t>ի</w:t>
            </w:r>
            <w:r w:rsidRPr="00445DB4">
              <w:rPr>
                <w:rFonts w:ascii="GHEA Grapalat" w:hAnsi="GHEA Grapalat"/>
                <w:color w:val="000000" w:themeColor="text1"/>
                <w:sz w:val="24"/>
                <w:szCs w:val="24"/>
                <w:lang w:val="hy-AM"/>
              </w:rPr>
              <w:t xml:space="preserve"> ցանկում ընդգրկված կազմակերպությունների տնտեսական գործունեության հիմնական ցուցանիշների վերլուծության հետ կապված հաշվետվության 17-րդ կետում նշված է, որ </w:t>
            </w:r>
            <w:r w:rsidRPr="00445DB4">
              <w:rPr>
                <w:rFonts w:ascii="GHEA Grapalat" w:hAnsi="GHEA Grapalat"/>
                <w:sz w:val="24"/>
                <w:szCs w:val="24"/>
                <w:lang w:val="hy-AM"/>
              </w:rPr>
              <w:t>վերլուծության արդյունքներն ամփոփ տեղեկանքների տեսքով ներկայացվել են Վարչապետին և ՀՀ ֆինանսների նախարարությանը, սակայն անդրադարձ չի կատարվել այն մասին, թե արտադրանքի, աշխատանքի, ապրանքների, ծառայությունների իրացումից 2021թ.ի ընթացքում կանխատեսված հասույթի քանի տոկոսն է հավաքագրվել:</w:t>
            </w:r>
          </w:p>
        </w:tc>
        <w:tc>
          <w:tcPr>
            <w:tcW w:w="7230" w:type="dxa"/>
          </w:tcPr>
          <w:p w:rsidR="00466800" w:rsidRPr="00445DB4" w:rsidRDefault="00466800" w:rsidP="00466800">
            <w:pPr>
              <w:ind w:firstLine="425"/>
              <w:jc w:val="both"/>
              <w:rPr>
                <w:rFonts w:ascii="GHEA Grapalat" w:hAnsi="GHEA Grapalat"/>
                <w:b/>
                <w:sz w:val="24"/>
                <w:szCs w:val="24"/>
                <w:lang w:val="hy-AM"/>
              </w:rPr>
            </w:pPr>
            <w:r w:rsidRPr="00093CAC">
              <w:rPr>
                <w:rFonts w:ascii="GHEA Grapalat" w:hAnsi="GHEA Grapalat" w:cs="Sylfaen"/>
                <w:kern w:val="2"/>
                <w:sz w:val="24"/>
                <w:szCs w:val="24"/>
                <w:lang w:val="hy-AM"/>
              </w:rPr>
              <w:t xml:space="preserve">ՀՀ կառավարության 2021թ-ի նոյեմբերի 18-ի «Հայաստանի Հանրապետության կառավարության 2021-2026 թվականների գործունեության միջոցառումների ծրագիրը հաստատելու մասին» N 1902-Լ որոշմամբ հաստատված հավելվածի «ՀՀ տարածքային կառավարման և ենթակառուցվածքներ նախարարություն» բաժնի 96.1-րդ կետի կատարումն ապահովելու համար նախատեսվում է մշակել «Հայաստանի Հանրապետության կառավարության 2017 թվականի հոկտեմբերի 5-ի N 1262-Ն որոշման մեջ փոփոխություններ և լրացումներ կատարելու մասին» ՀՀ կառավարության որոշման նախագիծ։ Հաշվի առնելով, որ  նախագծի ընդունումը պայմանավորված է պետական մասնակցությամբ առևտրային կազմակերպությունների գործունեության մշտադիտարկման և վերլուծության գործող ցուցանիշների համակարգը </w:t>
            </w:r>
            <w:r w:rsidRPr="00093CAC">
              <w:rPr>
                <w:rFonts w:ascii="GHEA Grapalat" w:hAnsi="GHEA Grapalat" w:cs="Sylfaen"/>
                <w:kern w:val="2"/>
                <w:sz w:val="24"/>
                <w:szCs w:val="24"/>
                <w:lang w:val="hy-AM"/>
              </w:rPr>
              <w:lastRenderedPageBreak/>
              <w:t>բարեփոխելու, կազմակերպությունների կառավարման որակը բարելավելու և գործունեության արդյունավետությունը բարձրացնելու անհրաժեշտությամբ, ապա պահանջվող ցուցանիշներ մեջ առաջարկվում է լրացուցիչ ներկայացնել նաև ապրանքի, արտադրանքի,  ծառայությունների իրացումից հաշվետու տարվա համար կանխատեսված հասույթի չափը, որը հնարավորություն կտա վերլուծության արդյունքների ամփոփ տեղեկանքում վերլուծել, թե կանխատեսված հասույթի քանի տոկոսն է հավաքագրվել։</w:t>
            </w:r>
          </w:p>
        </w:tc>
      </w:tr>
      <w:tr w:rsidR="00466800" w:rsidRPr="000B5049" w:rsidTr="0092557E">
        <w:tc>
          <w:tcPr>
            <w:tcW w:w="6663" w:type="dxa"/>
          </w:tcPr>
          <w:p w:rsidR="00466800" w:rsidRPr="00445DB4" w:rsidRDefault="00466800" w:rsidP="00466800">
            <w:pPr>
              <w:spacing w:after="0"/>
              <w:jc w:val="both"/>
              <w:rPr>
                <w:rFonts w:ascii="GHEA Grapalat" w:hAnsi="GHEA Grapalat"/>
                <w:b/>
                <w:sz w:val="24"/>
                <w:szCs w:val="24"/>
                <w:lang w:val="hy-AM"/>
              </w:rPr>
            </w:pPr>
            <w:r w:rsidRPr="00445DB4">
              <w:rPr>
                <w:rFonts w:ascii="GHEA Grapalat" w:hAnsi="GHEA Grapalat"/>
                <w:b/>
                <w:sz w:val="24"/>
                <w:szCs w:val="24"/>
                <w:lang w:val="hy-AM"/>
              </w:rPr>
              <w:lastRenderedPageBreak/>
              <w:t xml:space="preserve">2. </w:t>
            </w:r>
            <w:r w:rsidRPr="00445DB4">
              <w:rPr>
                <w:rFonts w:ascii="GHEA Grapalat" w:eastAsia="Batang" w:hAnsi="GHEA Grapalat" w:cs="Sylfaen"/>
                <w:sz w:val="24"/>
                <w:szCs w:val="24"/>
                <w:lang w:val="hy-AM"/>
              </w:rPr>
              <w:t xml:space="preserve">Վարձակալությամբ և անհատույց օգտագործման իրավունքով տրված օբյեկտների վարձակալների և օգտագործողների կողմից ստանձնած պարտավորությունների մասով որոշ դեպքերում երբ որպես պարտավորություն է նշված պրոֆիլի գործունեություն իրականացնելու պարտավորություն, որպես արդյունք է նշված պարտավորությունները կատարվում են, ինչը, կարծում ենք, պետք է տեղի ունենա հստակ հավաստացմամբ:   </w:t>
            </w:r>
          </w:p>
        </w:tc>
        <w:tc>
          <w:tcPr>
            <w:tcW w:w="7230" w:type="dxa"/>
          </w:tcPr>
          <w:p w:rsidR="00466800" w:rsidRPr="00506312" w:rsidRDefault="00945442" w:rsidP="00466800">
            <w:pPr>
              <w:jc w:val="both"/>
              <w:rPr>
                <w:rFonts w:ascii="GHEA Grapalat" w:hAnsi="GHEA Grapalat"/>
                <w:sz w:val="24"/>
                <w:szCs w:val="24"/>
                <w:lang w:val="hy-AM"/>
              </w:rPr>
            </w:pPr>
            <w:r w:rsidRPr="000B5049">
              <w:rPr>
                <w:rFonts w:ascii="GHEA Grapalat" w:hAnsi="GHEA Grapalat"/>
                <w:sz w:val="24"/>
                <w:szCs w:val="24"/>
              </w:rPr>
              <w:t>Ընդունվել է, խմբագրվել է:</w:t>
            </w:r>
          </w:p>
        </w:tc>
      </w:tr>
    </w:tbl>
    <w:p w:rsidR="00366ADC" w:rsidRPr="00B01881" w:rsidRDefault="00366ADC" w:rsidP="00B01881">
      <w:pPr>
        <w:jc w:val="center"/>
        <w:rPr>
          <w:rFonts w:ascii="GHEA Grapalat" w:hAnsi="GHEA Grapalat"/>
          <w:b/>
          <w:lang w:val="hy-AM"/>
        </w:rPr>
      </w:pPr>
    </w:p>
    <w:sectPr w:rsidR="00366ADC" w:rsidRPr="00B01881" w:rsidSect="00B01881">
      <w:pgSz w:w="15840" w:h="12240" w:orient="landscape"/>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0368"/>
    <w:multiLevelType w:val="hybridMultilevel"/>
    <w:tmpl w:val="DCF67324"/>
    <w:lvl w:ilvl="0" w:tplc="792873BE">
      <w:start w:val="1"/>
      <w:numFmt w:val="decimal"/>
      <w:lvlText w:val="%1."/>
      <w:lvlJc w:val="left"/>
      <w:pPr>
        <w:ind w:left="1080" w:hanging="360"/>
      </w:pPr>
      <w:rPr>
        <w:rFonts w:eastAsia="Batang"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06984"/>
    <w:multiLevelType w:val="hybridMultilevel"/>
    <w:tmpl w:val="4186FBEA"/>
    <w:lvl w:ilvl="0" w:tplc="46C4234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174DC"/>
    <w:multiLevelType w:val="hybridMultilevel"/>
    <w:tmpl w:val="4BD2147E"/>
    <w:lvl w:ilvl="0" w:tplc="F196B3C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1739E"/>
    <w:multiLevelType w:val="hybridMultilevel"/>
    <w:tmpl w:val="D802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06F8E"/>
    <w:multiLevelType w:val="hybridMultilevel"/>
    <w:tmpl w:val="8D1A7F04"/>
    <w:lvl w:ilvl="0" w:tplc="5E6495E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13A3C10"/>
    <w:multiLevelType w:val="hybridMultilevel"/>
    <w:tmpl w:val="3540670E"/>
    <w:lvl w:ilvl="0" w:tplc="DD1AEEFE">
      <w:start w:val="1"/>
      <w:numFmt w:val="decimal"/>
      <w:lvlText w:val="%1."/>
      <w:lvlJc w:val="left"/>
      <w:pPr>
        <w:ind w:left="382" w:hanging="360"/>
      </w:pPr>
      <w:rPr>
        <w:rFonts w:cs="Sylfaen"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59"/>
    <w:rsid w:val="000134E1"/>
    <w:rsid w:val="000139E0"/>
    <w:rsid w:val="00024F90"/>
    <w:rsid w:val="00031E71"/>
    <w:rsid w:val="000412AF"/>
    <w:rsid w:val="000602C0"/>
    <w:rsid w:val="00081571"/>
    <w:rsid w:val="000B5049"/>
    <w:rsid w:val="000D235E"/>
    <w:rsid w:val="00145B2A"/>
    <w:rsid w:val="00194295"/>
    <w:rsid w:val="001F54E1"/>
    <w:rsid w:val="00205387"/>
    <w:rsid w:val="002200E5"/>
    <w:rsid w:val="002231F1"/>
    <w:rsid w:val="00257BFE"/>
    <w:rsid w:val="00263A8B"/>
    <w:rsid w:val="002819EF"/>
    <w:rsid w:val="002A5D90"/>
    <w:rsid w:val="002E7C21"/>
    <w:rsid w:val="002F4F50"/>
    <w:rsid w:val="00303B7E"/>
    <w:rsid w:val="00322702"/>
    <w:rsid w:val="00366ADC"/>
    <w:rsid w:val="00366C59"/>
    <w:rsid w:val="00383BB8"/>
    <w:rsid w:val="003B3B3B"/>
    <w:rsid w:val="003B4133"/>
    <w:rsid w:val="003F46D6"/>
    <w:rsid w:val="004177D3"/>
    <w:rsid w:val="00423323"/>
    <w:rsid w:val="00445DB4"/>
    <w:rsid w:val="00466800"/>
    <w:rsid w:val="004821AF"/>
    <w:rsid w:val="004D24BE"/>
    <w:rsid w:val="00506312"/>
    <w:rsid w:val="00534706"/>
    <w:rsid w:val="00546540"/>
    <w:rsid w:val="00547EAE"/>
    <w:rsid w:val="005F49C9"/>
    <w:rsid w:val="00603BDB"/>
    <w:rsid w:val="00693867"/>
    <w:rsid w:val="00722855"/>
    <w:rsid w:val="00722AD9"/>
    <w:rsid w:val="00762256"/>
    <w:rsid w:val="007D2BCC"/>
    <w:rsid w:val="00814994"/>
    <w:rsid w:val="00894FA6"/>
    <w:rsid w:val="008B5E33"/>
    <w:rsid w:val="0092557E"/>
    <w:rsid w:val="0094330E"/>
    <w:rsid w:val="00945442"/>
    <w:rsid w:val="009637CC"/>
    <w:rsid w:val="0098376B"/>
    <w:rsid w:val="00A04886"/>
    <w:rsid w:val="00A13149"/>
    <w:rsid w:val="00A82733"/>
    <w:rsid w:val="00A9403D"/>
    <w:rsid w:val="00AB25E7"/>
    <w:rsid w:val="00B01881"/>
    <w:rsid w:val="00B27934"/>
    <w:rsid w:val="00B3476F"/>
    <w:rsid w:val="00B82A9C"/>
    <w:rsid w:val="00BB1E1B"/>
    <w:rsid w:val="00C91E76"/>
    <w:rsid w:val="00C93406"/>
    <w:rsid w:val="00C97D46"/>
    <w:rsid w:val="00CD107B"/>
    <w:rsid w:val="00D05064"/>
    <w:rsid w:val="00D71111"/>
    <w:rsid w:val="00D717EB"/>
    <w:rsid w:val="00DA4F6B"/>
    <w:rsid w:val="00DC5AB1"/>
    <w:rsid w:val="00DD3BF4"/>
    <w:rsid w:val="00DF0430"/>
    <w:rsid w:val="00DF0480"/>
    <w:rsid w:val="00E01C83"/>
    <w:rsid w:val="00E613CC"/>
    <w:rsid w:val="00E637C2"/>
    <w:rsid w:val="00E7272C"/>
    <w:rsid w:val="00EF370C"/>
    <w:rsid w:val="00FA360B"/>
    <w:rsid w:val="00FB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9ABC-417F-47E9-AC56-6307FFF8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81"/>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881"/>
    <w:rPr>
      <w:b/>
      <w:bCs/>
    </w:rPr>
  </w:style>
  <w:style w:type="table" w:styleId="TableGrid">
    <w:name w:val="Table Grid"/>
    <w:basedOn w:val="TableNormal"/>
    <w:uiPriority w:val="39"/>
    <w:rsid w:val="0036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Ha,Referenc"/>
    <w:basedOn w:val="Normal"/>
    <w:link w:val="ListParagraphChar"/>
    <w:uiPriority w:val="34"/>
    <w:qFormat/>
    <w:rsid w:val="00B3476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3B413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C0E9-1300-41C5-BB6D-7900536A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Manukyan</dc:creator>
  <cp:keywords>https:/mul2.gov.am/tasks/611170/oneclick/ardirAmpopDitarkumner.docx?token=d8151bac52c823b2db4d1a8c5e61c84a</cp:keywords>
  <dc:description/>
  <cp:lastModifiedBy>Narek Apujanyan</cp:lastModifiedBy>
  <cp:revision>2</cp:revision>
  <dcterms:created xsi:type="dcterms:W3CDTF">2022-05-11T13:24:00Z</dcterms:created>
  <dcterms:modified xsi:type="dcterms:W3CDTF">2022-05-11T13:24:00Z</dcterms:modified>
</cp:coreProperties>
</file>