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12E" w:rsidRPr="003439A1" w:rsidRDefault="00F73564" w:rsidP="003439A1">
      <w:pPr>
        <w:shd w:val="clear" w:color="auto" w:fill="FFFFFF"/>
        <w:spacing w:after="0" w:line="360" w:lineRule="auto"/>
        <w:ind w:firstLine="567"/>
        <w:contextualSpacing/>
        <w:jc w:val="center"/>
        <w:rPr>
          <w:rFonts w:ascii="GHEA Grapalat" w:eastAsia="Times New Roman" w:hAnsi="GHEA Grapalat" w:cs="Sylfaen"/>
          <w:b/>
          <w:color w:val="000000"/>
          <w:sz w:val="24"/>
          <w:szCs w:val="24"/>
          <w:shd w:val="clear" w:color="auto" w:fill="FFFFFF"/>
          <w:lang w:val="ru-RU"/>
        </w:rPr>
      </w:pPr>
      <w:r w:rsidRPr="00AA2713">
        <w:rPr>
          <w:rFonts w:ascii="GHEA Grapalat" w:eastAsia="Times New Roman" w:hAnsi="GHEA Grapalat" w:cs="Sylfaen"/>
          <w:b/>
          <w:color w:val="000000"/>
          <w:sz w:val="24"/>
          <w:szCs w:val="24"/>
          <w:shd w:val="clear" w:color="auto" w:fill="FFFFFF"/>
        </w:rPr>
        <w:t>ՀԻՄՆԱՎՈՐՈՒՄ</w:t>
      </w:r>
    </w:p>
    <w:p w:rsidR="00F73564" w:rsidRPr="002D39F9" w:rsidRDefault="003D1550" w:rsidP="000C4928">
      <w:pPr>
        <w:pStyle w:val="NormalWeb"/>
        <w:spacing w:after="0" w:line="360" w:lineRule="auto"/>
        <w:ind w:left="927"/>
        <w:jc w:val="center"/>
        <w:rPr>
          <w:rFonts w:ascii="GHEA Grapalat" w:hAnsi="GHEA Grapalat"/>
          <w:b/>
          <w:bCs/>
          <w:color w:val="000000"/>
          <w:shd w:val="clear" w:color="auto" w:fill="FFFFFF"/>
          <w:lang w:val="ru-RU"/>
        </w:rPr>
      </w:pPr>
      <w:r w:rsidRPr="00AA2713">
        <w:rPr>
          <w:rFonts w:ascii="GHEA Grapalat" w:hAnsi="GHEA Grapalat"/>
          <w:b/>
          <w:bCs/>
        </w:rPr>
        <w:t>«ՊԵՏԱԿԱՆ ՊԱՇՏՈՆՆԵՐ ԵՎ ՊԵՏԱԿԱՆ ԾԱՌԱՅՈՒԹՅԱՆ ՊԱՇՏՈՆՆԵՐ ԶԲԱՂԵՑՆՈՂ ԱՆՁԱՆՑ ՎԱՐՁԱՏՐՈՒԹՅԱՆ ՄԱՍԻՆ» ՕՐԵՆՔՈՒՄ ԼՐԱՑՈՒՄ</w:t>
      </w:r>
      <w:r w:rsidR="00FD39A0" w:rsidRPr="00AA2713">
        <w:rPr>
          <w:rFonts w:ascii="GHEA Grapalat" w:hAnsi="GHEA Grapalat"/>
          <w:b/>
          <w:bCs/>
        </w:rPr>
        <w:t>ՆԵՐ</w:t>
      </w:r>
      <w:r w:rsidR="003439A1" w:rsidRPr="003439A1">
        <w:rPr>
          <w:rFonts w:ascii="GHEA Grapalat" w:hAnsi="GHEA Grapalat"/>
          <w:b/>
          <w:bCs/>
        </w:rPr>
        <w:t xml:space="preserve"> ԵՎ ՓՈՓՈԽՈՒԹՅՈՒՆ</w:t>
      </w:r>
      <w:r w:rsidRPr="00AA2713">
        <w:rPr>
          <w:rFonts w:ascii="GHEA Grapalat" w:hAnsi="GHEA Grapalat"/>
          <w:b/>
          <w:bCs/>
        </w:rPr>
        <w:t xml:space="preserve"> ԿԱՏԱՐԵԼՈՒ ՄԱՍԻՆ</w:t>
      </w:r>
      <w:r w:rsidR="00F73564" w:rsidRPr="00AA2713">
        <w:rPr>
          <w:rFonts w:ascii="GHEA Grapalat" w:hAnsi="GHEA Grapalat"/>
          <w:b/>
          <w:bCs/>
        </w:rPr>
        <w:t>»</w:t>
      </w:r>
      <w:r w:rsidR="000C4928">
        <w:rPr>
          <w:rFonts w:ascii="GHEA Grapalat" w:hAnsi="GHEA Grapalat"/>
          <w:b/>
          <w:bCs/>
          <w:lang w:val="ru-RU"/>
        </w:rPr>
        <w:t xml:space="preserve"> ԵՎ </w:t>
      </w:r>
      <w:r w:rsidR="000C4928" w:rsidRPr="00BA661F">
        <w:rPr>
          <w:rFonts w:ascii="GHEA Grapalat" w:hAnsi="GHEA Grapalat"/>
          <w:b/>
          <w:bCs/>
          <w:color w:val="000000"/>
          <w:shd w:val="clear" w:color="auto" w:fill="FFFFFF"/>
        </w:rPr>
        <w:t>«ՊԱՇՏՈՆԱՏԱՐ ԱՆՁԱՆՑ ԳՈՐԾՈՒՆԵՈՒԹՅԱՆ ԱՊԱՀՈՎՄԱՆ, ՍՊԱՍԱՐԿՄԱՆ ԵՎ ՍՈՑԻԱԼԱԿԱՆ ԵՐԱՇԽԻՔՆԵՐԻ ՄԱՍԻՆ»</w:t>
      </w:r>
      <w:r w:rsidR="000C4928">
        <w:rPr>
          <w:rFonts w:ascii="GHEA Grapalat" w:hAnsi="GHEA Grapalat"/>
          <w:b/>
          <w:bCs/>
          <w:color w:val="000000"/>
          <w:shd w:val="clear" w:color="auto" w:fill="FFFFFF"/>
          <w:lang w:val="ru-RU"/>
        </w:rPr>
        <w:t xml:space="preserve"> </w:t>
      </w:r>
      <w:r w:rsidR="000C4928" w:rsidRPr="00BA661F">
        <w:rPr>
          <w:rFonts w:ascii="GHEA Grapalat" w:hAnsi="GHEA Grapalat"/>
          <w:b/>
          <w:bCs/>
          <w:color w:val="000000"/>
          <w:shd w:val="clear" w:color="auto" w:fill="FFFFFF"/>
        </w:rPr>
        <w:t>ՕՐԵՆՔՈՒՄ ԼՐԱՑՈՒՄ ԿԱՏԱՐԵԼՈՒ ՄԱՍԻՆ</w:t>
      </w:r>
      <w:r w:rsidR="000C4928">
        <w:rPr>
          <w:rFonts w:ascii="GHEA Grapalat" w:hAnsi="GHEA Grapalat"/>
          <w:b/>
          <w:bCs/>
          <w:color w:val="000000"/>
          <w:shd w:val="clear" w:color="auto" w:fill="FFFFFF"/>
          <w:lang w:val="ru-RU"/>
        </w:rPr>
        <w:t>»</w:t>
      </w:r>
      <w:r w:rsidR="00F73564" w:rsidRPr="00AA2713">
        <w:rPr>
          <w:rFonts w:ascii="GHEA Grapalat" w:hAnsi="GHEA Grapalat"/>
          <w:b/>
          <w:bCs/>
        </w:rPr>
        <w:t xml:space="preserve"> </w:t>
      </w:r>
      <w:r w:rsidR="009B777E" w:rsidRPr="00AA2713">
        <w:rPr>
          <w:rFonts w:ascii="GHEA Grapalat" w:hAnsi="GHEA Grapalat"/>
          <w:b/>
          <w:bCs/>
        </w:rPr>
        <w:t>ՕՐԵՆՔ</w:t>
      </w:r>
      <w:r w:rsidR="000C4928">
        <w:rPr>
          <w:rFonts w:ascii="GHEA Grapalat" w:hAnsi="GHEA Grapalat"/>
          <w:b/>
          <w:bCs/>
          <w:lang w:val="ru-RU"/>
        </w:rPr>
        <w:t>ՆԵՐ</w:t>
      </w:r>
      <w:r w:rsidR="009B777E" w:rsidRPr="00AA2713">
        <w:rPr>
          <w:rFonts w:ascii="GHEA Grapalat" w:hAnsi="GHEA Grapalat"/>
          <w:b/>
          <w:bCs/>
        </w:rPr>
        <w:t>Ի</w:t>
      </w:r>
      <w:r w:rsidR="00F73564" w:rsidRPr="00AA2713">
        <w:rPr>
          <w:rFonts w:ascii="GHEA Grapalat" w:hAnsi="GHEA Grapalat"/>
          <w:b/>
          <w:bCs/>
        </w:rPr>
        <w:t xml:space="preserve"> ՆԱԽԱԳԾ</w:t>
      </w:r>
      <w:r w:rsidR="000C4928">
        <w:rPr>
          <w:rFonts w:ascii="GHEA Grapalat" w:hAnsi="GHEA Grapalat"/>
          <w:b/>
          <w:bCs/>
          <w:lang w:val="ru-RU"/>
        </w:rPr>
        <w:t>ԵՐ</w:t>
      </w:r>
      <w:r w:rsidR="00F73564" w:rsidRPr="00AA2713">
        <w:rPr>
          <w:rFonts w:ascii="GHEA Grapalat" w:hAnsi="GHEA Grapalat"/>
          <w:b/>
          <w:bCs/>
        </w:rPr>
        <w:t>Ի</w:t>
      </w:r>
      <w:r w:rsidR="002D39F9">
        <w:rPr>
          <w:rFonts w:ascii="GHEA Grapalat" w:hAnsi="GHEA Grapalat"/>
          <w:b/>
          <w:bCs/>
          <w:lang w:val="ru-RU"/>
        </w:rPr>
        <w:t xml:space="preserve"> </w:t>
      </w:r>
    </w:p>
    <w:p w:rsidR="00F73564" w:rsidRPr="00AA2713" w:rsidRDefault="00F73564" w:rsidP="00F73564">
      <w:pPr>
        <w:spacing w:after="0" w:line="360" w:lineRule="auto"/>
        <w:contextualSpacing/>
        <w:jc w:val="both"/>
        <w:rPr>
          <w:rFonts w:ascii="GHEA Grapalat" w:hAnsi="GHEA Grapalat"/>
          <w:bCs/>
          <w:sz w:val="24"/>
          <w:szCs w:val="24"/>
        </w:rPr>
      </w:pPr>
    </w:p>
    <w:p w:rsidR="00F73564" w:rsidRPr="003439A1" w:rsidRDefault="00F73564" w:rsidP="00F73564">
      <w:pPr>
        <w:spacing w:after="0" w:line="360" w:lineRule="auto"/>
        <w:ind w:firstLine="567"/>
        <w:contextualSpacing/>
        <w:jc w:val="both"/>
        <w:rPr>
          <w:rFonts w:ascii="GHEA Grapalat" w:hAnsi="GHEA Grapalat"/>
          <w:b/>
          <w:bCs/>
          <w:sz w:val="24"/>
          <w:szCs w:val="24"/>
        </w:rPr>
      </w:pPr>
      <w:r w:rsidRPr="00AA2713">
        <w:rPr>
          <w:rFonts w:ascii="GHEA Grapalat" w:hAnsi="GHEA Grapalat"/>
          <w:b/>
          <w:bCs/>
          <w:sz w:val="24"/>
          <w:szCs w:val="24"/>
        </w:rPr>
        <w:t>Իրավական ակտի ընդունման անհրաժեշտությունը</w:t>
      </w:r>
    </w:p>
    <w:p w:rsidR="00687984" w:rsidRPr="00AA2713" w:rsidRDefault="002D39F9" w:rsidP="00E976C5">
      <w:pPr>
        <w:spacing w:after="0" w:line="360" w:lineRule="auto"/>
        <w:ind w:firstLine="567"/>
        <w:contextualSpacing/>
        <w:jc w:val="both"/>
        <w:rPr>
          <w:rFonts w:ascii="GHEA Grapalat" w:hAnsi="GHEA Grapalat"/>
          <w:sz w:val="24"/>
          <w:szCs w:val="24"/>
        </w:rPr>
      </w:pPr>
      <w:r w:rsidRPr="002D39F9">
        <w:rPr>
          <w:rFonts w:ascii="GHEA Grapalat" w:hAnsi="GHEA Grapalat"/>
          <w:sz w:val="24"/>
          <w:szCs w:val="24"/>
        </w:rPr>
        <w:t>«Պետական պաշտոններ և պետական ծառայության պաշտոններ զբաղեցնող անձանց վարձատրության մասին» օրենքում լրացումներ և փոփոխություն կատարելու մասին» և «Պաշտոնատար անձանց գործունեության ապահովման, սպասարկման և սոցիալական երաշխիքների մասին» օրենքում լրացում կատարելու մասին» օրենքների նախագծերի (այսուհետ միասին՝ Նախագծեր)</w:t>
      </w:r>
      <w:r w:rsidRPr="00AA2713">
        <w:rPr>
          <w:rFonts w:ascii="GHEA Grapalat" w:hAnsi="GHEA Grapalat"/>
          <w:sz w:val="24"/>
          <w:szCs w:val="24"/>
        </w:rPr>
        <w:t xml:space="preserve"> </w:t>
      </w:r>
      <w:r w:rsidR="006C23F2" w:rsidRPr="00AA2713">
        <w:rPr>
          <w:rFonts w:ascii="GHEA Grapalat" w:hAnsi="GHEA Grapalat"/>
          <w:sz w:val="24"/>
          <w:szCs w:val="24"/>
        </w:rPr>
        <w:t>ընդունումը</w:t>
      </w:r>
      <w:r w:rsidR="00B03D6C" w:rsidRPr="00AA2713">
        <w:rPr>
          <w:rFonts w:ascii="GHEA Grapalat" w:hAnsi="GHEA Grapalat"/>
          <w:sz w:val="24"/>
          <w:szCs w:val="24"/>
        </w:rPr>
        <w:t xml:space="preserve"> պայմանավորված է </w:t>
      </w:r>
      <w:r w:rsidR="00C743AD" w:rsidRPr="00AA2713">
        <w:rPr>
          <w:rFonts w:ascii="GHEA Grapalat" w:hAnsi="GHEA Grapalat"/>
          <w:sz w:val="24"/>
          <w:szCs w:val="24"/>
        </w:rPr>
        <w:t xml:space="preserve">Վճռաբեկ դատարանի և </w:t>
      </w:r>
      <w:r w:rsidR="006C23F2" w:rsidRPr="00AA2713">
        <w:rPr>
          <w:rFonts w:ascii="GHEA Grapalat" w:hAnsi="GHEA Grapalat"/>
          <w:sz w:val="24"/>
          <w:szCs w:val="24"/>
        </w:rPr>
        <w:t>Սահմանադրական դատարանի դատավորներին տրվող վարձատրության համակարգի վերանայման անհրաժեշտությամբ</w:t>
      </w:r>
      <w:r w:rsidR="008C50AF" w:rsidRPr="00AA2713">
        <w:rPr>
          <w:rFonts w:ascii="GHEA Grapalat" w:hAnsi="GHEA Grapalat"/>
          <w:sz w:val="24"/>
          <w:szCs w:val="24"/>
        </w:rPr>
        <w:t>:</w:t>
      </w:r>
    </w:p>
    <w:p w:rsidR="00A85FDD" w:rsidRPr="00AA2713" w:rsidRDefault="00A85FDD" w:rsidP="00A85FDD">
      <w:pPr>
        <w:spacing w:after="200" w:line="360" w:lineRule="auto"/>
        <w:ind w:firstLine="567"/>
        <w:contextualSpacing/>
        <w:jc w:val="both"/>
        <w:rPr>
          <w:rFonts w:ascii="GHEA Grapalat" w:hAnsi="GHEA Grapalat"/>
          <w:sz w:val="24"/>
          <w:szCs w:val="24"/>
        </w:rPr>
      </w:pPr>
    </w:p>
    <w:p w:rsidR="00C743AD" w:rsidRPr="003439A1" w:rsidRDefault="00F73564" w:rsidP="00A85FDD">
      <w:pPr>
        <w:spacing w:after="200" w:line="360" w:lineRule="auto"/>
        <w:ind w:firstLine="567"/>
        <w:contextualSpacing/>
        <w:jc w:val="both"/>
        <w:rPr>
          <w:rFonts w:ascii="GHEA Grapalat" w:hAnsi="GHEA Grapalat"/>
          <w:sz w:val="24"/>
          <w:szCs w:val="24"/>
        </w:rPr>
      </w:pPr>
      <w:r w:rsidRPr="00AA2713">
        <w:rPr>
          <w:rFonts w:ascii="GHEA Grapalat" w:hAnsi="GHEA Grapalat"/>
          <w:b/>
          <w:bCs/>
          <w:sz w:val="24"/>
          <w:szCs w:val="24"/>
        </w:rPr>
        <w:t>Ընթացիկ իրավիճակը և խնդիրները</w:t>
      </w:r>
    </w:p>
    <w:p w:rsidR="00ED0BF5" w:rsidRPr="00AA2713" w:rsidRDefault="00805500" w:rsidP="00C743AD">
      <w:pPr>
        <w:autoSpaceDE w:val="0"/>
        <w:autoSpaceDN w:val="0"/>
        <w:adjustRightInd w:val="0"/>
        <w:spacing w:after="0" w:line="360" w:lineRule="auto"/>
        <w:ind w:firstLine="567"/>
        <w:jc w:val="both"/>
        <w:rPr>
          <w:rFonts w:ascii="GHEA Grapalat" w:eastAsia="Times New Roman" w:hAnsi="GHEA Grapalat" w:cs="Times Armenian"/>
          <w:sz w:val="24"/>
          <w:szCs w:val="24"/>
          <w:lang w:eastAsia="ru-RU"/>
        </w:rPr>
      </w:pPr>
      <w:r w:rsidRPr="00AA2713">
        <w:rPr>
          <w:rFonts w:ascii="GHEA Grapalat" w:eastAsia="Times New Roman" w:hAnsi="GHEA Grapalat" w:cs="Times Armenian"/>
          <w:sz w:val="24"/>
          <w:szCs w:val="24"/>
          <w:lang w:eastAsia="ru-RU"/>
        </w:rPr>
        <w:t>Սահմանադրության 164-րդ հոդվածի 10-րդ մաս</w:t>
      </w:r>
      <w:r w:rsidR="00ED0BF5" w:rsidRPr="00AA2713">
        <w:rPr>
          <w:rFonts w:ascii="GHEA Grapalat" w:eastAsia="Times New Roman" w:hAnsi="GHEA Grapalat" w:cs="Times Armenian"/>
          <w:sz w:val="24"/>
          <w:szCs w:val="24"/>
          <w:lang w:eastAsia="ru-RU"/>
        </w:rPr>
        <w:t xml:space="preserve">ի համաձայն՝ </w:t>
      </w:r>
      <w:r w:rsidRPr="00AA2713">
        <w:rPr>
          <w:rFonts w:ascii="GHEA Grapalat" w:eastAsia="Times New Roman" w:hAnsi="GHEA Grapalat" w:cs="Times Armenian"/>
          <w:sz w:val="24"/>
          <w:szCs w:val="24"/>
          <w:lang w:eastAsia="ru-RU"/>
        </w:rPr>
        <w:t>դ</w:t>
      </w:r>
      <w:r w:rsidR="005B3056" w:rsidRPr="00AA2713">
        <w:rPr>
          <w:rFonts w:ascii="GHEA Grapalat" w:eastAsia="Times New Roman" w:hAnsi="GHEA Grapalat" w:cs="Times Armenian"/>
          <w:sz w:val="24"/>
          <w:szCs w:val="24"/>
          <w:lang w:eastAsia="ru-RU"/>
        </w:rPr>
        <w:t xml:space="preserve">ատավորի համար սահմանվում </w:t>
      </w:r>
      <w:r w:rsidR="00B8246A" w:rsidRPr="00AA2713">
        <w:rPr>
          <w:rFonts w:ascii="GHEA Grapalat" w:eastAsia="Times New Roman" w:hAnsi="GHEA Grapalat" w:cs="Times Armenian"/>
          <w:sz w:val="24"/>
          <w:szCs w:val="24"/>
          <w:lang w:eastAsia="ru-RU"/>
        </w:rPr>
        <w:t xml:space="preserve"> է </w:t>
      </w:r>
      <w:r w:rsidR="005B3056" w:rsidRPr="00AA2713">
        <w:rPr>
          <w:rFonts w:ascii="GHEA Grapalat" w:eastAsia="Times New Roman" w:hAnsi="GHEA Grapalat" w:cs="Times Armenian"/>
          <w:sz w:val="24"/>
          <w:szCs w:val="24"/>
          <w:lang w:eastAsia="ru-RU"/>
        </w:rPr>
        <w:t xml:space="preserve">նրա բարձր կարգավիճակին </w:t>
      </w:r>
      <w:r w:rsidR="00453BA5" w:rsidRPr="00AA2713">
        <w:rPr>
          <w:rFonts w:ascii="GHEA Grapalat" w:eastAsia="Times New Roman" w:hAnsi="GHEA Grapalat" w:cs="Times Armenian"/>
          <w:sz w:val="24"/>
          <w:szCs w:val="24"/>
          <w:lang w:eastAsia="ru-RU"/>
        </w:rPr>
        <w:t xml:space="preserve">և </w:t>
      </w:r>
      <w:r w:rsidR="005B3056" w:rsidRPr="00AA2713">
        <w:rPr>
          <w:rFonts w:ascii="GHEA Grapalat" w:eastAsia="Times New Roman" w:hAnsi="GHEA Grapalat" w:cs="Times Armenian"/>
          <w:sz w:val="24"/>
          <w:szCs w:val="24"/>
          <w:lang w:eastAsia="ru-RU"/>
        </w:rPr>
        <w:t>պատասխանատվությանը համապատասխանող վարձատրություն:</w:t>
      </w:r>
      <w:r w:rsidRPr="00AA2713">
        <w:rPr>
          <w:rFonts w:ascii="GHEA Grapalat" w:eastAsia="Times New Roman" w:hAnsi="GHEA Grapalat" w:cs="Times Armenian"/>
          <w:sz w:val="24"/>
          <w:szCs w:val="24"/>
          <w:lang w:eastAsia="ru-RU"/>
        </w:rPr>
        <w:t xml:space="preserve"> </w:t>
      </w:r>
      <w:r w:rsidR="005B3056" w:rsidRPr="00AA2713">
        <w:rPr>
          <w:rFonts w:ascii="GHEA Grapalat" w:eastAsia="Times New Roman" w:hAnsi="GHEA Grapalat" w:cs="Times Armenian"/>
          <w:sz w:val="24"/>
          <w:szCs w:val="24"/>
          <w:lang w:eastAsia="ru-RU"/>
        </w:rPr>
        <w:t xml:space="preserve">Վճռաբեկ դատարանի և Սահմանադրական դատարանի դատավորների </w:t>
      </w:r>
      <w:r w:rsidR="00A85FDD" w:rsidRPr="00AA2713">
        <w:rPr>
          <w:rFonts w:ascii="GHEA Grapalat" w:eastAsia="Times New Roman" w:hAnsi="GHEA Grapalat" w:cs="Times Armenian"/>
          <w:sz w:val="24"/>
          <w:szCs w:val="24"/>
          <w:lang w:eastAsia="ru-RU"/>
        </w:rPr>
        <w:t>վարձատրության</w:t>
      </w:r>
      <w:r w:rsidR="00E17736" w:rsidRPr="00AA2713">
        <w:rPr>
          <w:rFonts w:ascii="GHEA Grapalat" w:eastAsia="Times New Roman" w:hAnsi="GHEA Grapalat" w:cs="Times Armenian"/>
          <w:sz w:val="24"/>
          <w:szCs w:val="24"/>
          <w:lang w:eastAsia="ru-RU"/>
        </w:rPr>
        <w:t xml:space="preserve"> հետ կապված հարաբերությունները, այդ թվում՝ աշխատավարձի չափը, կարգավորվում են «Պետական պաշտոններ և </w:t>
      </w:r>
      <w:r w:rsidR="00E17736" w:rsidRPr="00AA2713">
        <w:rPr>
          <w:rFonts w:ascii="GHEA Grapalat" w:eastAsia="Times New Roman" w:hAnsi="GHEA Grapalat" w:cs="Times Armenian"/>
          <w:sz w:val="24"/>
          <w:szCs w:val="24"/>
          <w:lang w:eastAsia="ru-RU"/>
        </w:rPr>
        <w:lastRenderedPageBreak/>
        <w:t>պետական ծառայության պաշտոններ զբաղեցնող անձանց վարձատրության մասին» օրենքով</w:t>
      </w:r>
      <w:r w:rsidRPr="00AA2713">
        <w:rPr>
          <w:rFonts w:ascii="GHEA Grapalat" w:eastAsia="Times New Roman" w:hAnsi="GHEA Grapalat" w:cs="Times Armenian"/>
          <w:sz w:val="24"/>
          <w:szCs w:val="24"/>
          <w:lang w:eastAsia="ru-RU"/>
        </w:rPr>
        <w:t xml:space="preserve"> </w:t>
      </w:r>
      <w:r w:rsidR="005B3056" w:rsidRPr="00AA2713">
        <w:rPr>
          <w:rFonts w:ascii="GHEA Grapalat" w:eastAsia="Times New Roman" w:hAnsi="GHEA Grapalat" w:cs="Times Armenian"/>
          <w:sz w:val="24"/>
          <w:szCs w:val="24"/>
          <w:lang w:eastAsia="ru-RU"/>
        </w:rPr>
        <w:t>(</w:t>
      </w:r>
      <w:r w:rsidR="00E17736" w:rsidRPr="00AA2713">
        <w:rPr>
          <w:rFonts w:ascii="GHEA Grapalat" w:eastAsia="Times New Roman" w:hAnsi="GHEA Grapalat" w:cs="Times Armenian"/>
          <w:sz w:val="24"/>
          <w:szCs w:val="24"/>
          <w:lang w:eastAsia="ru-RU"/>
        </w:rPr>
        <w:t>այսուհետ՝ Օրենք</w:t>
      </w:r>
      <w:r w:rsidR="005B3056" w:rsidRPr="00AA2713">
        <w:rPr>
          <w:rFonts w:ascii="GHEA Grapalat" w:eastAsia="Times New Roman" w:hAnsi="GHEA Grapalat" w:cs="Times Armenian"/>
          <w:sz w:val="24"/>
          <w:szCs w:val="24"/>
          <w:lang w:eastAsia="ru-RU"/>
        </w:rPr>
        <w:t>)</w:t>
      </w:r>
      <w:r w:rsidR="00E17736" w:rsidRPr="00AA2713">
        <w:rPr>
          <w:rFonts w:ascii="GHEA Grapalat" w:eastAsia="Times New Roman" w:hAnsi="GHEA Grapalat" w:cs="Times Armenian"/>
          <w:sz w:val="24"/>
          <w:szCs w:val="24"/>
          <w:lang w:eastAsia="ru-RU"/>
        </w:rPr>
        <w:t>:</w:t>
      </w:r>
    </w:p>
    <w:p w:rsidR="00E17736" w:rsidRPr="00AA2713" w:rsidRDefault="00805500" w:rsidP="00952726">
      <w:pPr>
        <w:autoSpaceDE w:val="0"/>
        <w:autoSpaceDN w:val="0"/>
        <w:adjustRightInd w:val="0"/>
        <w:spacing w:after="0" w:line="360" w:lineRule="auto"/>
        <w:ind w:firstLine="567"/>
        <w:jc w:val="both"/>
        <w:rPr>
          <w:rFonts w:ascii="GHEA Grapalat" w:hAnsi="GHEA Grapalat"/>
          <w:color w:val="000000"/>
          <w:sz w:val="24"/>
          <w:szCs w:val="24"/>
          <w:shd w:val="clear" w:color="auto" w:fill="FFFFFF"/>
        </w:rPr>
      </w:pPr>
      <w:r w:rsidRPr="00AA2713">
        <w:rPr>
          <w:rFonts w:ascii="GHEA Grapalat" w:eastAsia="Times New Roman" w:hAnsi="GHEA Grapalat" w:cs="Times Armenian"/>
          <w:sz w:val="24"/>
          <w:szCs w:val="24"/>
          <w:lang w:eastAsia="ru-RU"/>
        </w:rPr>
        <w:t xml:space="preserve">Օրենքով Վճռաբեկ դատարանի և Սահմանադրական դատարանի դատավորների համար սահմանված վարձատրության չափը, սակայն, չի համապատասխանում </w:t>
      </w:r>
      <w:r w:rsidR="005B3056" w:rsidRPr="00AA2713">
        <w:rPr>
          <w:rFonts w:ascii="GHEA Grapalat" w:eastAsia="Times New Roman" w:hAnsi="GHEA Grapalat" w:cs="Times Armenian"/>
          <w:sz w:val="24"/>
          <w:szCs w:val="24"/>
          <w:lang w:eastAsia="ru-RU"/>
        </w:rPr>
        <w:t xml:space="preserve">վերջիններիս </w:t>
      </w:r>
      <w:r w:rsidR="00453BA5" w:rsidRPr="00AA2713">
        <w:rPr>
          <w:rFonts w:ascii="GHEA Grapalat" w:eastAsia="Times New Roman" w:hAnsi="GHEA Grapalat" w:cs="Times Armenian"/>
          <w:sz w:val="24"/>
          <w:szCs w:val="24"/>
          <w:lang w:eastAsia="ru-RU"/>
        </w:rPr>
        <w:t>կարգավիճակին և պատասխանատվությանը</w:t>
      </w:r>
      <w:r w:rsidRPr="00AA2713">
        <w:rPr>
          <w:rFonts w:ascii="GHEA Grapalat" w:eastAsia="Times New Roman" w:hAnsi="GHEA Grapalat" w:cs="Times Armenian"/>
          <w:sz w:val="24"/>
          <w:szCs w:val="24"/>
          <w:lang w:eastAsia="ru-RU"/>
        </w:rPr>
        <w:t xml:space="preserve">: </w:t>
      </w:r>
      <w:r w:rsidR="00A85FDD" w:rsidRPr="00AA2713">
        <w:rPr>
          <w:rFonts w:ascii="GHEA Grapalat" w:eastAsia="Times New Roman" w:hAnsi="GHEA Grapalat" w:cs="Times Armenian"/>
          <w:sz w:val="24"/>
          <w:szCs w:val="24"/>
          <w:lang w:eastAsia="ru-RU"/>
        </w:rPr>
        <w:t xml:space="preserve"> Այս առումով պետք է նկատի ունենալ, որ օրինակ, «Պետական պաշտոններ և պետական ծառայության պաշտոններ զբաղեցնող անձանց վարձատրության մասին» օրենքում լրացումներ կատարելու մասին» 2021 թվականի ապրիլի 14-ի ՀՕ-337-Ն օրենքով հակակոռուպցիոն դատարանի դատավորի համար, գործունեության ոլորտով պայմանավորված ռիսկայնությունից ելնելով, սահմանվեց հավելում՝ պաշտոնային դրույքաչափի 70 տոկոսի չափով։ Նույն ձևով վերաքննիչ քրեական դատարանի կոռուպցիոն հանցագործությունների գործերը քննող </w:t>
      </w:r>
      <w:r w:rsidR="001A4A66" w:rsidRPr="00AA2713">
        <w:rPr>
          <w:rFonts w:ascii="GHEA Grapalat" w:eastAsia="Times New Roman" w:hAnsi="GHEA Grapalat" w:cs="Times Armenian"/>
          <w:sz w:val="24"/>
          <w:szCs w:val="24"/>
          <w:lang w:eastAsia="ru-RU"/>
        </w:rPr>
        <w:t>առանձին դատավորների</w:t>
      </w:r>
      <w:r w:rsidR="00A85FDD" w:rsidRPr="00AA2713">
        <w:rPr>
          <w:rFonts w:ascii="GHEA Grapalat" w:eastAsia="Times New Roman" w:hAnsi="GHEA Grapalat" w:cs="Times Armenian"/>
          <w:sz w:val="24"/>
          <w:szCs w:val="24"/>
          <w:lang w:eastAsia="ru-RU"/>
        </w:rPr>
        <w:t xml:space="preserve"> և վերաքննիչ քաղաքացիական դատարանի քաղաքացիական դատավարության կարգով պետության գույքային և ոչ գույքային շահերի պաշտպանության հայցերով և «Ապօրինի ծագում ունեցող գույքի բռնագանձման մասին» օրենքի հիման վրա գույքի բռնագանձման հայցերով հարուցված քաղաքացիական գ</w:t>
      </w:r>
      <w:r w:rsidR="00952726" w:rsidRPr="00AA2713">
        <w:rPr>
          <w:rFonts w:ascii="GHEA Grapalat" w:eastAsia="Times New Roman" w:hAnsi="GHEA Grapalat" w:cs="Times Armenian"/>
          <w:sz w:val="24"/>
          <w:szCs w:val="24"/>
          <w:lang w:eastAsia="ru-RU"/>
        </w:rPr>
        <w:t>ործեր քննող առանձին դատավորների համար</w:t>
      </w:r>
      <w:r w:rsidR="00A85FDD" w:rsidRPr="00AA2713">
        <w:rPr>
          <w:rFonts w:ascii="GHEA Grapalat" w:eastAsia="Times New Roman" w:hAnsi="GHEA Grapalat" w:cs="Times Armenian"/>
          <w:sz w:val="24"/>
          <w:szCs w:val="24"/>
          <w:lang w:eastAsia="ru-RU"/>
        </w:rPr>
        <w:t xml:space="preserve">, գործունեության ոլորտով պայմանավորված ռիսկայնությունից ելնելով, </w:t>
      </w:r>
      <w:r w:rsidR="00952726" w:rsidRPr="00AA2713">
        <w:rPr>
          <w:rFonts w:ascii="GHEA Grapalat" w:eastAsia="Times New Roman" w:hAnsi="GHEA Grapalat" w:cs="Times Armenian"/>
          <w:sz w:val="24"/>
          <w:szCs w:val="24"/>
          <w:lang w:eastAsia="ru-RU"/>
        </w:rPr>
        <w:t>սահմանվեց</w:t>
      </w:r>
      <w:r w:rsidR="00A85FDD" w:rsidRPr="00AA2713">
        <w:rPr>
          <w:rFonts w:ascii="GHEA Grapalat" w:eastAsia="Times New Roman" w:hAnsi="GHEA Grapalat" w:cs="Times Armenian"/>
          <w:sz w:val="24"/>
          <w:szCs w:val="24"/>
          <w:lang w:eastAsia="ru-RU"/>
        </w:rPr>
        <w:t xml:space="preserve"> հավելում՝ պաշտոնային դրույքաչափի 60 տոկոսի չափով։</w:t>
      </w:r>
      <w:r w:rsidR="00952726" w:rsidRPr="00AA2713">
        <w:rPr>
          <w:rFonts w:ascii="GHEA Grapalat" w:eastAsia="Times New Roman" w:hAnsi="GHEA Grapalat" w:cs="Times Armenian"/>
          <w:sz w:val="24"/>
          <w:szCs w:val="24"/>
          <w:lang w:eastAsia="ru-RU"/>
        </w:rPr>
        <w:t xml:space="preserve"> Որպես նշված փոփոխությունների տրամաբանական շարունակություն՝ </w:t>
      </w:r>
      <w:r w:rsidRPr="00AA2713">
        <w:rPr>
          <w:rFonts w:ascii="GHEA Grapalat" w:eastAsia="Times New Roman" w:hAnsi="GHEA Grapalat" w:cs="Times Armenian"/>
          <w:sz w:val="24"/>
          <w:szCs w:val="24"/>
          <w:lang w:eastAsia="ru-RU"/>
        </w:rPr>
        <w:t xml:space="preserve">անհրաժեշտություն է առաջացել վերանայել Վճռաբեկ դատարանի և Սահմանադրական դատարանի դատավորների վարձատրության չափը:  </w:t>
      </w:r>
    </w:p>
    <w:p w:rsidR="0031521C" w:rsidRDefault="0031521C" w:rsidP="0031521C">
      <w:pPr>
        <w:pStyle w:val="ListParagraph"/>
        <w:numPr>
          <w:ilvl w:val="0"/>
          <w:numId w:val="6"/>
        </w:numPr>
        <w:autoSpaceDE w:val="0"/>
        <w:autoSpaceDN w:val="0"/>
        <w:adjustRightInd w:val="0"/>
        <w:spacing w:after="0" w:line="360" w:lineRule="auto"/>
        <w:ind w:left="0" w:firstLine="567"/>
        <w:jc w:val="both"/>
        <w:rPr>
          <w:rFonts w:ascii="GHEA Grapalat" w:eastAsia="Times New Roman" w:hAnsi="GHEA Grapalat" w:cs="Times Armenian"/>
          <w:sz w:val="24"/>
          <w:szCs w:val="24"/>
          <w:lang w:eastAsia="ru-RU"/>
        </w:rPr>
      </w:pPr>
      <w:r w:rsidRPr="0031521C">
        <w:rPr>
          <w:rFonts w:ascii="GHEA Grapalat" w:eastAsia="Times New Roman" w:hAnsi="GHEA Grapalat" w:cs="Times Armenian"/>
          <w:sz w:val="24"/>
          <w:szCs w:val="24"/>
          <w:lang w:eastAsia="ru-RU"/>
        </w:rPr>
        <w:t>Վճռաբեկ դատարանի դեպքում ն</w:t>
      </w:r>
      <w:r w:rsidR="0042165A" w:rsidRPr="0042165A">
        <w:rPr>
          <w:rFonts w:ascii="GHEA Grapalat" w:eastAsia="Times New Roman" w:hAnsi="GHEA Grapalat" w:cs="Times Armenian"/>
          <w:sz w:val="24"/>
          <w:szCs w:val="24"/>
          <w:lang w:eastAsia="ru-RU"/>
        </w:rPr>
        <w:t xml:space="preserve">ման անհրաժեշտությունը պայմանավորված է ինչպես ներպետական համակարգում ամրագրված՝ Վճռաբեկ </w:t>
      </w:r>
      <w:r w:rsidR="0042165A" w:rsidRPr="0042165A">
        <w:rPr>
          <w:rFonts w:ascii="GHEA Grapalat" w:eastAsia="Times New Roman" w:hAnsi="GHEA Grapalat" w:cs="Times Armenian"/>
          <w:sz w:val="24"/>
          <w:szCs w:val="24"/>
          <w:lang w:eastAsia="ru-RU"/>
        </w:rPr>
        <w:lastRenderedPageBreak/>
        <w:t>դատարանի սահմանադրական կարգավիճակով, գործունեության վերաբերյալ առկա  կարգավորումներով, այնպես էլ միջազգային կառույցների կողմից դատական համակարգին տրվող երաշխիքների վերաբերյալ արտահայտած դիրքորոշումներով:</w:t>
      </w:r>
    </w:p>
    <w:p w:rsidR="00303611" w:rsidRPr="00AA2713" w:rsidRDefault="001A4A66" w:rsidP="00303611">
      <w:pPr>
        <w:autoSpaceDE w:val="0"/>
        <w:autoSpaceDN w:val="0"/>
        <w:adjustRightInd w:val="0"/>
        <w:spacing w:after="0" w:line="360" w:lineRule="auto"/>
        <w:ind w:firstLine="567"/>
        <w:jc w:val="both"/>
        <w:rPr>
          <w:rFonts w:ascii="GHEA Grapalat" w:eastAsia="Times New Roman" w:hAnsi="GHEA Grapalat" w:cs="Times Armenian"/>
          <w:sz w:val="24"/>
          <w:szCs w:val="24"/>
          <w:lang w:eastAsia="ru-RU"/>
        </w:rPr>
      </w:pPr>
      <w:r w:rsidRPr="00AA2713">
        <w:rPr>
          <w:rFonts w:ascii="GHEA Grapalat" w:eastAsia="Times New Roman" w:hAnsi="GHEA Grapalat" w:cs="Times Armenian"/>
          <w:sz w:val="24"/>
          <w:szCs w:val="24"/>
          <w:lang w:eastAsia="ru-RU"/>
        </w:rPr>
        <w:t>Ա</w:t>
      </w:r>
      <w:r w:rsidR="00BD45F8" w:rsidRPr="00AA2713">
        <w:rPr>
          <w:rFonts w:ascii="GHEA Grapalat" w:eastAsia="Times New Roman" w:hAnsi="GHEA Grapalat" w:cs="Times Armenian"/>
          <w:sz w:val="24"/>
          <w:szCs w:val="24"/>
          <w:lang w:eastAsia="ru-RU"/>
        </w:rPr>
        <w:t>յ</w:t>
      </w:r>
      <w:r w:rsidRPr="00AA2713">
        <w:rPr>
          <w:rFonts w:ascii="GHEA Grapalat" w:eastAsia="Times New Roman" w:hAnsi="GHEA Grapalat" w:cs="Times Armenian"/>
          <w:sz w:val="24"/>
          <w:szCs w:val="24"/>
          <w:lang w:eastAsia="ru-RU"/>
        </w:rPr>
        <w:t xml:space="preserve">սպես, </w:t>
      </w:r>
      <w:r w:rsidR="00303611" w:rsidRPr="00AA2713">
        <w:rPr>
          <w:rFonts w:ascii="GHEA Grapalat" w:eastAsia="Times New Roman" w:hAnsi="GHEA Grapalat" w:cs="Times Armenian"/>
          <w:sz w:val="24"/>
          <w:szCs w:val="24"/>
          <w:lang w:eastAsia="ru-RU"/>
        </w:rPr>
        <w:t>Սահմանադրության 171-րդ հոդվածի համաձայն</w:t>
      </w:r>
      <w:r w:rsidR="00AE5FC9" w:rsidRPr="00AA2713">
        <w:rPr>
          <w:rFonts w:ascii="GHEA Grapalat" w:eastAsia="Times New Roman" w:hAnsi="GHEA Grapalat" w:cs="Times Armenian"/>
          <w:sz w:val="24"/>
          <w:szCs w:val="24"/>
          <w:lang w:eastAsia="ru-RU"/>
        </w:rPr>
        <w:t>`</w:t>
      </w:r>
      <w:r w:rsidR="00303611" w:rsidRPr="00AA2713">
        <w:rPr>
          <w:rFonts w:ascii="GHEA Grapalat" w:eastAsia="Times New Roman" w:hAnsi="GHEA Grapalat" w:cs="Times Armenian"/>
          <w:sz w:val="24"/>
          <w:szCs w:val="24"/>
          <w:lang w:eastAsia="ru-RU"/>
        </w:rPr>
        <w:t xml:space="preserve"> Հայաստանի Հանրապետությունում բարձրագույն դատական ատյանը, բացառությամբ սահմանադրական արդարադատության ոլորտի, Վճ</w:t>
      </w:r>
      <w:r w:rsidR="00D546E1">
        <w:rPr>
          <w:rFonts w:ascii="GHEA Grapalat" w:eastAsia="Times New Roman" w:hAnsi="GHEA Grapalat" w:cs="Times Armenian"/>
          <w:sz w:val="24"/>
          <w:szCs w:val="24"/>
          <w:lang w:eastAsia="ru-RU"/>
        </w:rPr>
        <w:t>ռաբեկ դատարանն է: Վճռաբեկ դատարանը դատական ակտերն օրենքով սահմանված լիազորությունների շրջանակներում վերանայելու միջոցով`</w:t>
      </w:r>
    </w:p>
    <w:p w:rsidR="00303611" w:rsidRPr="00AA2713" w:rsidRDefault="00D546E1" w:rsidP="00303611">
      <w:pPr>
        <w:autoSpaceDE w:val="0"/>
        <w:autoSpaceDN w:val="0"/>
        <w:adjustRightInd w:val="0"/>
        <w:spacing w:after="0" w:line="360" w:lineRule="auto"/>
        <w:ind w:firstLine="567"/>
        <w:jc w:val="both"/>
        <w:rPr>
          <w:rFonts w:ascii="GHEA Grapalat" w:eastAsia="Times New Roman" w:hAnsi="GHEA Grapalat" w:cs="Times Armenian"/>
          <w:sz w:val="24"/>
          <w:szCs w:val="24"/>
          <w:lang w:eastAsia="ru-RU"/>
        </w:rPr>
      </w:pPr>
      <w:r>
        <w:rPr>
          <w:rFonts w:ascii="GHEA Grapalat" w:eastAsia="Times New Roman" w:hAnsi="GHEA Grapalat" w:cs="Times Armenian"/>
          <w:sz w:val="24"/>
          <w:szCs w:val="24"/>
          <w:lang w:eastAsia="ru-RU"/>
        </w:rPr>
        <w:t>1) ապահովում է օրենքների և այլ նորմատիվ իրավական ակտերի միատեսակ կիրառությունը.</w:t>
      </w:r>
    </w:p>
    <w:p w:rsidR="00303611" w:rsidRPr="00AA2713" w:rsidRDefault="00D546E1" w:rsidP="00C743AD">
      <w:pPr>
        <w:autoSpaceDE w:val="0"/>
        <w:autoSpaceDN w:val="0"/>
        <w:adjustRightInd w:val="0"/>
        <w:spacing w:after="0" w:line="360" w:lineRule="auto"/>
        <w:ind w:firstLine="567"/>
        <w:jc w:val="both"/>
        <w:rPr>
          <w:rFonts w:ascii="GHEA Grapalat" w:eastAsia="Times New Roman" w:hAnsi="GHEA Grapalat" w:cs="Times Armenian"/>
          <w:sz w:val="24"/>
          <w:szCs w:val="24"/>
          <w:lang w:eastAsia="ru-RU"/>
        </w:rPr>
      </w:pPr>
      <w:r>
        <w:rPr>
          <w:rFonts w:ascii="GHEA Grapalat" w:eastAsia="Times New Roman" w:hAnsi="GHEA Grapalat" w:cs="Times Armenian"/>
          <w:sz w:val="24"/>
          <w:szCs w:val="24"/>
          <w:lang w:eastAsia="ru-RU"/>
        </w:rPr>
        <w:t>2) վերացնում է մարդու իրավունքների և ազատությունների հիմնարար խախտումները:</w:t>
      </w:r>
    </w:p>
    <w:p w:rsidR="00303611" w:rsidRPr="00AA2713" w:rsidRDefault="00D546E1" w:rsidP="00303611">
      <w:pPr>
        <w:autoSpaceDE w:val="0"/>
        <w:autoSpaceDN w:val="0"/>
        <w:adjustRightInd w:val="0"/>
        <w:spacing w:after="0" w:line="360" w:lineRule="auto"/>
        <w:ind w:firstLine="567"/>
        <w:jc w:val="both"/>
        <w:rPr>
          <w:rFonts w:ascii="GHEA Grapalat" w:eastAsia="Times New Roman" w:hAnsi="GHEA Grapalat" w:cs="Times Armenian"/>
          <w:sz w:val="24"/>
          <w:szCs w:val="24"/>
          <w:lang w:eastAsia="ru-RU"/>
        </w:rPr>
      </w:pPr>
      <w:r>
        <w:rPr>
          <w:rFonts w:ascii="GHEA Grapalat" w:eastAsia="Times New Roman" w:hAnsi="GHEA Grapalat" w:cs="Times Armenian"/>
          <w:sz w:val="24"/>
          <w:szCs w:val="24"/>
          <w:lang w:eastAsia="ru-RU"/>
        </w:rPr>
        <w:t>«Հայաստանի Հանրապետության դատական օրենսգիրք» սահմանադրական օրենքի 29-րդ հոդվածի 3-րդ մասը նախատեսում է, որ օրենքների և այլ նորմատիվ իրավական ակտերի միատեսակ կիրառությունը Վճռաբեկ դատարանն ապահովում է, եթե առկա է իրավունքի զարգացման խնդիր, կամ տարբեր գործերով դատարանների կողմից նորմատիվ իրավական ակտը տարաբնույթ է կիրառվել կամ չի կիրառվել տարաբնույթ իրավաընկալման հետևանքով: Իսկ մարդու իրավունքների և ազատությունների հիմնարար խախտումները վերացնելու նպատակով Վճռաբեկ դատարանը վերանայում է այն դատական ակտերը, որոնք խաթարում են արդարադատության բուն էությունը:</w:t>
      </w:r>
    </w:p>
    <w:p w:rsidR="005B4354" w:rsidRPr="00AA2713" w:rsidRDefault="00D546E1" w:rsidP="003F6095">
      <w:pPr>
        <w:autoSpaceDE w:val="0"/>
        <w:autoSpaceDN w:val="0"/>
        <w:adjustRightInd w:val="0"/>
        <w:spacing w:after="0" w:line="360" w:lineRule="auto"/>
        <w:ind w:firstLine="567"/>
        <w:jc w:val="both"/>
        <w:rPr>
          <w:rFonts w:ascii="GHEA Grapalat" w:eastAsia="Times New Roman" w:hAnsi="GHEA Grapalat" w:cs="Times Armenian"/>
          <w:sz w:val="24"/>
          <w:szCs w:val="24"/>
          <w:lang w:eastAsia="ru-RU"/>
        </w:rPr>
      </w:pPr>
      <w:r>
        <w:rPr>
          <w:rFonts w:ascii="GHEA Grapalat" w:eastAsia="Times New Roman" w:hAnsi="GHEA Grapalat" w:cs="Times Armenian"/>
          <w:sz w:val="24"/>
          <w:szCs w:val="24"/>
          <w:lang w:eastAsia="ru-RU"/>
        </w:rPr>
        <w:t xml:space="preserve">Ելնելով վերոնշվածից, կարող ենք նշել, որ իր սահմանադրաիրավական առաքելությունն իրականացնելիս Վճռաբեկ դատարանը նպաստում է իրավունքի զարգացմանը։ Վճռաբեկ դատարանի որոշումներում առկա իրավական նորմերի </w:t>
      </w:r>
      <w:r>
        <w:rPr>
          <w:rFonts w:ascii="GHEA Grapalat" w:eastAsia="Times New Roman" w:hAnsi="GHEA Grapalat" w:cs="Times Armenian"/>
          <w:sz w:val="24"/>
          <w:szCs w:val="24"/>
          <w:lang w:eastAsia="ru-RU"/>
        </w:rPr>
        <w:lastRenderedPageBreak/>
        <w:t xml:space="preserve">մեկնաբանությունները գործուն դերակատարում ունեն ամբողջ դատական պրակտիկայի միասնականության ապահովման համար։ </w:t>
      </w:r>
    </w:p>
    <w:p w:rsidR="005B4354" w:rsidRPr="00AA2713" w:rsidRDefault="00D546E1" w:rsidP="005B4354">
      <w:pPr>
        <w:autoSpaceDE w:val="0"/>
        <w:autoSpaceDN w:val="0"/>
        <w:adjustRightInd w:val="0"/>
        <w:spacing w:after="0" w:line="360" w:lineRule="auto"/>
        <w:ind w:firstLine="567"/>
        <w:jc w:val="both"/>
        <w:rPr>
          <w:rFonts w:ascii="GHEA Grapalat" w:eastAsia="Times New Roman" w:hAnsi="GHEA Grapalat" w:cs="Times Armenian"/>
          <w:sz w:val="24"/>
          <w:szCs w:val="24"/>
          <w:lang w:eastAsia="ru-RU"/>
        </w:rPr>
      </w:pPr>
      <w:r>
        <w:rPr>
          <w:rFonts w:ascii="GHEA Grapalat" w:eastAsia="Times New Roman" w:hAnsi="GHEA Grapalat" w:cs="Times Armenian"/>
          <w:sz w:val="24"/>
          <w:szCs w:val="24"/>
          <w:lang w:eastAsia="ru-RU"/>
        </w:rPr>
        <w:t>Ավելին, ինչպես արձանագրել է Սահմանադրական դատարանը Վճռաբեկ դատարանն իր սահմանադրական լիազորությունների իրականացման բերումով առերեսվում է դատավարական բողոքների մեծ քանակի և եռաստիճան դատական համակարգում իր քննությանը ներկայացված իրավունքի և փաստի ամենաբարդ հարցերի քննությանը</w:t>
      </w:r>
      <w:r w:rsidR="005B4354" w:rsidRPr="00AA2713">
        <w:rPr>
          <w:rStyle w:val="FootnoteReference"/>
          <w:rFonts w:ascii="GHEA Grapalat" w:eastAsia="Times New Roman" w:hAnsi="GHEA Grapalat" w:cs="Times Armenian"/>
          <w:sz w:val="24"/>
          <w:szCs w:val="24"/>
          <w:lang w:val="ru-RU" w:eastAsia="ru-RU"/>
        </w:rPr>
        <w:footnoteReference w:id="1"/>
      </w:r>
      <w:r w:rsidR="005B4354" w:rsidRPr="00AA2713">
        <w:rPr>
          <w:rFonts w:ascii="GHEA Grapalat" w:eastAsia="Times New Roman" w:hAnsi="GHEA Grapalat" w:cs="Times Armenian"/>
          <w:sz w:val="24"/>
          <w:szCs w:val="24"/>
          <w:lang w:eastAsia="ru-RU"/>
        </w:rPr>
        <w:t>:</w:t>
      </w:r>
    </w:p>
    <w:p w:rsidR="003F6095" w:rsidRPr="0042165A" w:rsidRDefault="005B4354" w:rsidP="003F6095">
      <w:pPr>
        <w:autoSpaceDE w:val="0"/>
        <w:autoSpaceDN w:val="0"/>
        <w:adjustRightInd w:val="0"/>
        <w:spacing w:after="0" w:line="360" w:lineRule="auto"/>
        <w:ind w:firstLine="567"/>
        <w:jc w:val="both"/>
        <w:rPr>
          <w:rFonts w:ascii="GHEA Grapalat" w:eastAsia="Times New Roman" w:hAnsi="GHEA Grapalat" w:cs="Times Armenian"/>
          <w:sz w:val="24"/>
          <w:szCs w:val="24"/>
          <w:lang w:eastAsia="ru-RU"/>
        </w:rPr>
      </w:pPr>
      <w:r w:rsidRPr="00AA2713">
        <w:rPr>
          <w:rFonts w:ascii="GHEA Grapalat" w:eastAsia="Times New Roman" w:hAnsi="GHEA Grapalat" w:cs="Times Armenian"/>
          <w:sz w:val="24"/>
          <w:szCs w:val="24"/>
          <w:lang w:eastAsia="ru-RU"/>
        </w:rPr>
        <w:t xml:space="preserve">Այս համատեքստում Վճռաբեկ դատարանի գործառույթների  հնարավորինս արդյունավետ իրականացումը ունի մեծ հանրային-իրավական նշանակություն այն իմաստով, որ թե՛ պետությունը և թե՛ հասարակությունը շահագրգռված են օրենքների և նորմատիվ իրավական այլ ակտերի ճիշտ ու միատեսակ կիրառման, դատական պրակտիկայի հետևողականության և կանխատեսելիության ապահովման հարցում։ </w:t>
      </w:r>
    </w:p>
    <w:p w:rsidR="0007243F" w:rsidRPr="0042165A" w:rsidRDefault="0007243F" w:rsidP="0007243F">
      <w:pPr>
        <w:autoSpaceDE w:val="0"/>
        <w:autoSpaceDN w:val="0"/>
        <w:adjustRightInd w:val="0"/>
        <w:spacing w:after="0" w:line="360" w:lineRule="auto"/>
        <w:ind w:firstLine="567"/>
        <w:jc w:val="both"/>
        <w:rPr>
          <w:rFonts w:ascii="GHEA Grapalat" w:eastAsia="Times New Roman" w:hAnsi="GHEA Grapalat" w:cs="Times Armenian"/>
          <w:sz w:val="24"/>
          <w:szCs w:val="24"/>
          <w:lang w:eastAsia="ru-RU"/>
        </w:rPr>
      </w:pPr>
      <w:r w:rsidRPr="00AA2713">
        <w:rPr>
          <w:rFonts w:ascii="GHEA Grapalat" w:eastAsia="Times New Roman" w:hAnsi="GHEA Grapalat" w:cs="Times Armenian"/>
          <w:sz w:val="24"/>
          <w:szCs w:val="24"/>
          <w:lang w:eastAsia="ru-RU"/>
        </w:rPr>
        <w:t xml:space="preserve">Վերոնշված հիմնավորումները ոչ միայն ընդգծում են Վճռաբեկ դատարանի դատավորների վրա դրված առաջադրանքների առանձնակի կարևորությունը, այլ նաև պահանջում </w:t>
      </w:r>
      <w:r w:rsidR="0031521C" w:rsidRPr="0031521C">
        <w:rPr>
          <w:rFonts w:ascii="GHEA Grapalat" w:eastAsia="Times New Roman" w:hAnsi="GHEA Grapalat" w:cs="Times Armenian"/>
          <w:sz w:val="24"/>
          <w:szCs w:val="24"/>
          <w:lang w:eastAsia="ru-RU"/>
        </w:rPr>
        <w:t xml:space="preserve">են սոցիալական և նյութական </w:t>
      </w:r>
      <w:r w:rsidRPr="00AA2713">
        <w:rPr>
          <w:rFonts w:ascii="GHEA Grapalat" w:eastAsia="Times New Roman" w:hAnsi="GHEA Grapalat" w:cs="Times Armenian"/>
          <w:sz w:val="24"/>
          <w:szCs w:val="24"/>
          <w:lang w:eastAsia="ru-RU"/>
        </w:rPr>
        <w:t xml:space="preserve">անկախության լրացուցիչ երաշխիքներ նախատեսել Վճռաբեկ դատարանների դատավորների համար:  </w:t>
      </w:r>
    </w:p>
    <w:p w:rsidR="00C741AA" w:rsidRPr="00C741AA" w:rsidRDefault="0031521C" w:rsidP="00C741AA">
      <w:pPr>
        <w:pStyle w:val="ListParagraph"/>
        <w:numPr>
          <w:ilvl w:val="0"/>
          <w:numId w:val="6"/>
        </w:numPr>
        <w:autoSpaceDE w:val="0"/>
        <w:autoSpaceDN w:val="0"/>
        <w:adjustRightInd w:val="0"/>
        <w:spacing w:after="0" w:line="360" w:lineRule="auto"/>
        <w:ind w:left="0" w:firstLine="540"/>
        <w:jc w:val="both"/>
        <w:rPr>
          <w:rFonts w:ascii="GHEA Grapalat" w:eastAsia="Times New Roman" w:hAnsi="GHEA Grapalat" w:cs="Times Armenian"/>
          <w:sz w:val="24"/>
          <w:szCs w:val="24"/>
          <w:lang w:eastAsia="ru-RU"/>
        </w:rPr>
      </w:pPr>
      <w:r w:rsidRPr="00C741AA">
        <w:rPr>
          <w:rFonts w:ascii="GHEA Grapalat" w:eastAsia="Times New Roman" w:hAnsi="GHEA Grapalat" w:cs="Times Armenian"/>
          <w:sz w:val="24"/>
          <w:szCs w:val="24"/>
          <w:lang w:eastAsia="ru-RU"/>
        </w:rPr>
        <w:t xml:space="preserve">Ինչ վերաբերում է </w:t>
      </w:r>
      <w:r w:rsidR="00C741AA">
        <w:rPr>
          <w:rFonts w:ascii="GHEA Grapalat" w:eastAsia="Times New Roman" w:hAnsi="GHEA Grapalat" w:cs="Times Armenian"/>
          <w:sz w:val="24"/>
          <w:szCs w:val="24"/>
          <w:lang w:eastAsia="ru-RU"/>
        </w:rPr>
        <w:t>Սահմանադրական դատարան</w:t>
      </w:r>
      <w:r w:rsidR="00C741AA" w:rsidRPr="00C741AA">
        <w:rPr>
          <w:rFonts w:ascii="GHEA Grapalat" w:eastAsia="Times New Roman" w:hAnsi="GHEA Grapalat" w:cs="Times Armenian"/>
          <w:sz w:val="24"/>
          <w:szCs w:val="24"/>
          <w:lang w:eastAsia="ru-RU"/>
        </w:rPr>
        <w:t xml:space="preserve">ին, ապա այն սահմանադրական արդարադատության ոլորտում հանդիսանում է բարձրագույն դատական ատյան: Սահմանադրության 167-րդ հոդվածի համաձայն՝ Սահմանադրական արդարադատությունն իրականացնում է Սահմանադրական դատարանը` ապահովելով Սահմանադրության գերակայությունը, որի </w:t>
      </w:r>
      <w:r w:rsidR="00C741AA" w:rsidRPr="00C741AA">
        <w:rPr>
          <w:rFonts w:ascii="GHEA Grapalat" w:eastAsia="Times New Roman" w:hAnsi="GHEA Grapalat" w:cs="Times Armenian"/>
          <w:sz w:val="24"/>
          <w:szCs w:val="24"/>
          <w:lang w:eastAsia="ru-RU"/>
        </w:rPr>
        <w:lastRenderedPageBreak/>
        <w:t xml:space="preserve">շրջանականերում Սահմանադրական դատարանն անկախ է և ենթարկվում է միայն Սահմանադրությանը: </w:t>
      </w:r>
    </w:p>
    <w:p w:rsidR="005E7E2D" w:rsidRPr="00C741AA" w:rsidRDefault="004D06E0" w:rsidP="00C741AA">
      <w:pPr>
        <w:autoSpaceDE w:val="0"/>
        <w:autoSpaceDN w:val="0"/>
        <w:adjustRightInd w:val="0"/>
        <w:spacing w:after="0" w:line="360" w:lineRule="auto"/>
        <w:ind w:firstLine="567"/>
        <w:jc w:val="both"/>
        <w:rPr>
          <w:rFonts w:ascii="GHEA Grapalat" w:eastAsia="Times New Roman" w:hAnsi="GHEA Grapalat" w:cs="Times Armenian"/>
          <w:sz w:val="24"/>
          <w:szCs w:val="24"/>
          <w:lang w:eastAsia="ru-RU"/>
        </w:rPr>
      </w:pPr>
      <w:r w:rsidRPr="00C741AA">
        <w:rPr>
          <w:rFonts w:ascii="GHEA Grapalat" w:eastAsia="Times New Roman" w:hAnsi="GHEA Grapalat" w:cs="Times Armenian"/>
          <w:sz w:val="24"/>
          <w:szCs w:val="24"/>
          <w:lang w:eastAsia="ru-RU"/>
        </w:rPr>
        <w:t xml:space="preserve">Միաժամանակ, </w:t>
      </w:r>
      <w:r w:rsidR="0092189B" w:rsidRPr="00C741AA">
        <w:rPr>
          <w:rFonts w:ascii="GHEA Grapalat" w:eastAsia="Times New Roman" w:hAnsi="GHEA Grapalat" w:cs="Times Armenian"/>
          <w:sz w:val="24"/>
          <w:szCs w:val="24"/>
          <w:lang w:eastAsia="ru-RU"/>
        </w:rPr>
        <w:t>Սահմանադրության 7-րդ գլխի կարգավորումների ուսումնասիրությունը ցույց է տալիս, որ Սահմանադրական դատարանի լիազորությունների շրջանակը</w:t>
      </w:r>
      <w:r w:rsidR="002963DF" w:rsidRPr="00C741AA">
        <w:rPr>
          <w:rFonts w:ascii="GHEA Grapalat" w:eastAsia="Times New Roman" w:hAnsi="GHEA Grapalat" w:cs="Times Armenian"/>
          <w:sz w:val="24"/>
          <w:szCs w:val="24"/>
          <w:lang w:eastAsia="ru-RU"/>
        </w:rPr>
        <w:t xml:space="preserve"> էականորեն</w:t>
      </w:r>
      <w:r w:rsidR="0092189B" w:rsidRPr="00C741AA">
        <w:rPr>
          <w:rFonts w:ascii="GHEA Grapalat" w:eastAsia="Times New Roman" w:hAnsi="GHEA Grapalat" w:cs="Times Armenian"/>
          <w:sz w:val="24"/>
          <w:szCs w:val="24"/>
          <w:lang w:eastAsia="ru-RU"/>
        </w:rPr>
        <w:t xml:space="preserve"> տարբերվում է Սահմանադրության 163-րդ հոդվածով ամրագրված մյուս դատարանների լիազորությունների շրջանակից</w:t>
      </w:r>
      <w:r w:rsidR="00AA08AE" w:rsidRPr="00C741AA">
        <w:rPr>
          <w:rFonts w:ascii="GHEA Grapalat" w:eastAsia="Times New Roman" w:hAnsi="GHEA Grapalat" w:cs="Times Armenian"/>
          <w:sz w:val="24"/>
          <w:szCs w:val="24"/>
          <w:lang w:eastAsia="ru-RU"/>
        </w:rPr>
        <w:t xml:space="preserve">: Նշվածը </w:t>
      </w:r>
      <w:r w:rsidR="00D546E1" w:rsidRPr="00C741AA">
        <w:rPr>
          <w:rFonts w:ascii="GHEA Grapalat" w:eastAsia="Times New Roman" w:hAnsi="GHEA Grapalat" w:cs="Times Armenian"/>
          <w:sz w:val="24"/>
          <w:szCs w:val="24"/>
          <w:lang w:eastAsia="ru-RU"/>
        </w:rPr>
        <w:t>բխում է Սահմանադրության 168-րդ հոդվածով ամրագրված՝ Սահմանադրական դատարանի լիազորությունների բնույթից:</w:t>
      </w:r>
    </w:p>
    <w:p w:rsidR="002513C1" w:rsidRPr="00AA2713" w:rsidRDefault="00D546E1" w:rsidP="002513C1">
      <w:pPr>
        <w:autoSpaceDE w:val="0"/>
        <w:autoSpaceDN w:val="0"/>
        <w:adjustRightInd w:val="0"/>
        <w:spacing w:after="0" w:line="360" w:lineRule="auto"/>
        <w:ind w:firstLine="567"/>
        <w:jc w:val="both"/>
        <w:rPr>
          <w:rFonts w:ascii="GHEA Grapalat" w:eastAsia="Times New Roman" w:hAnsi="GHEA Grapalat" w:cs="Times Armenian"/>
          <w:sz w:val="24"/>
          <w:szCs w:val="24"/>
          <w:lang w:eastAsia="ru-RU"/>
        </w:rPr>
      </w:pPr>
      <w:r>
        <w:rPr>
          <w:rFonts w:ascii="GHEA Grapalat" w:eastAsia="Times New Roman" w:hAnsi="GHEA Grapalat" w:cs="Times Armenian"/>
          <w:sz w:val="24"/>
          <w:szCs w:val="24"/>
          <w:lang w:eastAsia="ru-RU"/>
        </w:rPr>
        <w:t>Որպես սահմանադրական արդարադատության բարձրագույն մարմին՝ Սահմանադրական դատարանի լիազորություններն առնչվում են տարաբնույթ և ժողովրդավարական ու իրավական պետության համար կարևորագույն նշանակություն ունեցող ոլորտների հետ (նորմատիվ իրավական ակտերի սահամանադրականության ստուգում, սահմանադրական մարմինների միջև վեճերի լուծում, կուսակցությունների գործունեության կասեցում, արգելում, հանրաքվեի, ընտրությունների արդյունքներով ընդունված որոշումների հետ կապված վեճեր և այլն):</w:t>
      </w:r>
    </w:p>
    <w:p w:rsidR="002513C1" w:rsidRPr="00AA2713" w:rsidRDefault="00D546E1" w:rsidP="002513C1">
      <w:pPr>
        <w:autoSpaceDE w:val="0"/>
        <w:autoSpaceDN w:val="0"/>
        <w:adjustRightInd w:val="0"/>
        <w:spacing w:after="0" w:line="360" w:lineRule="auto"/>
        <w:ind w:firstLine="567"/>
        <w:jc w:val="both"/>
        <w:rPr>
          <w:rFonts w:ascii="GHEA Grapalat" w:eastAsia="Times New Roman" w:hAnsi="GHEA Grapalat" w:cs="Times Armenian"/>
          <w:sz w:val="24"/>
          <w:szCs w:val="24"/>
          <w:lang w:eastAsia="ru-RU"/>
        </w:rPr>
      </w:pPr>
      <w:r>
        <w:rPr>
          <w:rFonts w:ascii="GHEA Grapalat" w:eastAsia="Times New Roman" w:hAnsi="GHEA Grapalat" w:cs="Times Armenian"/>
          <w:sz w:val="24"/>
          <w:szCs w:val="24"/>
          <w:lang w:eastAsia="ru-RU"/>
        </w:rPr>
        <w:t>Անդրադառնալով Սահմանադրական դատարանի սահմանադրաիրավական կարգավիճակին</w:t>
      </w:r>
      <w:r w:rsidR="00E3219B" w:rsidRPr="00C741AA">
        <w:rPr>
          <w:rFonts w:ascii="GHEA Grapalat" w:eastAsia="Times New Roman" w:hAnsi="GHEA Grapalat" w:cs="Times Armenian"/>
          <w:sz w:val="24"/>
          <w:szCs w:val="24"/>
          <w:lang w:eastAsia="ru-RU"/>
        </w:rPr>
        <w:t>՝</w:t>
      </w:r>
      <w:r>
        <w:rPr>
          <w:rFonts w:ascii="GHEA Grapalat" w:eastAsia="Times New Roman" w:hAnsi="GHEA Grapalat" w:cs="Times Armenian"/>
          <w:sz w:val="24"/>
          <w:szCs w:val="24"/>
          <w:lang w:eastAsia="ru-RU"/>
        </w:rPr>
        <w:t xml:space="preserve"> ՍԴՈ-943 որոշմամբ Սահմանադրական դատարանն արձանագրել է, որ Սահմանադրական դատարանի որոշումներում արտահայտված իրավական դիրքորոշումները «...կոչված են իրավակիրառական պրակտիկայում ապահովելու ՀՀ Սահմանադրության առավել ամբողջական և միակերպ ընկալումն ու սահմանադրական օրինականությունը, իրավակիրառական պրակտիկան նպատակամղելու նորմատիվ ակտերն իրենց սահմանադրաիրավական բովանդակությանը համապատասխան ընկալելու և կիրառելու ուղղությամբ: Որպես </w:t>
      </w:r>
      <w:r>
        <w:rPr>
          <w:rFonts w:ascii="GHEA Grapalat" w:eastAsia="Times New Roman" w:hAnsi="GHEA Grapalat" w:cs="Times Armenian"/>
          <w:sz w:val="24"/>
          <w:szCs w:val="24"/>
          <w:lang w:eastAsia="ru-RU"/>
        </w:rPr>
        <w:lastRenderedPageBreak/>
        <w:t>սահմանադրական իրավունքի կարևոր աղբյուր` դրանք սկզբունքային նշանակություն ունեն սահմանադրական դատարանի որոշումներից բխող օրինաստեղծ (նորմաստեղծ) գործունեության համար:»:</w:t>
      </w:r>
    </w:p>
    <w:p w:rsidR="005221BD" w:rsidRPr="00AA2713" w:rsidRDefault="00D546E1" w:rsidP="002C4385">
      <w:pPr>
        <w:autoSpaceDE w:val="0"/>
        <w:autoSpaceDN w:val="0"/>
        <w:adjustRightInd w:val="0"/>
        <w:spacing w:after="0" w:line="360" w:lineRule="auto"/>
        <w:ind w:firstLine="567"/>
        <w:jc w:val="both"/>
        <w:rPr>
          <w:rFonts w:ascii="GHEA Grapalat" w:eastAsia="Times New Roman" w:hAnsi="GHEA Grapalat" w:cs="Times Armenian"/>
          <w:sz w:val="24"/>
          <w:szCs w:val="24"/>
          <w:lang w:eastAsia="ru-RU"/>
        </w:rPr>
      </w:pPr>
      <w:r>
        <w:rPr>
          <w:rFonts w:ascii="GHEA Grapalat" w:eastAsia="Times New Roman" w:hAnsi="GHEA Grapalat" w:cs="Times Armenian"/>
          <w:sz w:val="24"/>
          <w:szCs w:val="24"/>
          <w:lang w:eastAsia="ru-RU"/>
        </w:rPr>
        <w:t xml:space="preserve">Սահմանադրական դատարանի սահմանադրական առաքելությունը և պարտականությունն է ապահովել սահմանադրական ժողովրդավարության գոյության և կենսագործման ամենաառանցքային պայմանը՝ Սահմանադրության գերակայությունը, որն էլ Սահմանադրական դատարանը պարտավոր է ապահովել  ժողովրդավարության և մարդու իրավունքների և ազատությունների սահմանների պաշտպանությամբ։ Սահմանադրակական դատարանի կարգավիճակի առանձնահատկությունը ամփոփված է սահմանադրական վերահսկողության գաղափարում, համաձայն որի, ի տարբերություն Հայաստանի Հանրապետությունում բոլոր այլ դատական ատյանների, որոնք արդարադատության իրականացման ընթացքում չեն կարող դուրս գալ օրենսդրի կամքի շրջանակից, Սահմանադրական դատարանն իր գործունեությամբ ենթարկվում է միայն Սահմանադրությանը և միակ իրավասու ատյանն է, որն ի զորու է անվավեր ճանաչել օրենսդրի ընդունած իրավական ակտը։ </w:t>
      </w:r>
    </w:p>
    <w:p w:rsidR="002C4385" w:rsidRPr="00AA2713" w:rsidRDefault="00D546E1" w:rsidP="002C4385">
      <w:pPr>
        <w:autoSpaceDE w:val="0"/>
        <w:autoSpaceDN w:val="0"/>
        <w:adjustRightInd w:val="0"/>
        <w:spacing w:after="0" w:line="360" w:lineRule="auto"/>
        <w:ind w:firstLine="567"/>
        <w:jc w:val="both"/>
        <w:rPr>
          <w:rFonts w:ascii="GHEA Grapalat" w:eastAsia="Times New Roman" w:hAnsi="GHEA Grapalat" w:cs="Times Armenian"/>
          <w:bCs/>
          <w:sz w:val="24"/>
          <w:szCs w:val="24"/>
          <w:lang w:eastAsia="ru-RU"/>
        </w:rPr>
      </w:pPr>
      <w:r>
        <w:rPr>
          <w:rFonts w:ascii="GHEA Grapalat" w:eastAsia="Times New Roman" w:hAnsi="GHEA Grapalat" w:cs="Times Armenian"/>
          <w:sz w:val="24"/>
          <w:szCs w:val="24"/>
          <w:lang w:eastAsia="ru-RU"/>
        </w:rPr>
        <w:t>Ամփոփելով Սահմանադրական</w:t>
      </w:r>
      <w:r>
        <w:rPr>
          <w:rFonts w:ascii="GHEA Grapalat" w:eastAsia="Times New Roman" w:hAnsi="GHEA Grapalat" w:cs="Times Armenian"/>
          <w:bCs/>
          <w:sz w:val="24"/>
          <w:szCs w:val="24"/>
          <w:lang w:eastAsia="ru-RU"/>
        </w:rPr>
        <w:t xml:space="preserve"> դատարանի բարձր կարգավիճակի և պատասխանատվության առանձնահատկությունները՝ հարկ է նշել, որ</w:t>
      </w:r>
      <w:r w:rsidR="0031521C" w:rsidRPr="0031521C">
        <w:rPr>
          <w:rFonts w:ascii="GHEA Grapalat" w:eastAsia="MS Mincho" w:hAnsi="MS Mincho" w:cs="MS Mincho"/>
          <w:bCs/>
          <w:sz w:val="24"/>
          <w:szCs w:val="24"/>
          <w:lang w:eastAsia="ru-RU"/>
        </w:rPr>
        <w:t>․</w:t>
      </w:r>
    </w:p>
    <w:p w:rsidR="002C4385" w:rsidRPr="00AA2713" w:rsidRDefault="002C4385" w:rsidP="002C4385">
      <w:pPr>
        <w:pStyle w:val="ListParagraph"/>
        <w:numPr>
          <w:ilvl w:val="0"/>
          <w:numId w:val="1"/>
        </w:numPr>
        <w:tabs>
          <w:tab w:val="left" w:pos="993"/>
        </w:tabs>
        <w:autoSpaceDE w:val="0"/>
        <w:autoSpaceDN w:val="0"/>
        <w:adjustRightInd w:val="0"/>
        <w:spacing w:line="360" w:lineRule="auto"/>
        <w:ind w:left="0" w:firstLine="567"/>
        <w:jc w:val="both"/>
        <w:rPr>
          <w:rFonts w:ascii="GHEA Grapalat" w:eastAsia="Times New Roman" w:hAnsi="GHEA Grapalat" w:cs="Times Armenian"/>
          <w:bCs/>
          <w:sz w:val="24"/>
          <w:szCs w:val="24"/>
          <w:lang w:eastAsia="ru-RU"/>
        </w:rPr>
      </w:pPr>
      <w:r w:rsidRPr="00AA2713">
        <w:rPr>
          <w:rFonts w:ascii="GHEA Grapalat" w:eastAsia="Times New Roman" w:hAnsi="GHEA Grapalat" w:cs="Times Armenian"/>
          <w:bCs/>
          <w:sz w:val="24"/>
          <w:szCs w:val="24"/>
          <w:lang w:eastAsia="ru-RU"/>
        </w:rPr>
        <w:t>Սահմանադրական դատարանը հանդիսանում է սահմանադրական արդարադատություն իրականացնող բարձրագույն դատական ատյանը,</w:t>
      </w:r>
    </w:p>
    <w:p w:rsidR="002C4385" w:rsidRPr="00AA2713" w:rsidRDefault="002C4385" w:rsidP="002C4385">
      <w:pPr>
        <w:pStyle w:val="ListParagraph"/>
        <w:numPr>
          <w:ilvl w:val="0"/>
          <w:numId w:val="1"/>
        </w:numPr>
        <w:tabs>
          <w:tab w:val="left" w:pos="993"/>
        </w:tabs>
        <w:autoSpaceDE w:val="0"/>
        <w:autoSpaceDN w:val="0"/>
        <w:adjustRightInd w:val="0"/>
        <w:spacing w:line="360" w:lineRule="auto"/>
        <w:ind w:left="0" w:firstLine="567"/>
        <w:jc w:val="both"/>
        <w:rPr>
          <w:rFonts w:ascii="GHEA Grapalat" w:eastAsia="Times New Roman" w:hAnsi="GHEA Grapalat" w:cs="Times Armenian"/>
          <w:bCs/>
          <w:sz w:val="24"/>
          <w:szCs w:val="24"/>
          <w:lang w:eastAsia="ru-RU"/>
        </w:rPr>
      </w:pPr>
      <w:r w:rsidRPr="00AA2713">
        <w:rPr>
          <w:rFonts w:ascii="GHEA Grapalat" w:eastAsia="Times New Roman" w:hAnsi="GHEA Grapalat" w:cs="Times Armenian"/>
          <w:bCs/>
          <w:sz w:val="24"/>
          <w:szCs w:val="24"/>
          <w:lang w:eastAsia="ru-RU"/>
        </w:rPr>
        <w:t>Սահմանադրական դատարանի լիազորութ</w:t>
      </w:r>
      <w:r w:rsidR="005221BD" w:rsidRPr="00AA2713">
        <w:rPr>
          <w:rFonts w:ascii="GHEA Grapalat" w:eastAsia="Times New Roman" w:hAnsi="GHEA Grapalat" w:cs="Times Armenian"/>
          <w:bCs/>
          <w:sz w:val="24"/>
          <w:szCs w:val="24"/>
          <w:lang w:eastAsia="ru-RU"/>
        </w:rPr>
        <w:t>յ</w:t>
      </w:r>
      <w:r w:rsidRPr="00AA2713">
        <w:rPr>
          <w:rFonts w:ascii="GHEA Grapalat" w:eastAsia="Times New Roman" w:hAnsi="GHEA Grapalat" w:cs="Times Armenian"/>
          <w:bCs/>
          <w:sz w:val="24"/>
          <w:szCs w:val="24"/>
          <w:lang w:eastAsia="ru-RU"/>
        </w:rPr>
        <w:t>ունների շրջանակը սահմանվ</w:t>
      </w:r>
      <w:r w:rsidR="005221BD" w:rsidRPr="00AA2713">
        <w:rPr>
          <w:rFonts w:ascii="GHEA Grapalat" w:eastAsia="Times New Roman" w:hAnsi="GHEA Grapalat" w:cs="Times Armenian"/>
          <w:bCs/>
          <w:sz w:val="24"/>
          <w:szCs w:val="24"/>
          <w:lang w:eastAsia="ru-RU"/>
        </w:rPr>
        <w:t>ում</w:t>
      </w:r>
      <w:r w:rsidRPr="00AA2713">
        <w:rPr>
          <w:rFonts w:ascii="GHEA Grapalat" w:eastAsia="Times New Roman" w:hAnsi="GHEA Grapalat" w:cs="Times Armenian"/>
          <w:bCs/>
          <w:sz w:val="24"/>
          <w:szCs w:val="24"/>
          <w:lang w:eastAsia="ru-RU"/>
        </w:rPr>
        <w:t xml:space="preserve">  է </w:t>
      </w:r>
      <w:r w:rsidR="005221BD" w:rsidRPr="00AA2713">
        <w:rPr>
          <w:rFonts w:ascii="GHEA Grapalat" w:eastAsia="Times New Roman" w:hAnsi="GHEA Grapalat" w:cs="Times Armenian"/>
          <w:bCs/>
          <w:sz w:val="24"/>
          <w:szCs w:val="24"/>
          <w:lang w:eastAsia="ru-RU"/>
        </w:rPr>
        <w:t xml:space="preserve">միայն </w:t>
      </w:r>
      <w:r w:rsidRPr="00AA2713">
        <w:rPr>
          <w:rFonts w:ascii="GHEA Grapalat" w:eastAsia="Times New Roman" w:hAnsi="GHEA Grapalat" w:cs="Times Armenian"/>
          <w:bCs/>
          <w:sz w:val="24"/>
          <w:szCs w:val="24"/>
          <w:lang w:eastAsia="ru-RU"/>
        </w:rPr>
        <w:t>Սահմանադրությամբ,</w:t>
      </w:r>
    </w:p>
    <w:p w:rsidR="002C4385" w:rsidRPr="00AA2713" w:rsidRDefault="00D546E1" w:rsidP="002C4385">
      <w:pPr>
        <w:pStyle w:val="ListParagraph"/>
        <w:numPr>
          <w:ilvl w:val="0"/>
          <w:numId w:val="1"/>
        </w:numPr>
        <w:tabs>
          <w:tab w:val="left" w:pos="993"/>
        </w:tabs>
        <w:autoSpaceDE w:val="0"/>
        <w:autoSpaceDN w:val="0"/>
        <w:adjustRightInd w:val="0"/>
        <w:spacing w:line="360" w:lineRule="auto"/>
        <w:ind w:left="0" w:firstLine="567"/>
        <w:jc w:val="both"/>
        <w:rPr>
          <w:rFonts w:ascii="GHEA Grapalat" w:eastAsia="Times New Roman" w:hAnsi="GHEA Grapalat" w:cs="Times Armenian"/>
          <w:bCs/>
          <w:sz w:val="24"/>
          <w:szCs w:val="24"/>
          <w:lang w:eastAsia="ru-RU"/>
        </w:rPr>
      </w:pPr>
      <w:r>
        <w:rPr>
          <w:rFonts w:ascii="GHEA Grapalat" w:eastAsia="Times New Roman" w:hAnsi="GHEA Grapalat" w:cs="Times Armenian"/>
          <w:bCs/>
          <w:sz w:val="24"/>
          <w:szCs w:val="24"/>
          <w:lang w:eastAsia="ru-RU"/>
        </w:rPr>
        <w:t xml:space="preserve">Սահմանադրական դատարանի լիազորությունների շրջանակը ի թիվս այլնի ներառում է՝ օրենքների, Ազգային ժողովի որոշումների, Հանրապետության </w:t>
      </w:r>
      <w:r>
        <w:rPr>
          <w:rFonts w:ascii="GHEA Grapalat" w:eastAsia="Times New Roman" w:hAnsi="GHEA Grapalat" w:cs="Times Armenian"/>
          <w:bCs/>
          <w:sz w:val="24"/>
          <w:szCs w:val="24"/>
          <w:lang w:eastAsia="ru-RU"/>
        </w:rPr>
        <w:lastRenderedPageBreak/>
        <w:t>նախագահի հրամանագրերի և կարգադրությունների, Կառավարության և վարչապետի որոշումների, ենթաօրենսդրական նորմատիվ իրավական ակտերի համապատասխանությունը Սահմանադրությանը որոշելը, մինչև Սահմանադրության փոփոխությունների նախագծի, ինչպես նաև հանրաքվեի դրվող իրավական ակտերի նախագծերի ընդունումը դրանց համապատասխանությունը Սահմանադրությանը որոշելը և այլն,</w:t>
      </w:r>
    </w:p>
    <w:p w:rsidR="002C4385" w:rsidRPr="00AA2713" w:rsidRDefault="00D546E1" w:rsidP="002C4385">
      <w:pPr>
        <w:pStyle w:val="ListParagraph"/>
        <w:numPr>
          <w:ilvl w:val="0"/>
          <w:numId w:val="1"/>
        </w:numPr>
        <w:tabs>
          <w:tab w:val="left" w:pos="993"/>
        </w:tabs>
        <w:autoSpaceDE w:val="0"/>
        <w:autoSpaceDN w:val="0"/>
        <w:adjustRightInd w:val="0"/>
        <w:spacing w:line="360" w:lineRule="auto"/>
        <w:ind w:left="0" w:firstLine="567"/>
        <w:jc w:val="both"/>
        <w:rPr>
          <w:rFonts w:ascii="GHEA Grapalat" w:eastAsia="Times New Roman" w:hAnsi="GHEA Grapalat" w:cs="Times Armenian"/>
          <w:bCs/>
          <w:sz w:val="24"/>
          <w:szCs w:val="24"/>
          <w:lang w:eastAsia="ru-RU"/>
        </w:rPr>
      </w:pPr>
      <w:r>
        <w:rPr>
          <w:rFonts w:ascii="GHEA Grapalat" w:eastAsia="Times New Roman" w:hAnsi="GHEA Grapalat" w:cs="Times Armenian"/>
          <w:bCs/>
          <w:sz w:val="24"/>
          <w:szCs w:val="24"/>
          <w:lang w:eastAsia="ru-RU"/>
        </w:rPr>
        <w:t xml:space="preserve">Սահմանադրական դատարանի դատավորի անկախությունը </w:t>
      </w:r>
      <w:r>
        <w:rPr>
          <w:rFonts w:ascii="GHEA Grapalat" w:eastAsia="Times New Roman" w:hAnsi="GHEA Grapalat" w:cs="Cambria Math"/>
          <w:sz w:val="24"/>
          <w:szCs w:val="24"/>
          <w:lang w:eastAsia="ru-RU"/>
        </w:rPr>
        <w:t>անհրաժեշտ է ապահովել նրա բարեկեցության երաշխիքների ընդլայնմամբ, այդ թվում՝ նյութական,</w:t>
      </w:r>
    </w:p>
    <w:p w:rsidR="002C4385" w:rsidRPr="00AA2713" w:rsidRDefault="00D546E1" w:rsidP="001A4A66">
      <w:pPr>
        <w:pStyle w:val="ListParagraph"/>
        <w:numPr>
          <w:ilvl w:val="0"/>
          <w:numId w:val="1"/>
        </w:numPr>
        <w:tabs>
          <w:tab w:val="left" w:pos="993"/>
        </w:tabs>
        <w:autoSpaceDE w:val="0"/>
        <w:autoSpaceDN w:val="0"/>
        <w:adjustRightInd w:val="0"/>
        <w:spacing w:after="0" w:line="360" w:lineRule="auto"/>
        <w:ind w:left="0" w:firstLine="567"/>
        <w:jc w:val="both"/>
        <w:rPr>
          <w:rFonts w:ascii="GHEA Grapalat" w:eastAsia="Times New Roman" w:hAnsi="GHEA Grapalat" w:cs="Times Armenian"/>
          <w:sz w:val="24"/>
          <w:szCs w:val="24"/>
          <w:lang w:eastAsia="ru-RU"/>
        </w:rPr>
      </w:pPr>
      <w:r>
        <w:rPr>
          <w:rFonts w:ascii="GHEA Grapalat" w:eastAsia="Times New Roman" w:hAnsi="GHEA Grapalat" w:cs="Times Armenian"/>
          <w:bCs/>
          <w:sz w:val="24"/>
          <w:szCs w:val="24"/>
          <w:lang w:eastAsia="ru-RU"/>
        </w:rPr>
        <w:t>Սահմանադրական</w:t>
      </w:r>
      <w:r>
        <w:rPr>
          <w:rFonts w:ascii="GHEA Grapalat" w:eastAsia="Times New Roman" w:hAnsi="GHEA Grapalat" w:cs="Times Armenian"/>
          <w:sz w:val="24"/>
          <w:szCs w:val="24"/>
          <w:lang w:eastAsia="ru-RU"/>
        </w:rPr>
        <w:t xml:space="preserve"> դատարանի լիազորությունների շրջանակով պայմանավորված՝ Սահմանադրական դատարանի դատավորներին ներկայացվող պահանջները, նրանց նշանակման կարգը ևս տարբերակված են: Վերջիններիս ներկայացվում են առավել բարձր չափանիշներ (հոդված 165)</w:t>
      </w:r>
      <w:r>
        <w:rPr>
          <w:rFonts w:ascii="GHEA Grapalat" w:eastAsia="Times New Roman" w:hAnsi="GHEA Grapalat" w:cs="Cambria Math"/>
          <w:sz w:val="24"/>
          <w:szCs w:val="24"/>
          <w:lang w:eastAsia="ru-RU"/>
        </w:rPr>
        <w:t>։</w:t>
      </w:r>
    </w:p>
    <w:p w:rsidR="00775760" w:rsidRPr="00AA2713" w:rsidRDefault="0031521C" w:rsidP="00597D46">
      <w:pPr>
        <w:pStyle w:val="ListParagraph"/>
        <w:autoSpaceDE w:val="0"/>
        <w:autoSpaceDN w:val="0"/>
        <w:adjustRightInd w:val="0"/>
        <w:spacing w:line="360" w:lineRule="auto"/>
        <w:ind w:left="0" w:firstLine="567"/>
        <w:jc w:val="both"/>
        <w:rPr>
          <w:rFonts w:ascii="GHEA Grapalat" w:eastAsia="Times New Roman" w:hAnsi="GHEA Grapalat" w:cs="Times Armenian"/>
          <w:bCs/>
          <w:sz w:val="24"/>
          <w:szCs w:val="24"/>
          <w:lang w:eastAsia="ru-RU"/>
        </w:rPr>
      </w:pPr>
      <w:r w:rsidRPr="00C741AA">
        <w:rPr>
          <w:rFonts w:ascii="GHEA Grapalat" w:eastAsia="Times New Roman" w:hAnsi="GHEA Grapalat" w:cs="Times Armenian"/>
          <w:bCs/>
          <w:sz w:val="24"/>
          <w:szCs w:val="24"/>
          <w:lang w:eastAsia="ru-RU"/>
        </w:rPr>
        <w:t>Ասյպիսով, Սահմանադրական դատարանի լիազորությունների առանձնահատուկ շրջանակով պայմանավորված</w:t>
      </w:r>
      <w:r w:rsidR="00E3219B" w:rsidRPr="00C741AA">
        <w:rPr>
          <w:rFonts w:ascii="GHEA Grapalat" w:eastAsia="Times New Roman" w:hAnsi="GHEA Grapalat" w:cs="Times Armenian"/>
          <w:bCs/>
          <w:sz w:val="24"/>
          <w:szCs w:val="24"/>
          <w:lang w:eastAsia="ru-RU"/>
        </w:rPr>
        <w:t>,</w:t>
      </w:r>
      <w:r w:rsidRPr="00C741AA">
        <w:rPr>
          <w:rFonts w:ascii="GHEA Grapalat" w:eastAsia="Times New Roman" w:hAnsi="GHEA Grapalat" w:cs="Times Armenian"/>
          <w:bCs/>
          <w:sz w:val="24"/>
          <w:szCs w:val="24"/>
          <w:lang w:eastAsia="ru-RU"/>
        </w:rPr>
        <w:t xml:space="preserve"> առկա է Սահմանադրական դատարանի դատավորի կարգավիճակի և պատասխանատվությանը համահունչ լրացուցիչ աշխատավարձի  տարբերակված համակարգի ներդնման անհրաժեշտությունը, քանի որ Սահմանադրական դատարանի դատավորի վերը նշված ընդհանուր բնույթի առանձնահատկություններից բացի, այս պահին Հայաստանի Հանրապետությունում գործող Օրենքով նախատեսված վարձատրության կարգը  չի համապատասխանեցվել Սահմանադրության 2020 թվականի հունիսի 22-ի փոփոխություններով նախատեսված Սահմանադրական դատարանի մոդելին։ Մասնավորապես, Սահմանադրության 2020 թվականի հունիսի 22-ի փոփոխությամբ Սահմանադրական դատարանի բոլոր անդամները և </w:t>
      </w:r>
      <w:r w:rsidRPr="00C741AA">
        <w:rPr>
          <w:rFonts w:ascii="GHEA Grapalat" w:eastAsia="Times New Roman" w:hAnsi="GHEA Grapalat" w:cs="Times Armenian"/>
          <w:bCs/>
          <w:sz w:val="24"/>
          <w:szCs w:val="24"/>
          <w:lang w:eastAsia="ru-RU"/>
        </w:rPr>
        <w:lastRenderedPageBreak/>
        <w:t>դատավորները պաշտոնավարելու են որպես Սահմանադրական դատարանի դատավոր՝ առավելագույնը 12 տարի պաշտոնավարման ժամկետով։ Այսինքն, եթե նախկինում Սահմանադրական դատարանի անդամները կամ ներկայումս դատական համակարգի այլ ատյաններում աշխատող դատավորները կարող են պաշտոնավարել մինչև 65 տարեկանը լրանալը, ապա նշված փոփոխությունների արդյունքում Սահմանադրական դատարանի դատավորների պաշտոնավարման առավելագույն ժամկետը, անկախ նրանց տարիքից, 12 տարի է, ինչը ազդում է նաև նրանց՝ լրացուցիչ աշխատավարձիտեսքով վարձատրության չափի վրա հետևյալ կերպ</w:t>
      </w:r>
      <w:r w:rsidRPr="00C741AA">
        <w:rPr>
          <w:rFonts w:ascii="GHEA Grapalat" w:eastAsia="Times New Roman" w:hAnsi="GHEA Grapalat" w:cs="Cambria Math"/>
          <w:bCs/>
          <w:sz w:val="24"/>
          <w:szCs w:val="24"/>
          <w:lang w:eastAsia="ru-RU"/>
        </w:rPr>
        <w:t>.</w:t>
      </w:r>
      <w:r w:rsidRPr="00C741AA">
        <w:rPr>
          <w:rFonts w:ascii="GHEA Grapalat" w:eastAsia="Times New Roman" w:hAnsi="GHEA Grapalat" w:cs="Times Armenian"/>
          <w:bCs/>
          <w:sz w:val="24"/>
          <w:szCs w:val="24"/>
          <w:lang w:eastAsia="ru-RU"/>
        </w:rPr>
        <w:t xml:space="preserve"> անձը, Սահմանադրական դատարանի դատավորի պաշտոնում ընտրվելուց հետո ստանում է տարեկան 2 տոկոս պաշտոնային դրույքաչափի նկատմամբ հաշվարկվող տոկոսային ավելացմամբ հավելավճար, ինչը 12 տարվա ընթացքում (այսինքն՝ Սահմանադրական դատարանի դատավորի պաշտոնավարման մեկ ժամկետի ընթացքում) հավասարվում է առավելագույնը 22%-ի:</w:t>
      </w:r>
    </w:p>
    <w:p w:rsidR="00AA2713" w:rsidRPr="0007243F" w:rsidRDefault="0031521C" w:rsidP="00AA2713">
      <w:pPr>
        <w:pStyle w:val="ListParagraph"/>
        <w:autoSpaceDE w:val="0"/>
        <w:autoSpaceDN w:val="0"/>
        <w:adjustRightInd w:val="0"/>
        <w:spacing w:line="360" w:lineRule="auto"/>
        <w:ind w:left="0" w:firstLine="567"/>
        <w:jc w:val="both"/>
        <w:rPr>
          <w:rFonts w:ascii="GHEA Grapalat" w:hAnsi="GHEA Grapalat" w:cs="Arial"/>
          <w:color w:val="000000"/>
          <w:sz w:val="24"/>
          <w:szCs w:val="24"/>
          <w:shd w:val="clear" w:color="auto" w:fill="FFFFFF"/>
        </w:rPr>
      </w:pPr>
      <w:r w:rsidRPr="0031521C">
        <w:rPr>
          <w:rFonts w:ascii="GHEA Grapalat" w:eastAsia="Times New Roman" w:hAnsi="GHEA Grapalat" w:cs="Times Armenian"/>
          <w:bCs/>
          <w:sz w:val="24"/>
          <w:szCs w:val="24"/>
          <w:lang w:eastAsia="ru-RU"/>
        </w:rPr>
        <w:t>Վերոնշվածը առաջին հերթին պայմանավորում է Սահմանադրական դատարանի դատավոր</w:t>
      </w:r>
      <w:r w:rsidR="005558F7" w:rsidRPr="00C741AA">
        <w:rPr>
          <w:rFonts w:ascii="GHEA Grapalat" w:eastAsia="Times New Roman" w:hAnsi="GHEA Grapalat" w:cs="Times Armenian"/>
          <w:bCs/>
          <w:sz w:val="24"/>
          <w:szCs w:val="24"/>
          <w:lang w:eastAsia="ru-RU"/>
        </w:rPr>
        <w:t>ն</w:t>
      </w:r>
      <w:r w:rsidRPr="0031521C">
        <w:rPr>
          <w:rFonts w:ascii="GHEA Grapalat" w:eastAsia="Times New Roman" w:hAnsi="GHEA Grapalat" w:cs="Times Armenian"/>
          <w:bCs/>
          <w:sz w:val="24"/>
          <w:szCs w:val="24"/>
          <w:lang w:eastAsia="ru-RU"/>
        </w:rPr>
        <w:t xml:space="preserve">երի համար լրացուցիչ նյութական և սոցիալական երաշխիքներ նախատեսելու անհրաժեշտությունը: Մյուս կողմից, Սահմանադրական դատարանը 2006 թվականի սեպտեմբերի 20-ի ՍԴՈ-647 որոշմամբ ուղղակիորեն կարևորել է այն հանգամանքը, որ </w:t>
      </w:r>
      <w:r w:rsidR="00C741AA" w:rsidRPr="00C741AA">
        <w:rPr>
          <w:rFonts w:ascii="GHEA Grapalat" w:eastAsia="Times New Roman" w:hAnsi="GHEA Grapalat" w:cs="Times Armenian"/>
          <w:bCs/>
          <w:sz w:val="24"/>
          <w:szCs w:val="24"/>
          <w:lang w:eastAsia="ru-RU"/>
        </w:rPr>
        <w:t>դատավորի սոցիալական ապահովության իրավունքի իրացման հետ կապված հարաբերությունները կարգավորելիս չի կարող խախտվել դատավորի` իր զբաղեցրած վերջին պաշտոնում ստացած աշխատավարձին՝ կենսաթոշակի չափը հնարավորինս մոտ սահմանելու միջազգայնորեն ընդունված սկզբունքը</w:t>
      </w:r>
      <w:r w:rsidRPr="0031521C">
        <w:rPr>
          <w:rFonts w:ascii="GHEA Grapalat" w:eastAsia="Times New Roman" w:hAnsi="GHEA Grapalat" w:cs="Times Armenian"/>
          <w:bCs/>
          <w:sz w:val="24"/>
          <w:szCs w:val="24"/>
          <w:lang w:eastAsia="ru-RU"/>
        </w:rPr>
        <w:t xml:space="preserve">: </w:t>
      </w:r>
      <w:r w:rsidR="00C741AA" w:rsidRPr="00C741AA">
        <w:rPr>
          <w:rFonts w:ascii="GHEA Grapalat" w:eastAsia="Times New Roman" w:hAnsi="GHEA Grapalat" w:cs="Times Armenian"/>
          <w:bCs/>
          <w:sz w:val="24"/>
          <w:szCs w:val="24"/>
          <w:lang w:eastAsia="ru-RU"/>
        </w:rPr>
        <w:t>Սահմանադրական դատարանը</w:t>
      </w:r>
      <w:r w:rsidRPr="0031521C">
        <w:rPr>
          <w:rFonts w:ascii="GHEA Grapalat" w:eastAsia="Times New Roman" w:hAnsi="GHEA Grapalat" w:cs="Times Armenian"/>
          <w:bCs/>
          <w:sz w:val="24"/>
          <w:szCs w:val="24"/>
          <w:lang w:eastAsia="ru-RU"/>
        </w:rPr>
        <w:t xml:space="preserve"> </w:t>
      </w:r>
      <w:r w:rsidRPr="0031521C">
        <w:rPr>
          <w:rFonts w:ascii="GHEA Grapalat" w:hAnsi="GHEA Grapalat" w:cs="Arial"/>
          <w:color w:val="000000"/>
          <w:sz w:val="24"/>
          <w:szCs w:val="24"/>
          <w:shd w:val="clear" w:color="auto" w:fill="FFFFFF"/>
        </w:rPr>
        <w:t xml:space="preserve"> 2019 թվականի հունիսի 18-ի ՍԴՈ- 1463 որոշմամբ, ի թիվս այլնի, նաև փաստել է,</w:t>
      </w:r>
      <w:r w:rsidR="00C741AA" w:rsidRPr="00C741AA">
        <w:rPr>
          <w:rFonts w:ascii="GHEA Grapalat" w:hAnsi="GHEA Grapalat" w:cs="Arial"/>
          <w:color w:val="000000"/>
          <w:sz w:val="24"/>
          <w:szCs w:val="24"/>
          <w:shd w:val="clear" w:color="auto" w:fill="FFFFFF"/>
        </w:rPr>
        <w:t xml:space="preserve"> որ</w:t>
      </w:r>
      <w:r w:rsidRPr="0031521C">
        <w:rPr>
          <w:rFonts w:ascii="Courier New" w:hAnsi="Courier New" w:cs="Courier New"/>
          <w:color w:val="000000"/>
          <w:sz w:val="24"/>
          <w:szCs w:val="24"/>
          <w:shd w:val="clear" w:color="auto" w:fill="FFFFFF"/>
        </w:rPr>
        <w:t> </w:t>
      </w:r>
      <w:r w:rsidRPr="0031521C">
        <w:rPr>
          <w:rFonts w:ascii="GHEA Grapalat" w:hAnsi="GHEA Grapalat" w:cs="Arial"/>
          <w:color w:val="000000"/>
          <w:sz w:val="24"/>
          <w:szCs w:val="24"/>
          <w:shd w:val="clear" w:color="auto" w:fill="FFFFFF"/>
        </w:rPr>
        <w:t xml:space="preserve">կախված դատավորի վարձատրության չափից՝ կենսաթոշակի չափի որոշման </w:t>
      </w:r>
      <w:r w:rsidRPr="0031521C">
        <w:rPr>
          <w:rFonts w:ascii="GHEA Grapalat" w:hAnsi="GHEA Grapalat" w:cs="Arial"/>
          <w:color w:val="000000"/>
          <w:sz w:val="24"/>
          <w:szCs w:val="24"/>
          <w:shd w:val="clear" w:color="auto" w:fill="FFFFFF"/>
        </w:rPr>
        <w:lastRenderedPageBreak/>
        <w:t xml:space="preserve">անհրաժեշտությունը դատավորների անկախության սոցիալական երաշխիքների կարևոր բաղադրատարր է, և դատավորները պետք է ապահովված լինեն օրենքով սահմանված համարժեք այնպիսի կենսաթոշակով, որը պաշտոնավարման ամբողջ ընթացքում զերծ կպահի նրանց կողմնակի ազդեցությունից: </w:t>
      </w:r>
    </w:p>
    <w:p w:rsidR="000C4928" w:rsidRPr="002D39F9" w:rsidRDefault="0031521C" w:rsidP="000C4928">
      <w:pPr>
        <w:pStyle w:val="ListParagraph"/>
        <w:autoSpaceDE w:val="0"/>
        <w:autoSpaceDN w:val="0"/>
        <w:adjustRightInd w:val="0"/>
        <w:spacing w:line="360" w:lineRule="auto"/>
        <w:ind w:left="0" w:firstLine="567"/>
        <w:jc w:val="both"/>
        <w:rPr>
          <w:rFonts w:ascii="GHEA Grapalat" w:hAnsi="GHEA Grapalat"/>
          <w:sz w:val="24"/>
          <w:szCs w:val="24"/>
        </w:rPr>
      </w:pPr>
      <w:r w:rsidRPr="0031521C">
        <w:rPr>
          <w:rFonts w:ascii="GHEA Grapalat" w:hAnsi="GHEA Grapalat"/>
          <w:sz w:val="24"/>
          <w:szCs w:val="24"/>
        </w:rPr>
        <w:t>Այս առումով պետք է նկատի ունենալ այն, որ Օրենքով նախատեսված</w:t>
      </w:r>
      <w:r w:rsidR="00AA2713" w:rsidRPr="00AA2713">
        <w:rPr>
          <w:rFonts w:ascii="GHEA Grapalat" w:hAnsi="GHEA Grapalat"/>
          <w:sz w:val="24"/>
          <w:szCs w:val="24"/>
        </w:rPr>
        <w:t xml:space="preserve"> </w:t>
      </w:r>
      <w:r w:rsidRPr="0031521C">
        <w:rPr>
          <w:rFonts w:ascii="GHEA Grapalat" w:hAnsi="GHEA Grapalat"/>
          <w:sz w:val="24"/>
          <w:szCs w:val="24"/>
        </w:rPr>
        <w:t xml:space="preserve">լրացուցիչ աշխատավարձի տեսակներից հենց  </w:t>
      </w:r>
      <w:r w:rsidR="00AA2713" w:rsidRPr="00AA2713">
        <w:rPr>
          <w:rFonts w:ascii="GHEA Grapalat" w:hAnsi="GHEA Grapalat"/>
          <w:sz w:val="24"/>
          <w:szCs w:val="24"/>
        </w:rPr>
        <w:t xml:space="preserve">հավելավճարի </w:t>
      </w:r>
      <w:r w:rsidR="0007243F">
        <w:rPr>
          <w:rFonts w:ascii="GHEA Grapalat" w:hAnsi="GHEA Grapalat"/>
          <w:sz w:val="24"/>
          <w:szCs w:val="24"/>
        </w:rPr>
        <w:t>գումար</w:t>
      </w:r>
      <w:r w:rsidRPr="0031521C">
        <w:rPr>
          <w:rFonts w:ascii="GHEA Grapalat" w:hAnsi="GHEA Grapalat"/>
          <w:sz w:val="24"/>
          <w:szCs w:val="24"/>
        </w:rPr>
        <w:t>ն է</w:t>
      </w:r>
      <w:r w:rsidR="00AA2713" w:rsidRPr="00AA2713">
        <w:rPr>
          <w:rFonts w:ascii="GHEA Grapalat" w:hAnsi="GHEA Grapalat"/>
          <w:sz w:val="24"/>
          <w:szCs w:val="24"/>
        </w:rPr>
        <w:t xml:space="preserve"> մասնակցում «Պաշտոնատար անձանց գործունեության ապահովման, սպասարկման և սոցիալական երաշխիքների մասին» օրենքով նախատեսված կենսաթոշակի գումարի հաշվարկին</w:t>
      </w:r>
      <w:r w:rsidRPr="0031521C">
        <w:rPr>
          <w:rFonts w:ascii="GHEA Grapalat" w:hAnsi="GHEA Grapalat"/>
          <w:sz w:val="24"/>
          <w:szCs w:val="24"/>
        </w:rPr>
        <w:t>: Ուստի Օրենքում Սահմանադրական դատարանի դատավորի համար նախատեսված հավելավճարի չափը բարձրացնելու դեպքում</w:t>
      </w:r>
      <w:r w:rsidR="00AA2713" w:rsidRPr="00AA2713">
        <w:rPr>
          <w:rFonts w:ascii="GHEA Grapalat" w:hAnsi="GHEA Grapalat"/>
          <w:sz w:val="24"/>
          <w:szCs w:val="24"/>
        </w:rPr>
        <w:t xml:space="preserve"> Սահմանադրական դատարանի պաշտոնաթող դատավորի կենսաթոշակը </w:t>
      </w:r>
      <w:r w:rsidRPr="0031521C">
        <w:rPr>
          <w:rFonts w:ascii="GHEA Grapalat" w:hAnsi="GHEA Grapalat"/>
          <w:sz w:val="24"/>
          <w:szCs w:val="24"/>
        </w:rPr>
        <w:t>կ</w:t>
      </w:r>
      <w:r w:rsidR="00AA2713" w:rsidRPr="00AA2713">
        <w:rPr>
          <w:rFonts w:ascii="GHEA Grapalat" w:hAnsi="GHEA Grapalat"/>
          <w:sz w:val="24"/>
          <w:szCs w:val="24"/>
        </w:rPr>
        <w:t>մոտեն</w:t>
      </w:r>
      <w:r w:rsidRPr="0031521C">
        <w:rPr>
          <w:rFonts w:ascii="GHEA Grapalat" w:hAnsi="GHEA Grapalat"/>
          <w:sz w:val="24"/>
          <w:szCs w:val="24"/>
        </w:rPr>
        <w:t>ա</w:t>
      </w:r>
      <w:r w:rsidR="00AA2713" w:rsidRPr="00AA2713">
        <w:rPr>
          <w:rFonts w:ascii="GHEA Grapalat" w:hAnsi="GHEA Grapalat"/>
          <w:sz w:val="24"/>
          <w:szCs w:val="24"/>
        </w:rPr>
        <w:t xml:space="preserve"> կենսաթոշակավորված դատավորների թոշակին, ինչով </w:t>
      </w:r>
      <w:r w:rsidRPr="0031521C">
        <w:rPr>
          <w:rFonts w:ascii="GHEA Grapalat" w:hAnsi="GHEA Grapalat"/>
          <w:sz w:val="24"/>
          <w:szCs w:val="24"/>
        </w:rPr>
        <w:t>կապահովվի</w:t>
      </w:r>
      <w:r w:rsidR="00AA2713" w:rsidRPr="00AA2713">
        <w:rPr>
          <w:rFonts w:ascii="GHEA Grapalat" w:hAnsi="GHEA Grapalat"/>
          <w:sz w:val="24"/>
          <w:szCs w:val="24"/>
        </w:rPr>
        <w:t xml:space="preserve"> </w:t>
      </w:r>
      <w:r w:rsidR="0007243F">
        <w:rPr>
          <w:rFonts w:ascii="GHEA Grapalat" w:hAnsi="GHEA Grapalat"/>
          <w:sz w:val="24"/>
          <w:szCs w:val="24"/>
        </w:rPr>
        <w:t>Ս</w:t>
      </w:r>
      <w:r w:rsidRPr="0031521C">
        <w:rPr>
          <w:rFonts w:ascii="GHEA Grapalat" w:hAnsi="GHEA Grapalat"/>
          <w:sz w:val="24"/>
          <w:szCs w:val="24"/>
        </w:rPr>
        <w:t>ահմանադրական դատարանի</w:t>
      </w:r>
      <w:r w:rsidR="00AA2713" w:rsidRPr="00AA2713">
        <w:rPr>
          <w:rFonts w:ascii="GHEA Grapalat" w:hAnsi="GHEA Grapalat"/>
          <w:sz w:val="24"/>
          <w:szCs w:val="24"/>
        </w:rPr>
        <w:t xml:space="preserve"> դատավորների նկատմամբ (անկախ կենսաթոշակի անցնելու պահից) հավասար վերաբերմունքը: Բացի այդ, հաշվի առնելով այն հանգամանքը, որ Սահմանադրության 2020 թվականի փոփոխությամբ Սահմանադրական դատարանում ամբողջությամբ հավասարեցվել են  դատավորների կարգավիճակները, որի հետևանքով կրճատվել են նաև 4 դատավորի պաշտոնավարման ժամկետ, հավելավճարի </w:t>
      </w:r>
      <w:r w:rsidRPr="0031521C">
        <w:rPr>
          <w:rFonts w:ascii="GHEA Grapalat" w:hAnsi="GHEA Grapalat"/>
          <w:sz w:val="24"/>
          <w:szCs w:val="24"/>
        </w:rPr>
        <w:t>չափի ավելացմամբ</w:t>
      </w:r>
      <w:r w:rsidR="00AA2713" w:rsidRPr="00AA2713">
        <w:rPr>
          <w:rFonts w:ascii="GHEA Grapalat" w:hAnsi="GHEA Grapalat"/>
          <w:sz w:val="24"/>
          <w:szCs w:val="24"/>
        </w:rPr>
        <w:t xml:space="preserve"> փոխհատուցվելու է կենսաթոշակային գումարի այն տարբերությունը, որը կարող էր առաջանալ կրճատված պաշտոնավարման ժամկետի և մինչև 65 տարեկանը պաշտոնավարելու դեպքում աշխատավարձների տարբերությամբ պայմանավորված։</w:t>
      </w:r>
      <w:r w:rsidR="000C4928" w:rsidRPr="000C4928">
        <w:rPr>
          <w:rFonts w:ascii="GHEA Grapalat" w:hAnsi="GHEA Grapalat"/>
          <w:sz w:val="24"/>
          <w:szCs w:val="24"/>
        </w:rPr>
        <w:t xml:space="preserve"> </w:t>
      </w:r>
    </w:p>
    <w:p w:rsidR="002513C1" w:rsidRPr="003439A1" w:rsidRDefault="0031521C" w:rsidP="00C741AA">
      <w:pPr>
        <w:pStyle w:val="ListParagraph"/>
        <w:autoSpaceDE w:val="0"/>
        <w:autoSpaceDN w:val="0"/>
        <w:adjustRightInd w:val="0"/>
        <w:spacing w:line="360" w:lineRule="auto"/>
        <w:ind w:left="0" w:firstLine="567"/>
        <w:jc w:val="both"/>
        <w:rPr>
          <w:rFonts w:ascii="GHEA Grapalat" w:hAnsi="GHEA Grapalat"/>
          <w:sz w:val="24"/>
          <w:szCs w:val="24"/>
        </w:rPr>
      </w:pPr>
      <w:r w:rsidRPr="0031521C">
        <w:rPr>
          <w:rFonts w:ascii="GHEA Grapalat" w:eastAsia="Times New Roman" w:hAnsi="GHEA Grapalat" w:cs="Times Armenian"/>
          <w:bCs/>
          <w:sz w:val="24"/>
          <w:szCs w:val="24"/>
          <w:lang w:eastAsia="ru-RU"/>
        </w:rPr>
        <w:t xml:space="preserve">Մյուս կողմից, </w:t>
      </w:r>
      <w:r w:rsidR="00161990" w:rsidRPr="00AA2713">
        <w:rPr>
          <w:rFonts w:ascii="GHEA Grapalat" w:eastAsia="Times New Roman" w:hAnsi="GHEA Grapalat" w:cs="Times Armenian"/>
          <w:bCs/>
          <w:sz w:val="24"/>
          <w:szCs w:val="24"/>
          <w:lang w:eastAsia="ru-RU"/>
        </w:rPr>
        <w:t xml:space="preserve">Սահմանադրական դատարանի ներսում </w:t>
      </w:r>
      <w:r w:rsidRPr="0031521C">
        <w:rPr>
          <w:rFonts w:ascii="GHEA Grapalat" w:eastAsia="Times New Roman" w:hAnsi="GHEA Grapalat" w:cs="Times Armenian"/>
          <w:bCs/>
          <w:sz w:val="24"/>
          <w:szCs w:val="24"/>
          <w:lang w:eastAsia="ru-RU"/>
        </w:rPr>
        <w:t>անհրաժեշտ է ապահովել  դատավորների միջև հավասար վարձատրությունը:</w:t>
      </w:r>
      <w:r w:rsidR="00D546E1">
        <w:rPr>
          <w:rFonts w:ascii="GHEA Grapalat" w:hAnsi="GHEA Grapalat"/>
          <w:sz w:val="24"/>
          <w:szCs w:val="24"/>
        </w:rPr>
        <w:t xml:space="preserve"> </w:t>
      </w:r>
      <w:r w:rsidRPr="0031521C">
        <w:rPr>
          <w:rFonts w:ascii="GHEA Grapalat" w:hAnsi="GHEA Grapalat"/>
          <w:sz w:val="24"/>
          <w:szCs w:val="24"/>
        </w:rPr>
        <w:t xml:space="preserve">Խնդիրը կայանում է </w:t>
      </w:r>
      <w:r w:rsidRPr="0031521C">
        <w:rPr>
          <w:rFonts w:ascii="GHEA Grapalat" w:hAnsi="GHEA Grapalat"/>
          <w:sz w:val="24"/>
          <w:szCs w:val="24"/>
        </w:rPr>
        <w:lastRenderedPageBreak/>
        <w:t xml:space="preserve">նրանում, որ Սահմանադրական դատարանի բոլոր </w:t>
      </w:r>
      <w:r w:rsidR="00A418AF" w:rsidRPr="00AA2713">
        <w:rPr>
          <w:rFonts w:ascii="GHEA Grapalat" w:hAnsi="GHEA Grapalat" w:cs="Sylfaen"/>
          <w:sz w:val="24"/>
          <w:szCs w:val="24"/>
        </w:rPr>
        <w:t>դատավորներ</w:t>
      </w:r>
      <w:r w:rsidRPr="0031521C">
        <w:rPr>
          <w:rFonts w:ascii="GHEA Grapalat" w:hAnsi="GHEA Grapalat" w:cs="Sylfaen"/>
          <w:sz w:val="24"/>
          <w:szCs w:val="24"/>
        </w:rPr>
        <w:t xml:space="preserve">ն ունեն </w:t>
      </w:r>
      <w:r w:rsidR="00FC1168" w:rsidRPr="00AA2713">
        <w:rPr>
          <w:rFonts w:ascii="GHEA Grapalat" w:hAnsi="GHEA Grapalat" w:cs="Sylfaen"/>
          <w:b/>
          <w:sz w:val="24"/>
          <w:szCs w:val="24"/>
        </w:rPr>
        <w:t>նույն</w:t>
      </w:r>
      <w:r w:rsidR="00FC1168" w:rsidRPr="00AA2713">
        <w:rPr>
          <w:rFonts w:ascii="GHEA Grapalat" w:hAnsi="GHEA Grapalat"/>
          <w:b/>
          <w:sz w:val="24"/>
          <w:szCs w:val="24"/>
        </w:rPr>
        <w:t xml:space="preserve"> </w:t>
      </w:r>
      <w:r w:rsidR="00FC1168" w:rsidRPr="00AA2713">
        <w:rPr>
          <w:rFonts w:ascii="GHEA Grapalat" w:hAnsi="GHEA Grapalat" w:cs="Sylfaen"/>
          <w:sz w:val="24"/>
          <w:szCs w:val="24"/>
        </w:rPr>
        <w:t>կարգավիճակը</w:t>
      </w:r>
      <w:r w:rsidR="00FC1168" w:rsidRPr="00AA2713">
        <w:rPr>
          <w:rFonts w:ascii="GHEA Grapalat" w:hAnsi="GHEA Grapalat"/>
          <w:sz w:val="24"/>
          <w:szCs w:val="24"/>
        </w:rPr>
        <w:t>,</w:t>
      </w:r>
      <w:r w:rsidRPr="0031521C">
        <w:rPr>
          <w:rFonts w:ascii="GHEA Grapalat" w:hAnsi="GHEA Grapalat"/>
          <w:sz w:val="24"/>
          <w:szCs w:val="24"/>
        </w:rPr>
        <w:t xml:space="preserve"> </w:t>
      </w:r>
      <w:r w:rsidR="00AA2713">
        <w:rPr>
          <w:rFonts w:ascii="GHEA Grapalat" w:hAnsi="GHEA Grapalat" w:cs="Sylfaen"/>
          <w:sz w:val="24"/>
          <w:szCs w:val="24"/>
        </w:rPr>
        <w:t>լիազորություններ</w:t>
      </w:r>
      <w:r w:rsidRPr="0031521C">
        <w:rPr>
          <w:rFonts w:ascii="GHEA Grapalat" w:hAnsi="GHEA Grapalat" w:cs="Sylfaen"/>
          <w:sz w:val="24"/>
          <w:szCs w:val="24"/>
        </w:rPr>
        <w:t xml:space="preserve">ի </w:t>
      </w:r>
      <w:r w:rsidR="00AA2713" w:rsidRPr="00AA2713">
        <w:rPr>
          <w:rFonts w:ascii="GHEA Grapalat" w:hAnsi="GHEA Grapalat" w:cs="Sylfaen"/>
          <w:sz w:val="24"/>
          <w:szCs w:val="24"/>
        </w:rPr>
        <w:t>նույն</w:t>
      </w:r>
      <w:r w:rsidRPr="0031521C">
        <w:rPr>
          <w:rFonts w:ascii="GHEA Grapalat" w:hAnsi="GHEA Grapalat" w:cs="Sylfaen"/>
          <w:sz w:val="24"/>
          <w:szCs w:val="24"/>
        </w:rPr>
        <w:t xml:space="preserve"> բնույթն ու ծավալը</w:t>
      </w:r>
      <w:r w:rsidR="00AA2713" w:rsidRPr="00AA2713">
        <w:rPr>
          <w:rFonts w:ascii="GHEA Grapalat" w:hAnsi="GHEA Grapalat" w:cs="Sylfaen"/>
          <w:sz w:val="24"/>
          <w:szCs w:val="24"/>
        </w:rPr>
        <w:t xml:space="preserve"> </w:t>
      </w:r>
      <w:r w:rsidRPr="0031521C">
        <w:rPr>
          <w:rFonts w:ascii="GHEA Grapalat" w:hAnsi="GHEA Grapalat" w:cs="Sylfaen"/>
          <w:sz w:val="24"/>
          <w:szCs w:val="24"/>
        </w:rPr>
        <w:t xml:space="preserve">և կատարում են նույն պարտականությունները, հավասարապես պատասխանատվություն են կրում իրենց պաշտոնից բխող նպատակների և խնդիրների իրականացման համար,   </w:t>
      </w:r>
      <w:r w:rsidR="00A418AF" w:rsidRPr="00AA2713">
        <w:rPr>
          <w:rFonts w:ascii="GHEA Grapalat" w:hAnsi="GHEA Grapalat" w:cs="Sylfaen"/>
          <w:sz w:val="24"/>
          <w:szCs w:val="24"/>
        </w:rPr>
        <w:t>ուն</w:t>
      </w:r>
      <w:r w:rsidRPr="0031521C">
        <w:rPr>
          <w:rFonts w:ascii="GHEA Grapalat" w:hAnsi="GHEA Grapalat" w:cs="Sylfaen"/>
          <w:sz w:val="24"/>
          <w:szCs w:val="24"/>
        </w:rPr>
        <w:t>են</w:t>
      </w:r>
      <w:r w:rsidR="00A418AF" w:rsidRPr="00AA2713">
        <w:rPr>
          <w:rFonts w:ascii="GHEA Grapalat" w:hAnsi="GHEA Grapalat"/>
          <w:sz w:val="24"/>
          <w:szCs w:val="24"/>
        </w:rPr>
        <w:t xml:space="preserve"> </w:t>
      </w:r>
      <w:r w:rsidR="00A418AF" w:rsidRPr="00AA2713">
        <w:rPr>
          <w:rFonts w:ascii="GHEA Grapalat" w:hAnsi="GHEA Grapalat" w:cs="Sylfaen"/>
          <w:b/>
          <w:sz w:val="24"/>
          <w:szCs w:val="24"/>
        </w:rPr>
        <w:t>հավասար</w:t>
      </w:r>
      <w:r w:rsidR="00A418AF" w:rsidRPr="00AA2713">
        <w:rPr>
          <w:rFonts w:ascii="GHEA Grapalat" w:hAnsi="GHEA Grapalat"/>
          <w:sz w:val="24"/>
          <w:szCs w:val="24"/>
        </w:rPr>
        <w:t xml:space="preserve"> </w:t>
      </w:r>
      <w:r w:rsidR="00A418AF" w:rsidRPr="00AA2713">
        <w:rPr>
          <w:rFonts w:ascii="GHEA Grapalat" w:hAnsi="GHEA Grapalat" w:cs="Sylfaen"/>
          <w:sz w:val="24"/>
          <w:szCs w:val="24"/>
        </w:rPr>
        <w:t>ձայնի</w:t>
      </w:r>
      <w:r w:rsidR="00A418AF" w:rsidRPr="00AA2713">
        <w:rPr>
          <w:rFonts w:ascii="GHEA Grapalat" w:hAnsi="GHEA Grapalat"/>
          <w:sz w:val="24"/>
          <w:szCs w:val="24"/>
        </w:rPr>
        <w:t xml:space="preserve"> </w:t>
      </w:r>
      <w:r w:rsidR="00A418AF" w:rsidRPr="00AA2713">
        <w:rPr>
          <w:rFonts w:ascii="GHEA Grapalat" w:hAnsi="GHEA Grapalat" w:cs="Sylfaen"/>
          <w:sz w:val="24"/>
          <w:szCs w:val="24"/>
        </w:rPr>
        <w:t>իրավունք</w:t>
      </w:r>
      <w:r w:rsidR="00A418AF" w:rsidRPr="00AA2713">
        <w:rPr>
          <w:rFonts w:ascii="GHEA Grapalat" w:hAnsi="GHEA Grapalat"/>
          <w:sz w:val="24"/>
          <w:szCs w:val="24"/>
        </w:rPr>
        <w:t xml:space="preserve">, </w:t>
      </w:r>
      <w:r w:rsidR="00FC1168" w:rsidRPr="00AA2713">
        <w:rPr>
          <w:rFonts w:ascii="GHEA Grapalat" w:hAnsi="GHEA Grapalat" w:cs="Sylfaen"/>
          <w:sz w:val="24"/>
          <w:szCs w:val="24"/>
        </w:rPr>
        <w:t>աշխատ</w:t>
      </w:r>
      <w:r w:rsidRPr="0031521C">
        <w:rPr>
          <w:rFonts w:ascii="GHEA Grapalat" w:hAnsi="GHEA Grapalat" w:cs="Sylfaen"/>
          <w:sz w:val="24"/>
          <w:szCs w:val="24"/>
        </w:rPr>
        <w:t>ում են</w:t>
      </w:r>
      <w:r w:rsidR="00FC1168" w:rsidRPr="00AA2713">
        <w:rPr>
          <w:rFonts w:ascii="GHEA Grapalat" w:hAnsi="GHEA Grapalat"/>
          <w:sz w:val="24"/>
          <w:szCs w:val="24"/>
        </w:rPr>
        <w:t xml:space="preserve"> </w:t>
      </w:r>
      <w:r w:rsidR="00A418AF" w:rsidRPr="00AA2713">
        <w:rPr>
          <w:rFonts w:ascii="GHEA Grapalat" w:hAnsi="GHEA Grapalat" w:cs="Sylfaen"/>
          <w:b/>
          <w:sz w:val="24"/>
          <w:szCs w:val="24"/>
        </w:rPr>
        <w:t>նույնչափ</w:t>
      </w:r>
      <w:r w:rsidR="00A418AF" w:rsidRPr="00AA2713">
        <w:rPr>
          <w:rFonts w:ascii="GHEA Grapalat" w:hAnsi="GHEA Grapalat"/>
          <w:b/>
          <w:sz w:val="24"/>
          <w:szCs w:val="24"/>
        </w:rPr>
        <w:t xml:space="preserve"> </w:t>
      </w:r>
      <w:r w:rsidR="00A418AF" w:rsidRPr="00AA2713">
        <w:rPr>
          <w:rFonts w:ascii="GHEA Grapalat" w:hAnsi="GHEA Grapalat" w:cs="Sylfaen"/>
          <w:sz w:val="24"/>
          <w:szCs w:val="24"/>
        </w:rPr>
        <w:t>ծանրաբեռնվածությամբ</w:t>
      </w:r>
      <w:r w:rsidR="00A418AF" w:rsidRPr="00AA2713">
        <w:rPr>
          <w:rFonts w:ascii="GHEA Grapalat" w:hAnsi="GHEA Grapalat"/>
          <w:sz w:val="24"/>
          <w:szCs w:val="24"/>
        </w:rPr>
        <w:t xml:space="preserve"> </w:t>
      </w:r>
      <w:r w:rsidR="00A418AF" w:rsidRPr="00AA2713">
        <w:rPr>
          <w:rFonts w:ascii="GHEA Grapalat" w:hAnsi="GHEA Grapalat" w:cs="Sylfaen"/>
          <w:sz w:val="24"/>
          <w:szCs w:val="24"/>
        </w:rPr>
        <w:t>և</w:t>
      </w:r>
      <w:r w:rsidRPr="0031521C">
        <w:rPr>
          <w:rFonts w:ascii="GHEA Grapalat" w:hAnsi="GHEA Grapalat" w:cs="Sylfaen"/>
          <w:sz w:val="24"/>
          <w:szCs w:val="24"/>
        </w:rPr>
        <w:t xml:space="preserve"> ըստ այդմ, պետք է  նրանց համար նախատեսված նյութական և սոցիալական երաշխիքները պետք է լին</w:t>
      </w:r>
      <w:r w:rsidR="005558F7" w:rsidRPr="00C741AA">
        <w:rPr>
          <w:rFonts w:ascii="GHEA Grapalat" w:hAnsi="GHEA Grapalat" w:cs="Sylfaen"/>
          <w:sz w:val="24"/>
          <w:szCs w:val="24"/>
        </w:rPr>
        <w:t>ե</w:t>
      </w:r>
      <w:r w:rsidRPr="0031521C">
        <w:rPr>
          <w:rFonts w:ascii="GHEA Grapalat" w:hAnsi="GHEA Grapalat" w:cs="Sylfaen"/>
          <w:sz w:val="24"/>
          <w:szCs w:val="24"/>
        </w:rPr>
        <w:t>ն հավասար:</w:t>
      </w:r>
      <w:r w:rsidR="00A418AF" w:rsidRPr="00AA2713">
        <w:rPr>
          <w:rFonts w:ascii="GHEA Grapalat" w:hAnsi="GHEA Grapalat"/>
          <w:sz w:val="24"/>
          <w:szCs w:val="24"/>
        </w:rPr>
        <w:t xml:space="preserve"> </w:t>
      </w:r>
    </w:p>
    <w:p w:rsidR="00C741AA" w:rsidRPr="002D39F9" w:rsidRDefault="000C4928" w:rsidP="000C4928">
      <w:pPr>
        <w:pStyle w:val="ListParagraph"/>
        <w:autoSpaceDE w:val="0"/>
        <w:autoSpaceDN w:val="0"/>
        <w:adjustRightInd w:val="0"/>
        <w:spacing w:line="360" w:lineRule="auto"/>
        <w:ind w:left="0" w:firstLine="567"/>
        <w:jc w:val="both"/>
        <w:rPr>
          <w:rFonts w:ascii="GHEA Grapalat" w:hAnsi="GHEA Grapalat"/>
          <w:bCs/>
          <w:spacing w:val="-6"/>
        </w:rPr>
      </w:pPr>
      <w:r w:rsidRPr="000C4928">
        <w:rPr>
          <w:rFonts w:ascii="GHEA Grapalat" w:hAnsi="GHEA Grapalat"/>
          <w:sz w:val="24"/>
          <w:szCs w:val="24"/>
        </w:rPr>
        <w:t xml:space="preserve">Միևնույն ժամանակ, </w:t>
      </w:r>
      <w:r w:rsidR="002D39F9" w:rsidRPr="002D39F9">
        <w:rPr>
          <w:rFonts w:ascii="GHEA Grapalat" w:hAnsi="GHEA Grapalat"/>
          <w:sz w:val="24"/>
          <w:szCs w:val="24"/>
        </w:rPr>
        <w:t>ինչպես արդեն նշվեց</w:t>
      </w:r>
      <w:r w:rsidRPr="000C4928">
        <w:rPr>
          <w:rFonts w:ascii="GHEA Grapalat" w:hAnsi="GHEA Grapalat"/>
          <w:sz w:val="24"/>
          <w:szCs w:val="24"/>
        </w:rPr>
        <w:t xml:space="preserve"> «Պաշտոնատար անձանց գործունեության ապահովման, սպասարկման և սոցիալական երաշխիքների մասին» օրենքում լրացում կատարելու մասին» օրենքի 5-րդ հոդվածի 3-րդ մասի համաձայն՝ Սահմանադրական դատարանի նախագահի, փոխնախագահի և դատավորի կենսաթոշակը հաշվարկվում է զբաղեցրած վերջին պաշտոնից ազատվելու օրվա դրությամբ այդ պաշտոնի համար սահմանված կարգով հաշվարկված աշխատավարձից (պաշտոնային դրույքաչափի և դրա նկատմամբ սահմանված հավելավճարի հանրագումարից</w:t>
      </w:r>
      <w:r>
        <w:rPr>
          <w:rFonts w:ascii="GHEA Grapalat" w:hAnsi="GHEA Grapalat"/>
          <w:sz w:val="24"/>
          <w:szCs w:val="24"/>
        </w:rPr>
        <w:t>)</w:t>
      </w:r>
      <w:r w:rsidRPr="000C4928">
        <w:rPr>
          <w:rFonts w:ascii="GHEA Grapalat" w:hAnsi="GHEA Grapalat"/>
          <w:sz w:val="24"/>
          <w:szCs w:val="24"/>
        </w:rPr>
        <w:t xml:space="preserve">: Նման պայմաններում, որպեսզի նախագծի ընդունման դեպքում նշված պաշտոնատար անձանց կեսաթոշակի </w:t>
      </w:r>
      <w:r w:rsidR="002D39F9">
        <w:rPr>
          <w:rFonts w:ascii="GHEA Grapalat" w:hAnsi="GHEA Grapalat"/>
          <w:sz w:val="24"/>
          <w:szCs w:val="24"/>
        </w:rPr>
        <w:t>չափ</w:t>
      </w:r>
      <w:r w:rsidR="002D39F9" w:rsidRPr="002D39F9">
        <w:rPr>
          <w:rFonts w:ascii="GHEA Grapalat" w:hAnsi="GHEA Grapalat"/>
          <w:sz w:val="24"/>
          <w:szCs w:val="24"/>
        </w:rPr>
        <w:t>ն էլ իր հերթին</w:t>
      </w:r>
      <w:r w:rsidRPr="000C4928">
        <w:rPr>
          <w:rFonts w:ascii="GHEA Grapalat" w:hAnsi="GHEA Grapalat"/>
          <w:sz w:val="24"/>
          <w:szCs w:val="24"/>
        </w:rPr>
        <w:t xml:space="preserve"> զգալիորեն չտարբերվի մյուս ատյանների դատավորների կենսաթոշակի չափից, որը կարող է որակվել որպես արտոնության կամ առավելության տրամադրման առումով տարբերակված մոտեցում՝ խտրականություն, անհրաժեշտություն է առաջանում «Պաշտոնատար անձանց գործունեության ապահովման, սպասարկման և սոցիալական երաշխիքների մասին» օրենքում լրացում կատարելու մասին» օրենքում նախատեսել կարգավորում, որը </w:t>
      </w:r>
      <w:r w:rsidR="005C428A" w:rsidRPr="005C428A">
        <w:rPr>
          <w:rFonts w:ascii="GHEA Grapalat" w:hAnsi="GHEA Grapalat"/>
          <w:sz w:val="24"/>
          <w:szCs w:val="24"/>
        </w:rPr>
        <w:t>կապահովի նշված պաշտոնատար անձանց կենսաթոշակների չափի համաչափ տարբերություն</w:t>
      </w:r>
      <w:r w:rsidR="005C428A" w:rsidRPr="002D39F9">
        <w:rPr>
          <w:rFonts w:ascii="GHEA Grapalat" w:hAnsi="GHEA Grapalat"/>
          <w:sz w:val="24"/>
          <w:szCs w:val="24"/>
        </w:rPr>
        <w:t>ը</w:t>
      </w:r>
      <w:r w:rsidRPr="000C4928">
        <w:rPr>
          <w:rFonts w:ascii="GHEA Grapalat" w:hAnsi="GHEA Grapalat"/>
          <w:sz w:val="24"/>
          <w:szCs w:val="24"/>
        </w:rPr>
        <w:t>:</w:t>
      </w:r>
      <w:r w:rsidRPr="00A15DBD">
        <w:rPr>
          <w:rFonts w:ascii="GHEA Grapalat" w:hAnsi="GHEA Grapalat"/>
          <w:bCs/>
          <w:spacing w:val="-6"/>
        </w:rPr>
        <w:t xml:space="preserve">  </w:t>
      </w:r>
    </w:p>
    <w:p w:rsidR="002D39F9" w:rsidRPr="002D39F9" w:rsidRDefault="002D39F9" w:rsidP="000C4928">
      <w:pPr>
        <w:pStyle w:val="ListParagraph"/>
        <w:autoSpaceDE w:val="0"/>
        <w:autoSpaceDN w:val="0"/>
        <w:adjustRightInd w:val="0"/>
        <w:spacing w:line="360" w:lineRule="auto"/>
        <w:ind w:left="0" w:firstLine="567"/>
        <w:jc w:val="both"/>
        <w:rPr>
          <w:rFonts w:ascii="GHEA Grapalat" w:hAnsi="GHEA Grapalat"/>
          <w:sz w:val="24"/>
          <w:szCs w:val="24"/>
        </w:rPr>
      </w:pPr>
    </w:p>
    <w:p w:rsidR="005C3E77" w:rsidRPr="00AA2713" w:rsidRDefault="00A50C18" w:rsidP="000901FC">
      <w:pPr>
        <w:pStyle w:val="ListParagraph"/>
        <w:tabs>
          <w:tab w:val="left" w:pos="993"/>
        </w:tabs>
        <w:autoSpaceDE w:val="0"/>
        <w:autoSpaceDN w:val="0"/>
        <w:adjustRightInd w:val="0"/>
        <w:spacing w:line="360" w:lineRule="auto"/>
        <w:ind w:left="0" w:firstLine="567"/>
        <w:jc w:val="both"/>
        <w:rPr>
          <w:rFonts w:ascii="GHEA Grapalat" w:eastAsia="Times New Roman" w:hAnsi="GHEA Grapalat" w:cs="Times Armenian"/>
          <w:bCs/>
          <w:sz w:val="24"/>
          <w:szCs w:val="24"/>
          <w:lang w:eastAsia="ru-RU"/>
        </w:rPr>
      </w:pPr>
      <w:r w:rsidRPr="00AA2713">
        <w:rPr>
          <w:rFonts w:ascii="GHEA Grapalat" w:eastAsia="Times New Roman" w:hAnsi="GHEA Grapalat" w:cs="Times Armenian"/>
          <w:sz w:val="24"/>
          <w:szCs w:val="24"/>
          <w:lang w:eastAsia="ru-RU"/>
        </w:rPr>
        <w:t>Հարկ է ն</w:t>
      </w:r>
      <w:r w:rsidR="00845C43" w:rsidRPr="00AA2713">
        <w:rPr>
          <w:rFonts w:ascii="GHEA Grapalat" w:eastAsia="Times New Roman" w:hAnsi="GHEA Grapalat" w:cs="Times Armenian"/>
          <w:sz w:val="24"/>
          <w:szCs w:val="24"/>
          <w:lang w:eastAsia="ru-RU"/>
        </w:rPr>
        <w:t>շել, որ դատական իշխանության մա</w:t>
      </w:r>
      <w:r w:rsidR="00C46E3C" w:rsidRPr="00AA2713">
        <w:rPr>
          <w:rFonts w:ascii="GHEA Grapalat" w:eastAsia="Times New Roman" w:hAnsi="GHEA Grapalat" w:cs="Times Armenian"/>
          <w:sz w:val="24"/>
          <w:szCs w:val="24"/>
          <w:lang w:eastAsia="ru-RU"/>
        </w:rPr>
        <w:t>րմիններին տրվող սոցիալական երաշխիքներին և վարձատրությանը</w:t>
      </w:r>
      <w:r w:rsidR="009C1ECB" w:rsidRPr="00AA2713">
        <w:rPr>
          <w:rFonts w:ascii="GHEA Grapalat" w:eastAsia="Times New Roman" w:hAnsi="GHEA Grapalat" w:cs="Times Armenian"/>
          <w:sz w:val="24"/>
          <w:szCs w:val="24"/>
          <w:lang w:eastAsia="ru-RU"/>
        </w:rPr>
        <w:t>, ինչպես նաև դրանց տարբերակվածությանը</w:t>
      </w:r>
      <w:r w:rsidR="00C46E3C" w:rsidRPr="00AA2713">
        <w:rPr>
          <w:rFonts w:ascii="GHEA Grapalat" w:eastAsia="Times New Roman" w:hAnsi="GHEA Grapalat" w:cs="Times Armenian"/>
          <w:sz w:val="24"/>
          <w:szCs w:val="24"/>
          <w:lang w:eastAsia="ru-RU"/>
        </w:rPr>
        <w:t xml:space="preserve"> անդրադարձ են կատարել նաև միջազգային կառույցները: Մասնավորապես, </w:t>
      </w:r>
      <w:r w:rsidR="00D546E1">
        <w:rPr>
          <w:rFonts w:ascii="GHEA Grapalat" w:eastAsia="Times New Roman" w:hAnsi="GHEA Grapalat" w:cs="Times Armenian"/>
          <w:sz w:val="24"/>
          <w:szCs w:val="24"/>
          <w:lang w:eastAsia="ru-RU"/>
        </w:rPr>
        <w:t>«Ժողովրդավարություն՝ իրավունքի միջոցով» եվրոպական հանձնաժողովը (Վենետիկի հանձնաժողով) բազմիցս դիրքորոշում է հայտնել դատավորների նյութական երաշխիքների ապահովման անհրաժեշտության վերաբերյալ: Վենետիկի հանձնաժողովը 2009 թվականի հունիսի 4-ի «Դատական համակարգի անկախությունը</w:t>
      </w:r>
      <w:r w:rsidR="0031521C" w:rsidRPr="0031521C">
        <w:rPr>
          <w:rFonts w:ascii="GHEA Grapalat" w:eastAsia="Times New Roman" w:hAnsi="GHEA Grapalat" w:cs="Cambria Math"/>
          <w:sz w:val="24"/>
          <w:szCs w:val="24"/>
          <w:lang w:eastAsia="ru-RU"/>
        </w:rPr>
        <w:t>.</w:t>
      </w:r>
      <w:r w:rsidR="00375A4F" w:rsidRPr="00AA2713">
        <w:rPr>
          <w:rFonts w:ascii="GHEA Grapalat" w:eastAsia="Times New Roman" w:hAnsi="GHEA Grapalat" w:cs="Times Armenian"/>
          <w:sz w:val="24"/>
          <w:szCs w:val="24"/>
          <w:lang w:eastAsia="ru-RU"/>
        </w:rPr>
        <w:t xml:space="preserve"> </w:t>
      </w:r>
      <w:r w:rsidR="00375A4F" w:rsidRPr="00AA2713">
        <w:rPr>
          <w:rFonts w:ascii="GHEA Grapalat" w:eastAsia="Times New Roman" w:hAnsi="GHEA Grapalat" w:cs="GHEA Grapalat"/>
          <w:sz w:val="24"/>
          <w:szCs w:val="24"/>
          <w:lang w:eastAsia="ru-RU"/>
        </w:rPr>
        <w:t>Մաս</w:t>
      </w:r>
      <w:r w:rsidR="00375A4F" w:rsidRPr="00AA2713">
        <w:rPr>
          <w:rFonts w:ascii="GHEA Grapalat" w:eastAsia="Times New Roman" w:hAnsi="GHEA Grapalat" w:cs="Times Armenian"/>
          <w:sz w:val="24"/>
          <w:szCs w:val="24"/>
          <w:lang w:eastAsia="ru-RU"/>
        </w:rPr>
        <w:t xml:space="preserve"> 1.</w:t>
      </w:r>
      <w:r w:rsidR="00E96CE0" w:rsidRPr="00AA2713">
        <w:rPr>
          <w:rFonts w:ascii="GHEA Grapalat" w:eastAsia="Times New Roman" w:hAnsi="GHEA Grapalat" w:cs="Times Armenian"/>
          <w:sz w:val="24"/>
          <w:szCs w:val="24"/>
          <w:lang w:eastAsia="ru-RU"/>
        </w:rPr>
        <w:t xml:space="preserve"> Դատավորների անկախությունը» զ</w:t>
      </w:r>
      <w:r w:rsidR="00375A4F" w:rsidRPr="00AA2713">
        <w:rPr>
          <w:rFonts w:ascii="GHEA Grapalat" w:eastAsia="Times New Roman" w:hAnsi="GHEA Grapalat" w:cs="Times Armenian"/>
          <w:sz w:val="24"/>
          <w:szCs w:val="24"/>
          <w:lang w:eastAsia="ru-RU"/>
        </w:rPr>
        <w:t xml:space="preserve">եկույցի </w:t>
      </w:r>
      <w:r w:rsidR="004B2115" w:rsidRPr="00AA2713">
        <w:rPr>
          <w:rFonts w:ascii="GHEA Grapalat" w:eastAsia="Times New Roman" w:hAnsi="GHEA Grapalat" w:cs="Times Armenian"/>
          <w:sz w:val="24"/>
          <w:szCs w:val="24"/>
          <w:lang w:eastAsia="ru-RU"/>
        </w:rPr>
        <w:t xml:space="preserve">շրջանակներում </w:t>
      </w:r>
      <w:r w:rsidR="00E425DE" w:rsidRPr="00AA2713">
        <w:rPr>
          <w:rFonts w:ascii="GHEA Grapalat" w:eastAsia="Times New Roman" w:hAnsi="GHEA Grapalat" w:cs="Times Armenian"/>
          <w:sz w:val="24"/>
          <w:szCs w:val="24"/>
          <w:lang w:eastAsia="ru-RU"/>
        </w:rPr>
        <w:t>նշել է, որ</w:t>
      </w:r>
      <w:r w:rsidR="0031521C" w:rsidRPr="0031521C">
        <w:rPr>
          <w:rFonts w:ascii="GHEA Grapalat" w:eastAsia="Times New Roman" w:hAnsi="GHEA Grapalat" w:cs="Cambria Math"/>
          <w:sz w:val="24"/>
          <w:szCs w:val="24"/>
          <w:lang w:eastAsia="ru-RU"/>
        </w:rPr>
        <w:t>.</w:t>
      </w:r>
      <w:r w:rsidR="009520D6" w:rsidRPr="00AA2713">
        <w:rPr>
          <w:rFonts w:ascii="GHEA Grapalat" w:eastAsia="Times New Roman" w:hAnsi="GHEA Grapalat" w:cs="Cambria Math"/>
          <w:sz w:val="24"/>
          <w:szCs w:val="24"/>
          <w:lang w:eastAsia="ru-RU"/>
        </w:rPr>
        <w:t xml:space="preserve"> «Դ</w:t>
      </w:r>
      <w:r w:rsidR="00E425DE" w:rsidRPr="00AA2713">
        <w:rPr>
          <w:rFonts w:ascii="GHEA Grapalat" w:eastAsia="Times New Roman" w:hAnsi="GHEA Grapalat" w:cs="Cambria Math"/>
          <w:sz w:val="24"/>
          <w:szCs w:val="24"/>
          <w:lang w:eastAsia="ru-RU"/>
        </w:rPr>
        <w:t>ատավորների վարձատրությունը պետք է համապատասխանի նրանց մասնագիտական արժանապատվությանը և այդ համարժեք վարձատրությունը անփոխարինելի է դատավորներին արտաքին անհարկի միջամտությունից պաշտպանելու համար</w:t>
      </w:r>
      <w:r w:rsidR="00B059DC" w:rsidRPr="00AA2713">
        <w:rPr>
          <w:rFonts w:ascii="GHEA Grapalat" w:eastAsia="Times New Roman" w:hAnsi="GHEA Grapalat" w:cs="Cambria Math"/>
          <w:sz w:val="24"/>
          <w:szCs w:val="24"/>
          <w:lang w:eastAsia="ru-RU"/>
        </w:rPr>
        <w:t>։</w:t>
      </w:r>
      <w:r w:rsidR="00B23D7A" w:rsidRPr="00AA2713">
        <w:rPr>
          <w:rFonts w:ascii="GHEA Grapalat" w:eastAsia="Times New Roman" w:hAnsi="GHEA Grapalat" w:cs="Cambria Math"/>
          <w:sz w:val="24"/>
          <w:szCs w:val="24"/>
          <w:lang w:eastAsia="ru-RU"/>
        </w:rPr>
        <w:t xml:space="preserve"> </w:t>
      </w:r>
      <w:r w:rsidR="00545115" w:rsidRPr="00AA2713">
        <w:rPr>
          <w:rFonts w:ascii="GHEA Grapalat" w:eastAsia="Times New Roman" w:hAnsi="GHEA Grapalat" w:cs="Cambria Math"/>
          <w:sz w:val="24"/>
          <w:szCs w:val="24"/>
          <w:lang w:eastAsia="ru-RU"/>
        </w:rPr>
        <w:t>(…) Վարձատրությունը պետք է հիմնված լինի ընդհանուր ստանդարտների վրա</w:t>
      </w:r>
      <w:r w:rsidR="00C767A7" w:rsidRPr="00AA2713">
        <w:rPr>
          <w:rFonts w:ascii="GHEA Grapalat" w:eastAsia="Times New Roman" w:hAnsi="GHEA Grapalat" w:cs="Cambria Math"/>
          <w:sz w:val="24"/>
          <w:szCs w:val="24"/>
          <w:lang w:eastAsia="ru-RU"/>
        </w:rPr>
        <w:t xml:space="preserve"> և համապատասխանի օբյեկտիվ</w:t>
      </w:r>
      <w:r w:rsidR="00D75B6B" w:rsidRPr="00AA2713">
        <w:rPr>
          <w:rFonts w:ascii="GHEA Grapalat" w:eastAsia="Times New Roman" w:hAnsi="GHEA Grapalat" w:cs="Cambria Math"/>
          <w:sz w:val="24"/>
          <w:szCs w:val="24"/>
          <w:lang w:eastAsia="ru-RU"/>
        </w:rPr>
        <w:t>ության,</w:t>
      </w:r>
      <w:r w:rsidR="00C767A7" w:rsidRPr="00AA2713">
        <w:rPr>
          <w:rFonts w:ascii="GHEA Grapalat" w:eastAsia="Times New Roman" w:hAnsi="GHEA Grapalat" w:cs="Cambria Math"/>
          <w:sz w:val="24"/>
          <w:szCs w:val="24"/>
          <w:lang w:eastAsia="ru-RU"/>
        </w:rPr>
        <w:t xml:space="preserve"> </w:t>
      </w:r>
      <w:r w:rsidR="00D75B6B" w:rsidRPr="00AA2713">
        <w:rPr>
          <w:rFonts w:ascii="GHEA Grapalat" w:eastAsia="Times New Roman" w:hAnsi="GHEA Grapalat" w:cs="Cambria Math"/>
          <w:sz w:val="24"/>
          <w:szCs w:val="24"/>
          <w:lang w:eastAsia="ru-RU"/>
        </w:rPr>
        <w:t>թափանցիկության չափանիշներին և չհիմնվի</w:t>
      </w:r>
      <w:r w:rsidR="00545115" w:rsidRPr="00AA2713">
        <w:rPr>
          <w:rFonts w:ascii="GHEA Grapalat" w:eastAsia="Times New Roman" w:hAnsi="GHEA Grapalat" w:cs="Cambria Math"/>
          <w:sz w:val="24"/>
          <w:szCs w:val="24"/>
          <w:lang w:eastAsia="ru-RU"/>
        </w:rPr>
        <w:t xml:space="preserve"> դատավորի անհատական գործունեության գնահատման վրա:</w:t>
      </w:r>
      <w:r w:rsidR="00E425DE" w:rsidRPr="00AA2713">
        <w:rPr>
          <w:rFonts w:ascii="GHEA Grapalat" w:eastAsia="Times New Roman" w:hAnsi="GHEA Grapalat" w:cs="Cambria Math"/>
          <w:sz w:val="24"/>
          <w:szCs w:val="24"/>
          <w:lang w:eastAsia="ru-RU"/>
        </w:rPr>
        <w:t>»</w:t>
      </w:r>
      <w:r w:rsidR="002A1BE6" w:rsidRPr="00AA2713">
        <w:rPr>
          <w:rStyle w:val="FootnoteReference"/>
          <w:rFonts w:ascii="GHEA Grapalat" w:eastAsia="Times New Roman" w:hAnsi="GHEA Grapalat" w:cs="Cambria Math"/>
          <w:sz w:val="24"/>
          <w:szCs w:val="24"/>
          <w:lang w:eastAsia="ru-RU"/>
        </w:rPr>
        <w:footnoteReference w:id="2"/>
      </w:r>
      <w:r w:rsidR="001246A7" w:rsidRPr="00AA2713">
        <w:rPr>
          <w:rFonts w:ascii="GHEA Grapalat" w:eastAsia="Times New Roman" w:hAnsi="GHEA Grapalat" w:cs="Cambria Math"/>
          <w:sz w:val="24"/>
          <w:szCs w:val="24"/>
          <w:lang w:eastAsia="ru-RU"/>
        </w:rPr>
        <w:t>։</w:t>
      </w:r>
    </w:p>
    <w:p w:rsidR="00960104" w:rsidRPr="00AA2713" w:rsidRDefault="00545115" w:rsidP="00591961">
      <w:pPr>
        <w:autoSpaceDE w:val="0"/>
        <w:autoSpaceDN w:val="0"/>
        <w:adjustRightInd w:val="0"/>
        <w:spacing w:after="0" w:line="360" w:lineRule="auto"/>
        <w:ind w:firstLine="567"/>
        <w:jc w:val="both"/>
        <w:rPr>
          <w:rFonts w:ascii="GHEA Grapalat" w:eastAsia="Times New Roman" w:hAnsi="GHEA Grapalat" w:cs="Times Armenian"/>
          <w:sz w:val="24"/>
          <w:szCs w:val="24"/>
          <w:lang w:eastAsia="ru-RU"/>
        </w:rPr>
      </w:pPr>
      <w:r w:rsidRPr="00AA2713">
        <w:rPr>
          <w:rFonts w:ascii="GHEA Grapalat" w:eastAsia="Times New Roman" w:hAnsi="GHEA Grapalat" w:cs="Cambria Math"/>
          <w:sz w:val="24"/>
          <w:szCs w:val="24"/>
          <w:lang w:eastAsia="ru-RU"/>
        </w:rPr>
        <w:t xml:space="preserve">Վենետիկի հանձնաժողովը </w:t>
      </w:r>
      <w:r w:rsidR="004A78B1" w:rsidRPr="00AA2713">
        <w:rPr>
          <w:rFonts w:ascii="GHEA Grapalat" w:eastAsia="Times New Roman" w:hAnsi="GHEA Grapalat" w:cs="Times Armenian"/>
          <w:sz w:val="24"/>
          <w:szCs w:val="24"/>
          <w:lang w:eastAsia="ru-RU"/>
        </w:rPr>
        <w:t>2019 թվականի դեկտեմբերի 11-ի</w:t>
      </w:r>
      <w:r w:rsidR="004E7923" w:rsidRPr="00AA2713">
        <w:rPr>
          <w:rFonts w:ascii="GHEA Grapalat" w:eastAsia="Times New Roman" w:hAnsi="GHEA Grapalat" w:cs="Times Armenian"/>
          <w:sz w:val="24"/>
          <w:szCs w:val="24"/>
          <w:lang w:eastAsia="ru-RU"/>
        </w:rPr>
        <w:t xml:space="preserve">ն </w:t>
      </w:r>
      <w:r w:rsidR="00D546E1">
        <w:rPr>
          <w:rFonts w:ascii="GHEA Grapalat" w:eastAsia="Times New Roman" w:hAnsi="GHEA Grapalat" w:cs="Times Armenian"/>
          <w:sz w:val="24"/>
          <w:szCs w:val="24"/>
          <w:lang w:eastAsia="ru-RU"/>
        </w:rPr>
        <w:t>Դատարանների և դատավորների մասին Վենետիկի հանձնաժողովի կարծիքներ և զեկույցներ ժողովածուի</w:t>
      </w:r>
      <w:r w:rsidR="00A373E1" w:rsidRPr="00AA2713">
        <w:rPr>
          <w:rStyle w:val="FootnoteReference"/>
          <w:rFonts w:ascii="GHEA Grapalat" w:eastAsia="Times New Roman" w:hAnsi="GHEA Grapalat" w:cs="Times Armenian"/>
          <w:sz w:val="24"/>
          <w:szCs w:val="24"/>
          <w:lang w:eastAsia="ru-RU"/>
        </w:rPr>
        <w:footnoteReference w:id="3"/>
      </w:r>
      <w:r w:rsidR="00FC7246" w:rsidRPr="00AA2713">
        <w:rPr>
          <w:rFonts w:ascii="GHEA Grapalat" w:eastAsia="Times New Roman" w:hAnsi="GHEA Grapalat" w:cs="Times Armenian"/>
          <w:sz w:val="24"/>
          <w:szCs w:val="24"/>
          <w:lang w:eastAsia="ru-RU"/>
        </w:rPr>
        <w:t xml:space="preserve"> շրջանակներում</w:t>
      </w:r>
      <w:r w:rsidR="005C3E77" w:rsidRPr="00AA2713">
        <w:rPr>
          <w:rFonts w:ascii="GHEA Grapalat" w:eastAsia="Times New Roman" w:hAnsi="GHEA Grapalat" w:cs="Times Armenian"/>
          <w:sz w:val="24"/>
          <w:szCs w:val="24"/>
          <w:lang w:eastAsia="ru-RU"/>
        </w:rPr>
        <w:t xml:space="preserve"> ամփոփելով դատական համակարգի, այդ թվում՝</w:t>
      </w:r>
      <w:r w:rsidR="005C3E77" w:rsidRPr="00AA2713">
        <w:rPr>
          <w:rFonts w:ascii="GHEA Grapalat" w:eastAsia="Times New Roman" w:hAnsi="GHEA Grapalat" w:cs="Cambria Math"/>
          <w:sz w:val="24"/>
          <w:szCs w:val="24"/>
          <w:lang w:eastAsia="ru-RU"/>
        </w:rPr>
        <w:t xml:space="preserve"> դատավորների վարձատրության վերաբերյալ արտահայտած </w:t>
      </w:r>
      <w:r w:rsidR="005C3E77" w:rsidRPr="00AA2713">
        <w:rPr>
          <w:rFonts w:ascii="GHEA Grapalat" w:eastAsia="Times New Roman" w:hAnsi="GHEA Grapalat" w:cs="Cambria Math"/>
          <w:sz w:val="24"/>
          <w:szCs w:val="24"/>
          <w:lang w:eastAsia="ru-RU"/>
        </w:rPr>
        <w:lastRenderedPageBreak/>
        <w:t>դիրքորոշումները,</w:t>
      </w:r>
      <w:r w:rsidR="00FC7246" w:rsidRPr="00AA2713">
        <w:rPr>
          <w:rFonts w:ascii="GHEA Grapalat" w:eastAsia="Times New Roman" w:hAnsi="GHEA Grapalat" w:cs="Times Armenian"/>
          <w:sz w:val="24"/>
          <w:szCs w:val="24"/>
          <w:lang w:eastAsia="ru-RU"/>
        </w:rPr>
        <w:t xml:space="preserve"> </w:t>
      </w:r>
      <w:r w:rsidR="009D7293" w:rsidRPr="00AA2713">
        <w:rPr>
          <w:rFonts w:ascii="GHEA Grapalat" w:eastAsia="Times New Roman" w:hAnsi="GHEA Grapalat" w:cs="Times Armenian"/>
          <w:sz w:val="24"/>
          <w:szCs w:val="24"/>
          <w:lang w:eastAsia="ru-RU"/>
        </w:rPr>
        <w:t>նշել է. </w:t>
      </w:r>
      <w:r w:rsidR="00305856" w:rsidRPr="00AA2713">
        <w:rPr>
          <w:rFonts w:ascii="GHEA Grapalat" w:eastAsia="Times New Roman" w:hAnsi="GHEA Grapalat" w:cs="Times Armenian"/>
          <w:sz w:val="24"/>
          <w:szCs w:val="24"/>
          <w:lang w:eastAsia="ru-RU"/>
        </w:rPr>
        <w:t>Դատավորի վարձատրությունը</w:t>
      </w:r>
      <w:r w:rsidR="0082276C" w:rsidRPr="00AA2713">
        <w:rPr>
          <w:rFonts w:ascii="GHEA Grapalat" w:eastAsia="Times New Roman" w:hAnsi="GHEA Grapalat" w:cs="Times Armenian"/>
          <w:sz w:val="24"/>
          <w:szCs w:val="24"/>
          <w:lang w:eastAsia="ru-RU"/>
        </w:rPr>
        <w:t xml:space="preserve"> պետք է սահմանվի օրենքով և պետք է հավասար լինի նույն պարտականությունները կատարող դատավորների համար։ Տարբերություններ կարող են լինել </w:t>
      </w:r>
      <w:r w:rsidR="00B63E76" w:rsidRPr="00AA2713">
        <w:rPr>
          <w:rFonts w:ascii="GHEA Grapalat" w:eastAsia="Times New Roman" w:hAnsi="GHEA Grapalat" w:cs="Times Armenian"/>
          <w:i/>
          <w:iCs/>
          <w:sz w:val="24"/>
          <w:szCs w:val="24"/>
          <w:lang w:eastAsia="ru-RU"/>
        </w:rPr>
        <w:t>ավագության, դատարանի աստիճանի կամ օրենքով հստակորեն սահմանված այլ չափանիշների</w:t>
      </w:r>
      <w:r w:rsidR="00D546E1">
        <w:rPr>
          <w:rFonts w:ascii="GHEA Grapalat" w:eastAsia="Times New Roman" w:hAnsi="GHEA Grapalat" w:cs="Times Armenian"/>
          <w:sz w:val="24"/>
          <w:szCs w:val="24"/>
          <w:lang w:eastAsia="ru-RU"/>
        </w:rPr>
        <w:t xml:space="preserve"> հիման վրա (…)»։</w:t>
      </w:r>
    </w:p>
    <w:p w:rsidR="00902D40" w:rsidRPr="00AA2713" w:rsidRDefault="00D546E1" w:rsidP="00591961">
      <w:pPr>
        <w:autoSpaceDE w:val="0"/>
        <w:autoSpaceDN w:val="0"/>
        <w:adjustRightInd w:val="0"/>
        <w:spacing w:after="0" w:line="360" w:lineRule="auto"/>
        <w:ind w:firstLine="567"/>
        <w:jc w:val="both"/>
        <w:rPr>
          <w:rFonts w:ascii="GHEA Grapalat" w:eastAsia="Times New Roman" w:hAnsi="GHEA Grapalat" w:cs="Times Armenian"/>
          <w:sz w:val="24"/>
          <w:szCs w:val="24"/>
          <w:lang w:eastAsia="ru-RU"/>
        </w:rPr>
      </w:pPr>
      <w:r>
        <w:rPr>
          <w:rFonts w:ascii="GHEA Grapalat" w:eastAsia="Times New Roman" w:hAnsi="GHEA Grapalat" w:cs="Times Armenian"/>
          <w:sz w:val="24"/>
          <w:szCs w:val="24"/>
          <w:lang w:eastAsia="ru-RU"/>
        </w:rPr>
        <w:t xml:space="preserve">Դատավորների վարձատրությանը անդրադարձ է կատարվել նաև Եվրոպայի խորհրդի նախարարների կոմիտեի  CM/Rec(2010)12 «Դատավորներ․ անկախություն, արդյունավետություն և պատասխանատվություն» հանձնարարականի շրջանակներում։ Մասնավորապես նշվել է, որ «Դատավորների վարձատրությունը պետք է համաչափ լինի իրենց մասնագիտությանն ու պարտականություններին, և </w:t>
      </w:r>
      <w:r>
        <w:rPr>
          <w:rFonts w:ascii="GHEA Grapalat" w:eastAsia="Times New Roman" w:hAnsi="GHEA Grapalat" w:cs="Times Armenian"/>
          <w:b/>
          <w:sz w:val="24"/>
          <w:szCs w:val="24"/>
          <w:lang w:eastAsia="ru-RU"/>
        </w:rPr>
        <w:t>պետք է հանդիսանա նրանց որոշումների կայացման վրա ազդեցություն գործելու նպատակ հետապնդող ազդակներից պաշտպանության արդյունավետ միջոց</w:t>
      </w:r>
      <w:r>
        <w:rPr>
          <w:rFonts w:ascii="GHEA Grapalat" w:eastAsia="Times New Roman" w:hAnsi="GHEA Grapalat" w:cs="Times Armenian"/>
          <w:sz w:val="24"/>
          <w:szCs w:val="24"/>
          <w:lang w:eastAsia="ru-RU"/>
        </w:rPr>
        <w:t>։»։</w:t>
      </w:r>
    </w:p>
    <w:p w:rsidR="004A23F9" w:rsidRPr="00AA2713" w:rsidRDefault="00D546E1" w:rsidP="00F92E03">
      <w:pPr>
        <w:pStyle w:val="ListParagraph"/>
        <w:tabs>
          <w:tab w:val="left" w:pos="993"/>
        </w:tabs>
        <w:autoSpaceDE w:val="0"/>
        <w:autoSpaceDN w:val="0"/>
        <w:adjustRightInd w:val="0"/>
        <w:spacing w:after="0" w:line="360" w:lineRule="auto"/>
        <w:ind w:left="0" w:firstLine="567"/>
        <w:jc w:val="both"/>
        <w:rPr>
          <w:rFonts w:ascii="GHEA Grapalat" w:eastAsia="Times New Roman" w:hAnsi="GHEA Grapalat" w:cs="Times Armenian"/>
          <w:sz w:val="24"/>
          <w:szCs w:val="24"/>
          <w:lang w:eastAsia="ru-RU"/>
        </w:rPr>
      </w:pPr>
      <w:r>
        <w:rPr>
          <w:rFonts w:ascii="GHEA Grapalat" w:eastAsia="Times New Roman" w:hAnsi="GHEA Grapalat" w:cs="Times Armenian"/>
          <w:sz w:val="24"/>
          <w:szCs w:val="24"/>
          <w:lang w:eastAsia="ru-RU"/>
        </w:rPr>
        <w:t xml:space="preserve">Եվրոպայի խորհրդի շրջանակներում 1998 թվականին ընդունված «Դատավորների կարգավիճակի մասին» եվրոպական խարտիայի 6.2-րդ կետի համաձայն՝ դատավորի վարձատրության չափը մյուս դատավորի վարձատրության համեմատությամբ կարող է փոփոխվել կախված ծառայության տևողությունից, </w:t>
      </w:r>
      <w:r>
        <w:rPr>
          <w:rFonts w:ascii="GHEA Grapalat" w:eastAsia="Times New Roman" w:hAnsi="GHEA Grapalat" w:cs="Times Armenian"/>
          <w:b/>
          <w:bCs/>
          <w:i/>
          <w:iCs/>
          <w:sz w:val="24"/>
          <w:szCs w:val="24"/>
          <w:lang w:eastAsia="ru-RU"/>
        </w:rPr>
        <w:t>իրենց կողմից կատարվող պարտականությունների բնույթից և իրենց վրա դրված առաջադրանքների կարևորությունից</w:t>
      </w:r>
      <w:r>
        <w:rPr>
          <w:rFonts w:ascii="GHEA Grapalat" w:eastAsia="Times New Roman" w:hAnsi="GHEA Grapalat" w:cs="Times Armenian"/>
          <w:sz w:val="24"/>
          <w:szCs w:val="24"/>
          <w:lang w:eastAsia="ru-RU"/>
        </w:rPr>
        <w:t>: Այնուհետև կարևորվում է նման առաջադրանքների գնահատման չափորոշիչների թափանցիկությունը՝ խուսափելու այնպիսի տարբերակումներից, որոնք կապված չեն կատարված աշխատանքի կամ դրա պիտանիության հետ:</w:t>
      </w:r>
    </w:p>
    <w:p w:rsidR="00874411" w:rsidRPr="00AA2713" w:rsidRDefault="00D546E1" w:rsidP="00591961">
      <w:pPr>
        <w:autoSpaceDE w:val="0"/>
        <w:autoSpaceDN w:val="0"/>
        <w:adjustRightInd w:val="0"/>
        <w:spacing w:after="0" w:line="360" w:lineRule="auto"/>
        <w:ind w:firstLine="567"/>
        <w:jc w:val="both"/>
        <w:rPr>
          <w:rFonts w:ascii="GHEA Grapalat" w:eastAsia="Times New Roman" w:hAnsi="GHEA Grapalat" w:cs="Times Armenian"/>
          <w:sz w:val="24"/>
          <w:szCs w:val="24"/>
          <w:lang w:eastAsia="ru-RU"/>
        </w:rPr>
      </w:pPr>
      <w:r>
        <w:rPr>
          <w:rFonts w:ascii="GHEA Grapalat" w:eastAsia="Times New Roman" w:hAnsi="GHEA Grapalat" w:cs="Times Armenian"/>
          <w:sz w:val="24"/>
          <w:szCs w:val="24"/>
          <w:lang w:eastAsia="ru-RU"/>
        </w:rPr>
        <w:t>Միջազգային կառույցների նշված դիրքորոշումների համադրությունից կարելի է առանձնացնել դատավորների վարձատրության համակարգի մի քանի կարևոր չափանիշներ, այն է․</w:t>
      </w:r>
    </w:p>
    <w:p w:rsidR="0049219A" w:rsidRPr="00AA2713" w:rsidRDefault="00D546E1" w:rsidP="0049219A">
      <w:pPr>
        <w:pStyle w:val="ListParagraph"/>
        <w:numPr>
          <w:ilvl w:val="0"/>
          <w:numId w:val="1"/>
        </w:numPr>
        <w:tabs>
          <w:tab w:val="left" w:pos="993"/>
        </w:tabs>
        <w:autoSpaceDE w:val="0"/>
        <w:autoSpaceDN w:val="0"/>
        <w:adjustRightInd w:val="0"/>
        <w:spacing w:after="0" w:line="360" w:lineRule="auto"/>
        <w:ind w:left="0" w:firstLine="567"/>
        <w:jc w:val="both"/>
        <w:rPr>
          <w:rFonts w:ascii="GHEA Grapalat" w:eastAsia="Times New Roman" w:hAnsi="GHEA Grapalat" w:cs="Times Armenian"/>
          <w:sz w:val="24"/>
          <w:szCs w:val="24"/>
          <w:lang w:eastAsia="ru-RU"/>
        </w:rPr>
      </w:pPr>
      <w:r>
        <w:rPr>
          <w:rFonts w:ascii="GHEA Grapalat" w:eastAsia="Times New Roman" w:hAnsi="GHEA Grapalat" w:cs="Times Armenian"/>
          <w:sz w:val="24"/>
          <w:szCs w:val="24"/>
          <w:lang w:eastAsia="ru-RU"/>
        </w:rPr>
        <w:lastRenderedPageBreak/>
        <w:t>դատավորների վարձատրության համակարգը պետք է ամրագրվի օրենքով՝ բացառելու համար հնարավոր հայեցողության դրսևորումը,</w:t>
      </w:r>
    </w:p>
    <w:p w:rsidR="00FD3766" w:rsidRPr="00AA2713" w:rsidRDefault="00D546E1" w:rsidP="0049219A">
      <w:pPr>
        <w:pStyle w:val="ListParagraph"/>
        <w:numPr>
          <w:ilvl w:val="0"/>
          <w:numId w:val="1"/>
        </w:numPr>
        <w:tabs>
          <w:tab w:val="left" w:pos="993"/>
        </w:tabs>
        <w:autoSpaceDE w:val="0"/>
        <w:autoSpaceDN w:val="0"/>
        <w:adjustRightInd w:val="0"/>
        <w:spacing w:after="0" w:line="360" w:lineRule="auto"/>
        <w:ind w:left="0" w:firstLine="567"/>
        <w:jc w:val="both"/>
        <w:rPr>
          <w:rFonts w:ascii="GHEA Grapalat" w:eastAsia="Times New Roman" w:hAnsi="GHEA Grapalat" w:cs="Times Armenian"/>
          <w:sz w:val="24"/>
          <w:szCs w:val="24"/>
          <w:lang w:eastAsia="ru-RU"/>
        </w:rPr>
      </w:pPr>
      <w:r>
        <w:rPr>
          <w:rFonts w:ascii="GHEA Grapalat" w:eastAsia="Times New Roman" w:hAnsi="GHEA Grapalat" w:cs="Times Armenian"/>
          <w:sz w:val="24"/>
          <w:szCs w:val="24"/>
          <w:lang w:eastAsia="ru-RU"/>
        </w:rPr>
        <w:t>դատավորների վարձատրությունը պետք է համապատասխանի նրանց մասնագիտությանը, մասնագիտությունից բխող պարտականություններին և պետք է չեզոքացնի մասնագիտական պարտականություններին խոչընդոտ հանդիսացող հնարավոր ազդեցությունները,</w:t>
      </w:r>
    </w:p>
    <w:p w:rsidR="00FD3766" w:rsidRPr="00AA2713" w:rsidRDefault="00D546E1" w:rsidP="00FD3766">
      <w:pPr>
        <w:pStyle w:val="ListParagraph"/>
        <w:numPr>
          <w:ilvl w:val="0"/>
          <w:numId w:val="1"/>
        </w:numPr>
        <w:tabs>
          <w:tab w:val="left" w:pos="993"/>
        </w:tabs>
        <w:autoSpaceDE w:val="0"/>
        <w:autoSpaceDN w:val="0"/>
        <w:adjustRightInd w:val="0"/>
        <w:spacing w:after="0" w:line="360" w:lineRule="auto"/>
        <w:ind w:left="0" w:firstLine="567"/>
        <w:jc w:val="both"/>
        <w:rPr>
          <w:rFonts w:ascii="GHEA Grapalat" w:eastAsia="Times New Roman" w:hAnsi="GHEA Grapalat" w:cs="Times Armenian"/>
          <w:sz w:val="24"/>
          <w:szCs w:val="24"/>
          <w:lang w:eastAsia="ru-RU"/>
        </w:rPr>
      </w:pPr>
      <w:r>
        <w:rPr>
          <w:rFonts w:ascii="GHEA Grapalat" w:eastAsia="Times New Roman" w:hAnsi="GHEA Grapalat" w:cs="Times Armenian"/>
          <w:sz w:val="24"/>
          <w:szCs w:val="24"/>
          <w:lang w:eastAsia="ru-RU"/>
        </w:rPr>
        <w:t xml:space="preserve">դատավորների վարձատրությունը կարող է տարբերակվել դատավորների ավագությամբ, դատարանի աստիճանով, դատավորների վրա </w:t>
      </w:r>
      <w:r>
        <w:rPr>
          <w:rFonts w:ascii="GHEA Grapalat" w:eastAsia="Times New Roman" w:hAnsi="GHEA Grapalat" w:cs="Times Armenian"/>
          <w:bCs/>
          <w:iCs/>
          <w:sz w:val="24"/>
          <w:szCs w:val="24"/>
          <w:lang w:eastAsia="ru-RU"/>
        </w:rPr>
        <w:t>դրված առաջադրանքների կարևորությամբ, դատավորի կողմից կատարվող պարտականությունների բնույթով</w:t>
      </w:r>
      <w:r>
        <w:rPr>
          <w:rFonts w:ascii="GHEA Grapalat" w:eastAsia="Times New Roman" w:hAnsi="GHEA Grapalat" w:cs="Times Armenian"/>
          <w:sz w:val="24"/>
          <w:szCs w:val="24"/>
          <w:lang w:eastAsia="ru-RU"/>
        </w:rPr>
        <w:t xml:space="preserve"> և օրենքով հստակ սահմանված այլ չափանիշներով։</w:t>
      </w:r>
    </w:p>
    <w:p w:rsidR="00763B4A" w:rsidRPr="00AA2713" w:rsidRDefault="00D546E1" w:rsidP="00763B4A">
      <w:pPr>
        <w:pStyle w:val="ListParagraph"/>
        <w:tabs>
          <w:tab w:val="left" w:pos="993"/>
        </w:tabs>
        <w:autoSpaceDE w:val="0"/>
        <w:autoSpaceDN w:val="0"/>
        <w:adjustRightInd w:val="0"/>
        <w:spacing w:line="360" w:lineRule="auto"/>
        <w:ind w:left="0" w:firstLine="567"/>
        <w:jc w:val="both"/>
        <w:rPr>
          <w:rFonts w:ascii="GHEA Grapalat" w:eastAsia="Times New Roman" w:hAnsi="GHEA Grapalat" w:cs="Times Armenian"/>
          <w:bCs/>
          <w:sz w:val="24"/>
          <w:szCs w:val="24"/>
          <w:lang w:eastAsia="ru-RU"/>
        </w:rPr>
      </w:pPr>
      <w:r>
        <w:rPr>
          <w:rFonts w:ascii="GHEA Grapalat" w:eastAsia="Times New Roman" w:hAnsi="GHEA Grapalat" w:cs="Times Armenian"/>
          <w:sz w:val="24"/>
          <w:szCs w:val="24"/>
          <w:lang w:eastAsia="ru-RU"/>
        </w:rPr>
        <w:t xml:space="preserve">  Ներպետական մակարդակում ևս արդարադատություն իրականացնող մարմինները անդրադարձ են կատարել վարձատրության առկա խնդիրներին։ </w:t>
      </w:r>
      <w:r>
        <w:rPr>
          <w:rFonts w:ascii="GHEA Grapalat" w:eastAsia="Times New Roman" w:hAnsi="GHEA Grapalat" w:cs="Times Armenian"/>
          <w:bCs/>
          <w:sz w:val="24"/>
          <w:szCs w:val="24"/>
          <w:lang w:eastAsia="ru-RU"/>
        </w:rPr>
        <w:t xml:space="preserve">Սահմանադրական դատարանը 2019 թվականի հունիսի 18-ի ՍԴՈ-1463, 2019 թվականի փետրվարի 12-ի ՍԴՈ-1443, 2010 թվականի մայիսի 10-ի ՍԴՈ-881 և այլ որոշումներով անդրադարձ է կատարել տարբերակված վարձատրության հիմնահարցին: Ամբողջացնելով Սահմանադրական դատարանի սույն որոշումներում արտահայտված դիրքորոշումները՝ կարելի է ասել, որ Սահմանադրական դատարանը նույնիսկ միևնույն կատեգորիայի անձանց շրջանակում թույլատրելի է համարում տարբերակված մոտեցումը, եթե այն համապատասխանում է հետևյալ երկու չափանիշներին, այն է՝ </w:t>
      </w:r>
    </w:p>
    <w:p w:rsidR="00763B4A" w:rsidRPr="00AA2713" w:rsidRDefault="00D546E1" w:rsidP="00763B4A">
      <w:pPr>
        <w:pStyle w:val="ListParagraph"/>
        <w:tabs>
          <w:tab w:val="left" w:pos="993"/>
        </w:tabs>
        <w:autoSpaceDE w:val="0"/>
        <w:autoSpaceDN w:val="0"/>
        <w:adjustRightInd w:val="0"/>
        <w:spacing w:line="360" w:lineRule="auto"/>
        <w:ind w:left="0" w:firstLine="567"/>
        <w:jc w:val="both"/>
        <w:rPr>
          <w:rFonts w:ascii="GHEA Grapalat" w:eastAsia="Times New Roman" w:hAnsi="GHEA Grapalat" w:cs="Times Armenian"/>
          <w:bCs/>
          <w:sz w:val="24"/>
          <w:szCs w:val="24"/>
          <w:lang w:eastAsia="ru-RU"/>
        </w:rPr>
      </w:pPr>
      <w:r>
        <w:rPr>
          <w:rFonts w:ascii="GHEA Grapalat" w:eastAsia="Times New Roman" w:hAnsi="GHEA Grapalat" w:cs="Times Armenian"/>
          <w:bCs/>
          <w:sz w:val="24"/>
          <w:szCs w:val="24"/>
          <w:lang w:eastAsia="ru-RU"/>
        </w:rPr>
        <w:t>ա) ունի օբյեկտիվ հիմք,</w:t>
      </w:r>
    </w:p>
    <w:p w:rsidR="000D2112" w:rsidRPr="003439A1" w:rsidRDefault="00D546E1" w:rsidP="000D2112">
      <w:pPr>
        <w:pStyle w:val="ListParagraph"/>
        <w:tabs>
          <w:tab w:val="left" w:pos="993"/>
        </w:tabs>
        <w:autoSpaceDE w:val="0"/>
        <w:autoSpaceDN w:val="0"/>
        <w:adjustRightInd w:val="0"/>
        <w:spacing w:line="360" w:lineRule="auto"/>
        <w:ind w:left="0" w:firstLine="567"/>
        <w:jc w:val="both"/>
        <w:rPr>
          <w:rFonts w:ascii="GHEA Grapalat" w:eastAsia="Times New Roman" w:hAnsi="GHEA Grapalat" w:cs="Times Armenian"/>
          <w:bCs/>
          <w:sz w:val="24"/>
          <w:szCs w:val="24"/>
          <w:lang w:eastAsia="ru-RU"/>
        </w:rPr>
      </w:pPr>
      <w:r>
        <w:rPr>
          <w:rFonts w:ascii="GHEA Grapalat" w:eastAsia="Times New Roman" w:hAnsi="GHEA Grapalat" w:cs="Times Armenian"/>
          <w:bCs/>
          <w:sz w:val="24"/>
          <w:szCs w:val="24"/>
          <w:lang w:eastAsia="ru-RU"/>
        </w:rPr>
        <w:t>բ) հետապնդում է իրավաչափ նպատակ:</w:t>
      </w:r>
    </w:p>
    <w:p w:rsidR="00E26787" w:rsidRPr="003439A1" w:rsidRDefault="00E26787" w:rsidP="000D2112">
      <w:pPr>
        <w:pStyle w:val="ListParagraph"/>
        <w:tabs>
          <w:tab w:val="left" w:pos="993"/>
        </w:tabs>
        <w:autoSpaceDE w:val="0"/>
        <w:autoSpaceDN w:val="0"/>
        <w:adjustRightInd w:val="0"/>
        <w:spacing w:line="360" w:lineRule="auto"/>
        <w:ind w:left="0" w:firstLine="567"/>
        <w:jc w:val="both"/>
        <w:rPr>
          <w:rFonts w:ascii="GHEA Grapalat" w:eastAsia="Times New Roman" w:hAnsi="GHEA Grapalat" w:cs="Times Armenian"/>
          <w:bCs/>
          <w:sz w:val="24"/>
          <w:szCs w:val="24"/>
          <w:lang w:eastAsia="ru-RU"/>
        </w:rPr>
      </w:pPr>
    </w:p>
    <w:p w:rsidR="00F73564" w:rsidRPr="003439A1" w:rsidRDefault="00D546E1" w:rsidP="00F73564">
      <w:pPr>
        <w:spacing w:after="0" w:line="360" w:lineRule="auto"/>
        <w:ind w:firstLine="567"/>
        <w:contextualSpacing/>
        <w:jc w:val="both"/>
        <w:rPr>
          <w:rFonts w:ascii="GHEA Grapalat" w:hAnsi="GHEA Grapalat"/>
          <w:bCs/>
          <w:sz w:val="24"/>
          <w:szCs w:val="24"/>
        </w:rPr>
      </w:pPr>
      <w:r>
        <w:rPr>
          <w:rFonts w:ascii="GHEA Grapalat" w:hAnsi="GHEA Grapalat"/>
          <w:b/>
          <w:bCs/>
          <w:sz w:val="24"/>
          <w:szCs w:val="24"/>
        </w:rPr>
        <w:lastRenderedPageBreak/>
        <w:t>Առաջարկվող կարգավորման բնույթը</w:t>
      </w:r>
    </w:p>
    <w:p w:rsidR="00427294" w:rsidRPr="00AA2713" w:rsidRDefault="00D546E1" w:rsidP="00E976C5">
      <w:pPr>
        <w:spacing w:after="0" w:line="360" w:lineRule="auto"/>
        <w:ind w:firstLine="567"/>
        <w:contextualSpacing/>
        <w:jc w:val="both"/>
        <w:rPr>
          <w:rFonts w:ascii="GHEA Grapalat" w:hAnsi="GHEA Grapalat"/>
          <w:bCs/>
          <w:sz w:val="24"/>
          <w:szCs w:val="24"/>
        </w:rPr>
      </w:pPr>
      <w:r>
        <w:rPr>
          <w:rFonts w:ascii="GHEA Grapalat" w:hAnsi="GHEA Grapalat"/>
          <w:bCs/>
          <w:sz w:val="24"/>
          <w:szCs w:val="24"/>
        </w:rPr>
        <w:t xml:space="preserve">Հաշվի առնելով այն հանգամանքը, որ «Հայաստանի Հանրապետության դատական օրենսգիրք» սահմանադրական օրենքի 57-րդ հոդվածի 1-ին մասի և «Սահմանադրական դատարանի մասին» սահմանդրական օրենքի 10-րդ հոդվածի 1-ին մասի համաձայն՝ դատավորի վարձատրության, այդ թվում` հիմնական և լրացուցիչ աշխատավարձերի հաշվարկների և չափերի հետ կապված հարաբերությունները կարգավորվում են </w:t>
      </w:r>
      <w:r w:rsidR="006E3BC0" w:rsidRPr="003439A1">
        <w:rPr>
          <w:rFonts w:ascii="GHEA Grapalat" w:hAnsi="GHEA Grapalat"/>
          <w:bCs/>
          <w:sz w:val="24"/>
          <w:szCs w:val="24"/>
        </w:rPr>
        <w:t>Օ</w:t>
      </w:r>
      <w:r>
        <w:rPr>
          <w:rFonts w:ascii="GHEA Grapalat" w:hAnsi="GHEA Grapalat"/>
          <w:bCs/>
          <w:sz w:val="24"/>
          <w:szCs w:val="24"/>
        </w:rPr>
        <w:t>րենքով</w:t>
      </w:r>
      <w:r w:rsidR="002D39F9" w:rsidRPr="002D39F9">
        <w:rPr>
          <w:rFonts w:ascii="GHEA Grapalat" w:hAnsi="GHEA Grapalat"/>
          <w:bCs/>
          <w:sz w:val="24"/>
          <w:szCs w:val="24"/>
        </w:rPr>
        <w:t xml:space="preserve">, իսկ կենսաթոշակի հետ կապված հարաբերությունները՝ </w:t>
      </w:r>
      <w:r w:rsidR="002D39F9" w:rsidRPr="000C4928">
        <w:rPr>
          <w:rFonts w:ascii="GHEA Grapalat" w:hAnsi="GHEA Grapalat"/>
          <w:sz w:val="24"/>
          <w:szCs w:val="24"/>
        </w:rPr>
        <w:t xml:space="preserve">«Պաշտոնատար անձանց գործունեության ապահովման, սպասարկման և սոցիալական երաշխիքների մասին» </w:t>
      </w:r>
      <w:r w:rsidR="00247952" w:rsidRPr="00247952">
        <w:rPr>
          <w:rFonts w:ascii="GHEA Grapalat" w:hAnsi="GHEA Grapalat"/>
          <w:sz w:val="24"/>
          <w:szCs w:val="24"/>
        </w:rPr>
        <w:t>օրենքով</w:t>
      </w:r>
      <w:r>
        <w:rPr>
          <w:rFonts w:ascii="GHEA Grapalat" w:hAnsi="GHEA Grapalat"/>
          <w:bCs/>
          <w:sz w:val="24"/>
          <w:szCs w:val="24"/>
        </w:rPr>
        <w:t>՝ Նախագծ</w:t>
      </w:r>
      <w:r w:rsidR="002D39F9" w:rsidRPr="002D39F9">
        <w:rPr>
          <w:rFonts w:ascii="GHEA Grapalat" w:hAnsi="GHEA Grapalat"/>
          <w:bCs/>
          <w:sz w:val="24"/>
          <w:szCs w:val="24"/>
        </w:rPr>
        <w:t>եր</w:t>
      </w:r>
      <w:r>
        <w:rPr>
          <w:rFonts w:ascii="GHEA Grapalat" w:hAnsi="GHEA Grapalat"/>
          <w:bCs/>
          <w:sz w:val="24"/>
          <w:szCs w:val="24"/>
        </w:rPr>
        <w:t>ով առաջարկվում է՝</w:t>
      </w:r>
    </w:p>
    <w:p w:rsidR="00427294" w:rsidRPr="00247952" w:rsidRDefault="00D546E1" w:rsidP="00E976C5">
      <w:pPr>
        <w:spacing w:after="0" w:line="360" w:lineRule="auto"/>
        <w:ind w:firstLine="567"/>
        <w:contextualSpacing/>
        <w:jc w:val="both"/>
        <w:rPr>
          <w:rFonts w:ascii="GHEA Grapalat" w:hAnsi="GHEA Grapalat"/>
          <w:bCs/>
          <w:sz w:val="24"/>
          <w:szCs w:val="24"/>
        </w:rPr>
      </w:pPr>
      <w:r>
        <w:rPr>
          <w:rFonts w:ascii="GHEA Grapalat" w:hAnsi="GHEA Grapalat"/>
          <w:bCs/>
          <w:sz w:val="24"/>
          <w:szCs w:val="24"/>
        </w:rPr>
        <w:t>1</w:t>
      </w:r>
      <w:r w:rsidR="0031521C" w:rsidRPr="0031521C">
        <w:rPr>
          <w:rFonts w:ascii="GHEA Grapalat" w:hAnsi="GHEA Grapalat"/>
          <w:bCs/>
          <w:sz w:val="24"/>
          <w:szCs w:val="24"/>
        </w:rPr>
        <w:t xml:space="preserve">. </w:t>
      </w:r>
      <w:r w:rsidR="0031521C" w:rsidRPr="0031521C">
        <w:rPr>
          <w:rFonts w:ascii="GHEA Grapalat" w:hAnsi="GHEA Grapalat"/>
          <w:color w:val="000000"/>
          <w:sz w:val="24"/>
          <w:szCs w:val="24"/>
        </w:rPr>
        <w:t>Սահմանադրական դատարանի նախագահի, փոխնախագահի և դատավորի պաշտոն զբաղեցնել</w:t>
      </w:r>
      <w:r w:rsidR="006E3BC0" w:rsidRPr="006E3BC0">
        <w:rPr>
          <w:rFonts w:ascii="GHEA Grapalat" w:hAnsi="GHEA Grapalat"/>
          <w:color w:val="000000"/>
          <w:sz w:val="24"/>
          <w:szCs w:val="24"/>
        </w:rPr>
        <w:t>ու պայմանը</w:t>
      </w:r>
      <w:r w:rsidR="0031521C" w:rsidRPr="0031521C">
        <w:rPr>
          <w:rFonts w:ascii="GHEA Grapalat" w:hAnsi="GHEA Grapalat"/>
          <w:color w:val="000000"/>
        </w:rPr>
        <w:t xml:space="preserve"> </w:t>
      </w:r>
      <w:r w:rsidR="0000603C" w:rsidRPr="00AA2713">
        <w:rPr>
          <w:rFonts w:ascii="GHEA Grapalat" w:hAnsi="GHEA Grapalat"/>
          <w:color w:val="000000"/>
          <w:sz w:val="24"/>
          <w:szCs w:val="24"/>
        </w:rPr>
        <w:t>ներառել հավելում վճարելու պայմանների ցանկում</w:t>
      </w:r>
      <w:r w:rsidR="0031521C" w:rsidRPr="0031521C">
        <w:rPr>
          <w:rFonts w:ascii="GHEA Grapalat" w:hAnsi="GHEA Grapalat"/>
          <w:color w:val="000000"/>
          <w:sz w:val="24"/>
          <w:szCs w:val="24"/>
        </w:rPr>
        <w:t>, և</w:t>
      </w:r>
      <w:r w:rsidR="00C741AA" w:rsidRPr="00C741AA">
        <w:rPr>
          <w:rFonts w:ascii="GHEA Grapalat" w:hAnsi="GHEA Grapalat"/>
          <w:color w:val="000000"/>
          <w:sz w:val="24"/>
          <w:szCs w:val="24"/>
        </w:rPr>
        <w:t xml:space="preserve"> </w:t>
      </w:r>
      <w:r w:rsidR="00427294" w:rsidRPr="00AA2713">
        <w:rPr>
          <w:rFonts w:ascii="GHEA Grapalat" w:hAnsi="GHEA Grapalat"/>
          <w:bCs/>
          <w:sz w:val="24"/>
          <w:szCs w:val="24"/>
        </w:rPr>
        <w:t xml:space="preserve">Սահմանադրական դատարանի </w:t>
      </w:r>
      <w:r w:rsidR="0031521C" w:rsidRPr="0031521C">
        <w:rPr>
          <w:rFonts w:ascii="GHEA Grapalat" w:hAnsi="GHEA Grapalat"/>
          <w:bCs/>
          <w:sz w:val="24"/>
          <w:szCs w:val="24"/>
        </w:rPr>
        <w:t xml:space="preserve">բոլոր </w:t>
      </w:r>
      <w:r w:rsidR="00427294" w:rsidRPr="00AA2713">
        <w:rPr>
          <w:rFonts w:ascii="GHEA Grapalat" w:hAnsi="GHEA Grapalat"/>
          <w:bCs/>
          <w:sz w:val="24"/>
          <w:szCs w:val="24"/>
        </w:rPr>
        <w:t xml:space="preserve">դատավորների համար </w:t>
      </w:r>
      <w:r w:rsidR="0031521C" w:rsidRPr="0031521C">
        <w:rPr>
          <w:rFonts w:ascii="GHEA Grapalat" w:hAnsi="GHEA Grapalat"/>
          <w:bCs/>
          <w:sz w:val="24"/>
          <w:szCs w:val="24"/>
        </w:rPr>
        <w:t>հավելավճարի չափը սահմանել</w:t>
      </w:r>
      <w:r w:rsidR="005558F7" w:rsidRPr="00C741AA">
        <w:rPr>
          <w:rFonts w:ascii="GHEA Grapalat" w:hAnsi="GHEA Grapalat"/>
          <w:bCs/>
          <w:sz w:val="24"/>
          <w:szCs w:val="24"/>
        </w:rPr>
        <w:t xml:space="preserve"> ֆիքսված՝</w:t>
      </w:r>
      <w:r w:rsidR="00427294" w:rsidRPr="00AA2713">
        <w:rPr>
          <w:rFonts w:ascii="GHEA Grapalat" w:hAnsi="GHEA Grapalat"/>
          <w:bCs/>
          <w:sz w:val="24"/>
          <w:szCs w:val="24"/>
        </w:rPr>
        <w:t xml:space="preserve"> </w:t>
      </w:r>
      <w:r w:rsidR="0031521C" w:rsidRPr="0031521C">
        <w:rPr>
          <w:rFonts w:ascii="GHEA Grapalat" w:hAnsi="GHEA Grapalat"/>
          <w:bCs/>
          <w:sz w:val="24"/>
          <w:szCs w:val="24"/>
        </w:rPr>
        <w:t xml:space="preserve">պաշտոնային դրույքաչափի </w:t>
      </w:r>
      <w:r w:rsidR="00427294" w:rsidRPr="00AA2713">
        <w:rPr>
          <w:rFonts w:ascii="GHEA Grapalat" w:hAnsi="GHEA Grapalat"/>
          <w:bCs/>
          <w:sz w:val="24"/>
          <w:szCs w:val="24"/>
        </w:rPr>
        <w:t xml:space="preserve">80 </w:t>
      </w:r>
      <w:r w:rsidR="0031521C" w:rsidRPr="0031521C">
        <w:rPr>
          <w:rFonts w:ascii="GHEA Grapalat" w:hAnsi="GHEA Grapalat"/>
          <w:bCs/>
          <w:sz w:val="24"/>
          <w:szCs w:val="24"/>
        </w:rPr>
        <w:t xml:space="preserve">տոկոսի </w:t>
      </w:r>
      <w:r w:rsidR="0000603C" w:rsidRPr="00AA2713" w:rsidDel="0000603C">
        <w:rPr>
          <w:rFonts w:ascii="GHEA Grapalat" w:hAnsi="GHEA Grapalat"/>
          <w:bCs/>
          <w:sz w:val="24"/>
          <w:szCs w:val="24"/>
        </w:rPr>
        <w:t xml:space="preserve"> </w:t>
      </w:r>
      <w:r w:rsidR="0031521C" w:rsidRPr="0031521C">
        <w:rPr>
          <w:rFonts w:ascii="GHEA Grapalat" w:hAnsi="GHEA Grapalat"/>
          <w:bCs/>
          <w:sz w:val="24"/>
          <w:szCs w:val="24"/>
        </w:rPr>
        <w:t>չափով</w:t>
      </w:r>
      <w:r w:rsidR="00247952" w:rsidRPr="00247952">
        <w:rPr>
          <w:rFonts w:ascii="GHEA Grapalat" w:hAnsi="GHEA Grapalat"/>
          <w:bCs/>
          <w:sz w:val="24"/>
          <w:szCs w:val="24"/>
        </w:rPr>
        <w:t>.</w:t>
      </w:r>
    </w:p>
    <w:p w:rsidR="00C730D2" w:rsidRPr="00247952" w:rsidRDefault="00427294" w:rsidP="00E976C5">
      <w:pPr>
        <w:spacing w:after="0" w:line="360" w:lineRule="auto"/>
        <w:ind w:firstLine="567"/>
        <w:contextualSpacing/>
        <w:jc w:val="both"/>
        <w:rPr>
          <w:rFonts w:ascii="GHEA Grapalat" w:hAnsi="GHEA Grapalat"/>
          <w:bCs/>
          <w:sz w:val="24"/>
          <w:szCs w:val="24"/>
        </w:rPr>
      </w:pPr>
      <w:r w:rsidRPr="00AA2713">
        <w:rPr>
          <w:rFonts w:ascii="GHEA Grapalat" w:hAnsi="GHEA Grapalat"/>
          <w:bCs/>
          <w:sz w:val="24"/>
          <w:szCs w:val="24"/>
        </w:rPr>
        <w:t>2</w:t>
      </w:r>
      <w:r w:rsidR="0031521C" w:rsidRPr="0031521C">
        <w:rPr>
          <w:rFonts w:ascii="GHEA Grapalat" w:hAnsi="GHEA Grapalat"/>
          <w:bCs/>
          <w:sz w:val="24"/>
          <w:szCs w:val="24"/>
        </w:rPr>
        <w:t>.</w:t>
      </w:r>
      <w:r w:rsidRPr="00AA2713">
        <w:rPr>
          <w:rFonts w:ascii="GHEA Grapalat" w:hAnsi="GHEA Grapalat"/>
          <w:bCs/>
          <w:sz w:val="24"/>
          <w:szCs w:val="24"/>
        </w:rPr>
        <w:tab/>
      </w:r>
      <w:r w:rsidRPr="00AA2713">
        <w:rPr>
          <w:rFonts w:ascii="GHEA Grapalat" w:eastAsia="Times New Roman" w:hAnsi="GHEA Grapalat" w:cs="Times Armenian"/>
          <w:sz w:val="24"/>
          <w:szCs w:val="24"/>
          <w:lang w:eastAsia="ru-RU"/>
        </w:rPr>
        <w:t>Վճռաբեկ դատարանում</w:t>
      </w:r>
      <w:r w:rsidR="002C4385" w:rsidRPr="00AA2713">
        <w:rPr>
          <w:rFonts w:ascii="GHEA Grapalat" w:hAnsi="GHEA Grapalat" w:cs="Times New Roman"/>
          <w:color w:val="000000"/>
          <w:sz w:val="24"/>
          <w:szCs w:val="24"/>
        </w:rPr>
        <w:t xml:space="preserve"> </w:t>
      </w:r>
      <w:r w:rsidR="002C4385" w:rsidRPr="00AA2713">
        <w:rPr>
          <w:rFonts w:ascii="GHEA Grapalat" w:hAnsi="GHEA Grapalat"/>
          <w:color w:val="000000"/>
          <w:sz w:val="24"/>
          <w:szCs w:val="24"/>
        </w:rPr>
        <w:t>դատավորի</w:t>
      </w:r>
      <w:r w:rsidR="00C741AA" w:rsidRPr="00C741AA">
        <w:rPr>
          <w:rFonts w:ascii="GHEA Grapalat" w:hAnsi="GHEA Grapalat"/>
          <w:color w:val="000000"/>
          <w:sz w:val="24"/>
          <w:szCs w:val="24"/>
        </w:rPr>
        <w:t xml:space="preserve"> </w:t>
      </w:r>
      <w:r w:rsidR="00C741AA" w:rsidRPr="00C741AA">
        <w:rPr>
          <w:rFonts w:ascii="GHEA Grapalat" w:hAnsi="GHEA Grapalat"/>
          <w:bCs/>
          <w:sz w:val="24"/>
          <w:szCs w:val="24"/>
        </w:rPr>
        <w:t>(այդ թվում՝ նախագահի և պալատի նախագահի)</w:t>
      </w:r>
      <w:r w:rsidR="002C4385" w:rsidRPr="00AA2713">
        <w:rPr>
          <w:rFonts w:ascii="GHEA Grapalat" w:hAnsi="GHEA Grapalat"/>
          <w:color w:val="000000"/>
          <w:sz w:val="24"/>
          <w:szCs w:val="24"/>
        </w:rPr>
        <w:t xml:space="preserve"> պաշտոն զբաղեցնելու պայման</w:t>
      </w:r>
      <w:r w:rsidRPr="00AA2713">
        <w:rPr>
          <w:rFonts w:ascii="GHEA Grapalat" w:hAnsi="GHEA Grapalat"/>
          <w:color w:val="000000"/>
          <w:sz w:val="24"/>
          <w:szCs w:val="24"/>
        </w:rPr>
        <w:t>ը ներառել հավելում վճարելու պայմանների ցանկում</w:t>
      </w:r>
      <w:r w:rsidR="002C4385" w:rsidRPr="00AA2713">
        <w:rPr>
          <w:rFonts w:ascii="GHEA Grapalat" w:hAnsi="GHEA Grapalat"/>
          <w:color w:val="000000"/>
          <w:sz w:val="24"/>
          <w:szCs w:val="24"/>
        </w:rPr>
        <w:t>,</w:t>
      </w:r>
      <w:r w:rsidR="00820866" w:rsidRPr="00AA2713">
        <w:rPr>
          <w:rFonts w:ascii="GHEA Grapalat" w:hAnsi="GHEA Grapalat"/>
          <w:bCs/>
          <w:sz w:val="24"/>
          <w:szCs w:val="24"/>
        </w:rPr>
        <w:t xml:space="preserve"> </w:t>
      </w:r>
      <w:r w:rsidR="002C4385" w:rsidRPr="00AA2713">
        <w:rPr>
          <w:rFonts w:ascii="GHEA Grapalat" w:hAnsi="GHEA Grapalat"/>
          <w:bCs/>
          <w:sz w:val="24"/>
          <w:szCs w:val="24"/>
        </w:rPr>
        <w:t xml:space="preserve">և </w:t>
      </w:r>
      <w:r w:rsidR="00D546E1">
        <w:rPr>
          <w:rFonts w:ascii="GHEA Grapalat" w:hAnsi="GHEA Grapalat"/>
          <w:bCs/>
          <w:sz w:val="24"/>
          <w:szCs w:val="24"/>
        </w:rPr>
        <w:t>Վճռաբեկ դատարանի դատավորների</w:t>
      </w:r>
      <w:r w:rsidR="00C741AA" w:rsidRPr="00C741AA">
        <w:rPr>
          <w:rFonts w:ascii="GHEA Grapalat" w:hAnsi="GHEA Grapalat"/>
          <w:bCs/>
          <w:sz w:val="24"/>
          <w:szCs w:val="24"/>
        </w:rPr>
        <w:t xml:space="preserve"> (այդ թվում՝ նախագահի և պալատի նախագահի)</w:t>
      </w:r>
      <w:r w:rsidR="00D546E1">
        <w:rPr>
          <w:rFonts w:ascii="GHEA Grapalat" w:hAnsi="GHEA Grapalat"/>
          <w:bCs/>
          <w:sz w:val="24"/>
          <w:szCs w:val="24"/>
        </w:rPr>
        <w:t xml:space="preserve"> համար սահմանել պաշտոնային դրույքաչափի 50 տոկոսի չափով հավելում</w:t>
      </w:r>
      <w:r w:rsidR="00247952" w:rsidRPr="00247952">
        <w:rPr>
          <w:rFonts w:ascii="GHEA Grapalat" w:hAnsi="GHEA Grapalat"/>
          <w:bCs/>
          <w:sz w:val="24"/>
          <w:szCs w:val="24"/>
        </w:rPr>
        <w:t>.</w:t>
      </w:r>
    </w:p>
    <w:p w:rsidR="00247952" w:rsidRPr="00247952" w:rsidRDefault="00247952" w:rsidP="00E976C5">
      <w:pPr>
        <w:spacing w:after="0" w:line="360" w:lineRule="auto"/>
        <w:ind w:firstLine="567"/>
        <w:contextualSpacing/>
        <w:jc w:val="both"/>
        <w:rPr>
          <w:rFonts w:ascii="GHEA Grapalat" w:hAnsi="GHEA Grapalat"/>
          <w:bCs/>
          <w:sz w:val="24"/>
          <w:szCs w:val="24"/>
        </w:rPr>
      </w:pPr>
      <w:r w:rsidRPr="00247952">
        <w:rPr>
          <w:rFonts w:ascii="GHEA Grapalat" w:hAnsi="GHEA Grapalat"/>
          <w:bCs/>
          <w:sz w:val="24"/>
          <w:szCs w:val="24"/>
        </w:rPr>
        <w:t xml:space="preserve">3. եթե </w:t>
      </w:r>
      <w:r w:rsidRPr="00247952">
        <w:rPr>
          <w:rFonts w:ascii="GHEA Grapalat" w:hAnsi="GHEA Grapalat"/>
          <w:sz w:val="24"/>
          <w:szCs w:val="24"/>
        </w:rPr>
        <w:t>դատավորի համար</w:t>
      </w:r>
      <w:r w:rsidRPr="00247952">
        <w:rPr>
          <w:rFonts w:ascii="GHEA Grapalat" w:hAnsi="GHEA Grapalat"/>
          <w:bCs/>
          <w:sz w:val="24"/>
          <w:szCs w:val="24"/>
        </w:rPr>
        <w:t xml:space="preserve"> Օրենքով սահմանված հավելավճարի չափը գերազանցում է պաշտոնային դրույքաչափի 30 տոկոսը, ապա նրա կենսաթոշակի հաշվարկի մեջ ընդգրկվում է հավելավճարի գումարի 30 տոկոսը:</w:t>
      </w:r>
    </w:p>
    <w:p w:rsidR="001A4A66" w:rsidRPr="00AA2713" w:rsidRDefault="001A4A66" w:rsidP="00F73564">
      <w:pPr>
        <w:spacing w:after="0" w:line="360" w:lineRule="auto"/>
        <w:ind w:firstLine="567"/>
        <w:contextualSpacing/>
        <w:jc w:val="both"/>
        <w:rPr>
          <w:rFonts w:ascii="GHEA Grapalat" w:hAnsi="GHEA Grapalat"/>
          <w:b/>
          <w:bCs/>
          <w:sz w:val="24"/>
          <w:szCs w:val="24"/>
        </w:rPr>
      </w:pPr>
    </w:p>
    <w:p w:rsidR="00F73564" w:rsidRPr="003439A1" w:rsidRDefault="00D546E1" w:rsidP="00F73564">
      <w:pPr>
        <w:spacing w:after="0" w:line="360" w:lineRule="auto"/>
        <w:ind w:firstLine="567"/>
        <w:contextualSpacing/>
        <w:jc w:val="both"/>
        <w:rPr>
          <w:rFonts w:ascii="GHEA Grapalat" w:hAnsi="GHEA Grapalat"/>
          <w:b/>
          <w:bCs/>
          <w:iCs/>
          <w:sz w:val="24"/>
          <w:szCs w:val="24"/>
        </w:rPr>
      </w:pPr>
      <w:r>
        <w:rPr>
          <w:rFonts w:ascii="GHEA Grapalat" w:hAnsi="GHEA Grapalat"/>
          <w:b/>
          <w:bCs/>
          <w:sz w:val="24"/>
          <w:szCs w:val="24"/>
        </w:rPr>
        <w:lastRenderedPageBreak/>
        <w:t>Նախագծ</w:t>
      </w:r>
      <w:r w:rsidR="00247952">
        <w:rPr>
          <w:rFonts w:ascii="GHEA Grapalat" w:hAnsi="GHEA Grapalat"/>
          <w:b/>
          <w:bCs/>
          <w:sz w:val="24"/>
          <w:szCs w:val="24"/>
          <w:lang w:val="ru-RU"/>
        </w:rPr>
        <w:t>եր</w:t>
      </w:r>
      <w:r>
        <w:rPr>
          <w:rFonts w:ascii="GHEA Grapalat" w:hAnsi="GHEA Grapalat"/>
          <w:b/>
          <w:bCs/>
          <w:sz w:val="24"/>
          <w:szCs w:val="24"/>
        </w:rPr>
        <w:t xml:space="preserve">ի ընդունման կապակցությամբ ֆինանսական միջոցների անհրաժեշտության և պետական բյուջեի եկամուտներում և ծախսերում </w:t>
      </w:r>
      <w:r>
        <w:rPr>
          <w:rFonts w:ascii="GHEA Grapalat" w:hAnsi="GHEA Grapalat"/>
          <w:b/>
          <w:bCs/>
          <w:sz w:val="24"/>
          <w:szCs w:val="24"/>
        </w:rPr>
        <w:t>սպասվելիք փոփոխությունների մասին</w:t>
      </w:r>
    </w:p>
    <w:p w:rsidR="00501989" w:rsidRPr="004327A4" w:rsidRDefault="00501989" w:rsidP="00501989">
      <w:pPr>
        <w:spacing w:after="0" w:line="360" w:lineRule="auto"/>
        <w:ind w:firstLine="567"/>
        <w:contextualSpacing/>
        <w:jc w:val="both"/>
        <w:rPr>
          <w:iCs/>
          <w:sz w:val="24"/>
          <w:szCs w:val="24"/>
        </w:rPr>
      </w:pPr>
      <w:r>
        <w:rPr>
          <w:rFonts w:ascii="GHEA Grapalat" w:hAnsi="GHEA Grapalat"/>
          <w:iCs/>
          <w:sz w:val="24"/>
          <w:szCs w:val="24"/>
        </w:rPr>
        <w:t>Ընդհանուր առմամբ, նախագծ</w:t>
      </w:r>
      <w:r w:rsidR="00247952" w:rsidRPr="00247952">
        <w:rPr>
          <w:rFonts w:ascii="GHEA Grapalat" w:hAnsi="GHEA Grapalat"/>
          <w:iCs/>
          <w:sz w:val="24"/>
          <w:szCs w:val="24"/>
        </w:rPr>
        <w:t>եր</w:t>
      </w:r>
      <w:r>
        <w:rPr>
          <w:rFonts w:ascii="GHEA Grapalat" w:hAnsi="GHEA Grapalat"/>
          <w:iCs/>
          <w:sz w:val="24"/>
          <w:szCs w:val="24"/>
        </w:rPr>
        <w:t xml:space="preserve">ի ընդունմամբ տարեկան կտրվածքով ակնկալվում է պետական բյուջեից </w:t>
      </w:r>
      <w:r w:rsidRPr="004327A4">
        <w:rPr>
          <w:rFonts w:ascii="GHEA Grapalat" w:hAnsi="GHEA Grapalat"/>
          <w:iCs/>
          <w:sz w:val="24"/>
          <w:szCs w:val="24"/>
        </w:rPr>
        <w:t>շուրջ 283.0 մլն դրամի լրացուցիչ միջոցների հատկացման անհրաժեշտության, որից Սահմանադրական դատարանի մասով շուրջ 86.0 մլն դրամ և Վճռաբեկ դատարանի մասով շուրջ 197.0 մլն դրամ</w:t>
      </w:r>
      <w:r>
        <w:rPr>
          <w:iCs/>
          <w:sz w:val="24"/>
          <w:szCs w:val="24"/>
        </w:rPr>
        <w:t>։</w:t>
      </w:r>
      <w:bookmarkStart w:id="0" w:name="_GoBack"/>
      <w:bookmarkEnd w:id="0"/>
    </w:p>
    <w:p w:rsidR="001A4A66" w:rsidRPr="00AA2713" w:rsidRDefault="001A4A66" w:rsidP="00F73564">
      <w:pPr>
        <w:spacing w:after="0" w:line="360" w:lineRule="auto"/>
        <w:ind w:firstLine="567"/>
        <w:contextualSpacing/>
        <w:jc w:val="both"/>
        <w:rPr>
          <w:rFonts w:ascii="GHEA Grapalat" w:hAnsi="GHEA Grapalat"/>
          <w:b/>
          <w:bCs/>
          <w:sz w:val="24"/>
          <w:szCs w:val="24"/>
        </w:rPr>
      </w:pPr>
    </w:p>
    <w:p w:rsidR="00F73564" w:rsidRPr="003439A1" w:rsidRDefault="00F73564" w:rsidP="00F73564">
      <w:pPr>
        <w:spacing w:after="0" w:line="360" w:lineRule="auto"/>
        <w:ind w:firstLine="567"/>
        <w:contextualSpacing/>
        <w:jc w:val="both"/>
        <w:rPr>
          <w:rFonts w:ascii="GHEA Grapalat" w:hAnsi="GHEA Grapalat"/>
          <w:b/>
          <w:bCs/>
          <w:sz w:val="24"/>
          <w:szCs w:val="24"/>
        </w:rPr>
      </w:pPr>
      <w:r w:rsidRPr="00AA2713">
        <w:rPr>
          <w:rFonts w:ascii="GHEA Grapalat" w:hAnsi="GHEA Grapalat"/>
          <w:b/>
          <w:bCs/>
          <w:sz w:val="24"/>
          <w:szCs w:val="24"/>
        </w:rPr>
        <w:t>Նախագծ</w:t>
      </w:r>
      <w:r w:rsidR="00247952" w:rsidRPr="00247952">
        <w:rPr>
          <w:rFonts w:ascii="GHEA Grapalat" w:hAnsi="GHEA Grapalat"/>
          <w:b/>
          <w:bCs/>
          <w:sz w:val="24"/>
          <w:szCs w:val="24"/>
        </w:rPr>
        <w:t>եր</w:t>
      </w:r>
      <w:r w:rsidRPr="00AA2713">
        <w:rPr>
          <w:rFonts w:ascii="GHEA Grapalat" w:hAnsi="GHEA Grapalat"/>
          <w:b/>
          <w:bCs/>
          <w:sz w:val="24"/>
          <w:szCs w:val="24"/>
        </w:rPr>
        <w:t xml:space="preserve">ի մշակման գործընթացում ներգրավված ինստիտուտները և </w:t>
      </w:r>
      <w:r w:rsidR="00D546E1">
        <w:rPr>
          <w:rFonts w:ascii="GHEA Grapalat" w:hAnsi="GHEA Grapalat"/>
          <w:b/>
          <w:bCs/>
          <w:sz w:val="24"/>
          <w:szCs w:val="24"/>
        </w:rPr>
        <w:t>անձինք</w:t>
      </w:r>
    </w:p>
    <w:p w:rsidR="009E1A19" w:rsidRPr="00AA2713" w:rsidRDefault="00247952" w:rsidP="00D43D7B">
      <w:pPr>
        <w:spacing w:after="0" w:line="360" w:lineRule="auto"/>
        <w:ind w:firstLine="567"/>
        <w:contextualSpacing/>
        <w:jc w:val="both"/>
        <w:rPr>
          <w:rFonts w:ascii="GHEA Grapalat" w:hAnsi="GHEA Grapalat"/>
          <w:bCs/>
          <w:sz w:val="24"/>
          <w:szCs w:val="24"/>
        </w:rPr>
      </w:pPr>
      <w:r>
        <w:rPr>
          <w:rFonts w:ascii="GHEA Grapalat" w:hAnsi="GHEA Grapalat"/>
          <w:bCs/>
          <w:sz w:val="24"/>
          <w:szCs w:val="24"/>
        </w:rPr>
        <w:t>Նախագ</w:t>
      </w:r>
      <w:r w:rsidR="00D546E1">
        <w:rPr>
          <w:rFonts w:ascii="GHEA Grapalat" w:hAnsi="GHEA Grapalat"/>
          <w:bCs/>
          <w:sz w:val="24"/>
          <w:szCs w:val="24"/>
        </w:rPr>
        <w:t>ծ</w:t>
      </w:r>
      <w:r w:rsidRPr="00247952">
        <w:rPr>
          <w:rFonts w:ascii="GHEA Grapalat" w:hAnsi="GHEA Grapalat"/>
          <w:bCs/>
          <w:sz w:val="24"/>
          <w:szCs w:val="24"/>
        </w:rPr>
        <w:t>եր</w:t>
      </w:r>
      <w:r w:rsidR="00D546E1">
        <w:rPr>
          <w:rFonts w:ascii="GHEA Grapalat" w:hAnsi="GHEA Grapalat"/>
          <w:bCs/>
          <w:sz w:val="24"/>
          <w:szCs w:val="24"/>
        </w:rPr>
        <w:t xml:space="preserve">ը մշակվել </w:t>
      </w:r>
      <w:r w:rsidRPr="00247952">
        <w:rPr>
          <w:rFonts w:ascii="GHEA Grapalat" w:hAnsi="GHEA Grapalat"/>
          <w:bCs/>
          <w:sz w:val="24"/>
          <w:szCs w:val="24"/>
        </w:rPr>
        <w:t>են</w:t>
      </w:r>
      <w:r w:rsidR="00D546E1">
        <w:rPr>
          <w:rFonts w:ascii="GHEA Grapalat" w:hAnsi="GHEA Grapalat"/>
          <w:bCs/>
          <w:sz w:val="24"/>
          <w:szCs w:val="24"/>
        </w:rPr>
        <w:t xml:space="preserve"> Հայաստանի Հանրապետության արդարադատության նախարարության կողմից:</w:t>
      </w:r>
    </w:p>
    <w:p w:rsidR="00D77E32" w:rsidRPr="003439A1" w:rsidRDefault="00D77E32" w:rsidP="00F73564">
      <w:pPr>
        <w:spacing w:after="0" w:line="360" w:lineRule="auto"/>
        <w:ind w:firstLine="567"/>
        <w:contextualSpacing/>
        <w:jc w:val="both"/>
        <w:rPr>
          <w:rFonts w:ascii="GHEA Grapalat" w:hAnsi="GHEA Grapalat"/>
          <w:b/>
          <w:bCs/>
          <w:sz w:val="24"/>
          <w:szCs w:val="24"/>
        </w:rPr>
      </w:pPr>
    </w:p>
    <w:p w:rsidR="0049775E" w:rsidRPr="00AA2713" w:rsidRDefault="0049775E" w:rsidP="0049775E">
      <w:pPr>
        <w:spacing w:after="200" w:line="360" w:lineRule="auto"/>
        <w:ind w:firstLine="567"/>
        <w:contextualSpacing/>
        <w:jc w:val="both"/>
        <w:rPr>
          <w:rFonts w:ascii="GHEA Grapalat" w:hAnsi="GHEA Grapalat"/>
          <w:b/>
          <w:bCs/>
          <w:sz w:val="24"/>
          <w:szCs w:val="24"/>
        </w:rPr>
      </w:pPr>
      <w:r w:rsidRPr="00AA2713">
        <w:rPr>
          <w:rFonts w:ascii="GHEA Grapalat" w:hAnsi="GHEA Grapalat"/>
          <w:b/>
          <w:bCs/>
          <w:sz w:val="24"/>
          <w:szCs w:val="24"/>
        </w:rPr>
        <w:t>Կապը ռազմավարական փաստաթղթերի հետ. Հայաստանի վերափոխման ռազմավարություն 2050, Կառավարության 2021-2026թթ. ծրագիր, «Հայաստանի Հանրապետության դատական և իրավական բարեփոխումների 2019-2023 թվականների ռազմավարություն և դրանից բխող գործողությունների ծրագիր</w:t>
      </w:r>
    </w:p>
    <w:p w:rsidR="0049775E" w:rsidRPr="00AA2713" w:rsidRDefault="0049775E" w:rsidP="0049775E">
      <w:pPr>
        <w:spacing w:after="200" w:line="360" w:lineRule="auto"/>
        <w:ind w:firstLine="567"/>
        <w:contextualSpacing/>
        <w:jc w:val="both"/>
        <w:rPr>
          <w:rFonts w:ascii="GHEA Grapalat" w:hAnsi="GHEA Grapalat"/>
          <w:sz w:val="24"/>
          <w:szCs w:val="24"/>
        </w:rPr>
      </w:pPr>
      <w:r w:rsidRPr="00AA2713">
        <w:rPr>
          <w:rFonts w:ascii="GHEA Grapalat" w:hAnsi="GHEA Grapalat"/>
          <w:sz w:val="24"/>
          <w:szCs w:val="24"/>
        </w:rPr>
        <w:t>Հայաստանի Հանրապետության կառավարության 2019 թվականի հոկտեմբերի 10-ի «Հայաստանի Հանրապետության դատական և իրավական բարեփոխումների 2019-2023 թվականների ռազմավարությունը և դրանից բխող գործողությունների ծրագրերը հաստատելու մասին» N 1441-Ն որոշման Հավելված 1-ով սահմանվել է միջոցառում՝ ուղղված դատավորի աշխատավարձի և դրա նկատմամբ սահմանված հավելավճարների բարձրացման օրենսդրական փոփոխություններ իրականացնելուն:</w:t>
      </w:r>
    </w:p>
    <w:p w:rsidR="0049775E" w:rsidRPr="003439A1" w:rsidRDefault="0049775E" w:rsidP="0049775E">
      <w:pPr>
        <w:spacing w:after="200" w:line="360" w:lineRule="auto"/>
        <w:ind w:firstLine="567"/>
        <w:contextualSpacing/>
        <w:jc w:val="both"/>
        <w:rPr>
          <w:rFonts w:ascii="GHEA Grapalat" w:hAnsi="GHEA Grapalat"/>
          <w:sz w:val="24"/>
          <w:szCs w:val="24"/>
        </w:rPr>
      </w:pPr>
      <w:r w:rsidRPr="00AA2713">
        <w:rPr>
          <w:rFonts w:ascii="GHEA Grapalat" w:hAnsi="GHEA Grapalat"/>
          <w:sz w:val="24"/>
          <w:szCs w:val="24"/>
        </w:rPr>
        <w:lastRenderedPageBreak/>
        <w:t>Միաժամանակ, Հայաստանի Հանրապետության կառավարության 2019 թվականի հոկտեմբերի 3-ի «Հայաստանի Հանրապետության հակակոռուպցիոն ռազմավարությունը և դրա իրականացման 2019-2022 թվականների միջոցառումների ծրագիրը հաստատելու մասին» N 1332-Ն որոշման միջոցառումների ծրագրի 12-րդ կետով նախատեսվում է պետական պաշտոններ և պետական ծառայության պաշտոններ զբաղեցնող անձանց վարձատրության համակարգի բարեփոխմանն ուղղված միջոցառում:</w:t>
      </w:r>
    </w:p>
    <w:p w:rsidR="00D77E32" w:rsidRPr="00AA2713" w:rsidRDefault="00D77E32" w:rsidP="00F73564">
      <w:pPr>
        <w:spacing w:after="0" w:line="360" w:lineRule="auto"/>
        <w:ind w:firstLine="567"/>
        <w:contextualSpacing/>
        <w:jc w:val="both"/>
        <w:rPr>
          <w:rFonts w:ascii="GHEA Grapalat" w:hAnsi="GHEA Grapalat"/>
          <w:b/>
          <w:bCs/>
          <w:sz w:val="24"/>
          <w:szCs w:val="24"/>
        </w:rPr>
      </w:pPr>
    </w:p>
    <w:p w:rsidR="00F73564" w:rsidRPr="003439A1" w:rsidRDefault="00D546E1" w:rsidP="00F73564">
      <w:pPr>
        <w:spacing w:after="0" w:line="360" w:lineRule="auto"/>
        <w:ind w:firstLine="567"/>
        <w:contextualSpacing/>
        <w:jc w:val="both"/>
        <w:rPr>
          <w:rFonts w:ascii="GHEA Grapalat" w:hAnsi="GHEA Grapalat"/>
          <w:b/>
          <w:bCs/>
          <w:sz w:val="24"/>
          <w:szCs w:val="24"/>
        </w:rPr>
      </w:pPr>
      <w:r>
        <w:rPr>
          <w:rFonts w:ascii="GHEA Grapalat" w:hAnsi="GHEA Grapalat"/>
          <w:b/>
          <w:bCs/>
          <w:sz w:val="24"/>
          <w:szCs w:val="24"/>
        </w:rPr>
        <w:t>Ակնկալվող արդյունքը</w:t>
      </w:r>
    </w:p>
    <w:p w:rsidR="00500619" w:rsidRPr="003439A1" w:rsidRDefault="00D546E1" w:rsidP="004D1711">
      <w:pPr>
        <w:spacing w:after="0" w:line="360" w:lineRule="auto"/>
        <w:ind w:firstLine="567"/>
        <w:contextualSpacing/>
        <w:jc w:val="both"/>
        <w:rPr>
          <w:rFonts w:ascii="GHEA Grapalat" w:hAnsi="GHEA Grapalat"/>
          <w:bCs/>
          <w:sz w:val="24"/>
          <w:szCs w:val="24"/>
        </w:rPr>
      </w:pPr>
      <w:r>
        <w:rPr>
          <w:rFonts w:ascii="GHEA Grapalat" w:hAnsi="GHEA Grapalat"/>
          <w:bCs/>
          <w:sz w:val="24"/>
          <w:szCs w:val="24"/>
        </w:rPr>
        <w:t>Նախագծ</w:t>
      </w:r>
      <w:r w:rsidR="00247952" w:rsidRPr="00247952">
        <w:rPr>
          <w:rFonts w:ascii="GHEA Grapalat" w:hAnsi="GHEA Grapalat"/>
          <w:bCs/>
          <w:sz w:val="24"/>
          <w:szCs w:val="24"/>
        </w:rPr>
        <w:t>եր</w:t>
      </w:r>
      <w:r>
        <w:rPr>
          <w:rFonts w:ascii="GHEA Grapalat" w:hAnsi="GHEA Grapalat"/>
          <w:bCs/>
          <w:sz w:val="24"/>
          <w:szCs w:val="24"/>
        </w:rPr>
        <w:t xml:space="preserve">ի ընդունմամբ ակնկալվում է Սահմանադրական դատարանի դատավորի, փոխնախագահի և նախագահի հավելավճարը սահմանել </w:t>
      </w:r>
      <w:r w:rsidR="00427294" w:rsidRPr="00AA2713">
        <w:rPr>
          <w:rFonts w:ascii="GHEA Grapalat" w:hAnsi="GHEA Grapalat"/>
          <w:bCs/>
          <w:sz w:val="24"/>
          <w:szCs w:val="24"/>
        </w:rPr>
        <w:t>80</w:t>
      </w:r>
      <w:r w:rsidR="0031521C" w:rsidRPr="0031521C">
        <w:rPr>
          <w:rFonts w:ascii="GHEA Grapalat" w:hAnsi="GHEA Grapalat"/>
          <w:bCs/>
          <w:sz w:val="24"/>
          <w:szCs w:val="24"/>
        </w:rPr>
        <w:t xml:space="preserve"> տոկոսի</w:t>
      </w:r>
      <w:r w:rsidR="00427294" w:rsidRPr="00AA2713">
        <w:rPr>
          <w:rFonts w:ascii="GHEA Grapalat" w:hAnsi="GHEA Grapalat"/>
          <w:bCs/>
          <w:sz w:val="24"/>
          <w:szCs w:val="24"/>
        </w:rPr>
        <w:t xml:space="preserve"> չափով, իսկ </w:t>
      </w:r>
      <w:r w:rsidR="00486EDD" w:rsidRPr="00AA2713">
        <w:rPr>
          <w:rFonts w:ascii="GHEA Grapalat" w:hAnsi="GHEA Grapalat"/>
          <w:bCs/>
          <w:sz w:val="24"/>
          <w:szCs w:val="24"/>
        </w:rPr>
        <w:t>Վճռաբեկ</w:t>
      </w:r>
      <w:r w:rsidR="00FD39A0" w:rsidRPr="00AA2713">
        <w:rPr>
          <w:rFonts w:ascii="GHEA Grapalat" w:hAnsi="GHEA Grapalat"/>
          <w:bCs/>
          <w:sz w:val="24"/>
          <w:szCs w:val="24"/>
        </w:rPr>
        <w:t xml:space="preserve"> </w:t>
      </w:r>
      <w:r w:rsidR="00486EDD" w:rsidRPr="00AA2713">
        <w:rPr>
          <w:rFonts w:ascii="GHEA Grapalat" w:hAnsi="GHEA Grapalat"/>
          <w:bCs/>
          <w:sz w:val="24"/>
          <w:szCs w:val="24"/>
        </w:rPr>
        <w:t>դատարանի դատավորների</w:t>
      </w:r>
      <w:r w:rsidR="00C741AA" w:rsidRPr="00C741AA">
        <w:rPr>
          <w:rFonts w:ascii="GHEA Grapalat" w:hAnsi="GHEA Grapalat"/>
          <w:bCs/>
          <w:sz w:val="24"/>
          <w:szCs w:val="24"/>
        </w:rPr>
        <w:t xml:space="preserve"> (այդ թվում՝ նախագահի և պալատի նախագահի)</w:t>
      </w:r>
      <w:r w:rsidR="00486EDD" w:rsidRPr="00AA2713">
        <w:rPr>
          <w:rFonts w:ascii="GHEA Grapalat" w:hAnsi="GHEA Grapalat"/>
          <w:bCs/>
          <w:sz w:val="24"/>
          <w:szCs w:val="24"/>
        </w:rPr>
        <w:t xml:space="preserve"> </w:t>
      </w:r>
      <w:r w:rsidR="00B07266" w:rsidRPr="00AA2713">
        <w:rPr>
          <w:rFonts w:ascii="GHEA Grapalat" w:hAnsi="GHEA Grapalat"/>
          <w:bCs/>
          <w:sz w:val="24"/>
          <w:szCs w:val="24"/>
        </w:rPr>
        <w:t>համար սահմանել պաշտոնային</w:t>
      </w:r>
      <w:r>
        <w:rPr>
          <w:rFonts w:ascii="GHEA Grapalat" w:hAnsi="GHEA Grapalat"/>
          <w:bCs/>
          <w:sz w:val="24"/>
          <w:szCs w:val="24"/>
        </w:rPr>
        <w:t xml:space="preserve"> դրույքաչափի 50 տոկոսի չափով հավելում որպես Սահմանադրության 164 հոդվածի 10-րդ մասով նախատեսված նրանց բարձր կարգավիճակին և պատասխանատվությանը համա</w:t>
      </w:r>
      <w:r w:rsidR="0031521C" w:rsidRPr="0031521C">
        <w:rPr>
          <w:rFonts w:ascii="GHEA Grapalat" w:hAnsi="GHEA Grapalat"/>
          <w:bCs/>
          <w:sz w:val="24"/>
          <w:szCs w:val="24"/>
        </w:rPr>
        <w:t>պատասխան</w:t>
      </w:r>
      <w:r w:rsidR="00427294" w:rsidRPr="00AA2713">
        <w:rPr>
          <w:rFonts w:ascii="GHEA Grapalat" w:hAnsi="GHEA Grapalat"/>
          <w:bCs/>
          <w:sz w:val="24"/>
          <w:szCs w:val="24"/>
        </w:rPr>
        <w:t xml:space="preserve"> վարձատրություն։</w:t>
      </w:r>
    </w:p>
    <w:sectPr w:rsidR="00500619" w:rsidRPr="003439A1" w:rsidSect="0047535C">
      <w:headerReference w:type="default" r:id="rId8"/>
      <w:footerReference w:type="default" r:id="rId9"/>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BFF5346" w15:done="0"/>
  <w15:commentEx w15:paraId="58A7A97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A807C3" w16cex:dateUtc="2022-02-04T16: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80B6F5B" w16cid:durableId="25A807C3"/>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44A4" w:rsidRDefault="004744A4" w:rsidP="003D1550">
      <w:pPr>
        <w:spacing w:after="0" w:line="240" w:lineRule="auto"/>
      </w:pPr>
      <w:r>
        <w:separator/>
      </w:r>
    </w:p>
  </w:endnote>
  <w:endnote w:type="continuationSeparator" w:id="0">
    <w:p w:rsidR="004744A4" w:rsidRDefault="004744A4" w:rsidP="003D15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1"/>
    <w:family w:val="roman"/>
    <w:notTrueType/>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2517497"/>
      <w:docPartObj>
        <w:docPartGallery w:val="Page Numbers (Bottom of Page)"/>
        <w:docPartUnique/>
      </w:docPartObj>
    </w:sdtPr>
    <w:sdtEndPr>
      <w:rPr>
        <w:noProof/>
      </w:rPr>
    </w:sdtEndPr>
    <w:sdtContent>
      <w:p w:rsidR="0000603C" w:rsidRDefault="00723DE8">
        <w:pPr>
          <w:pStyle w:val="Footer"/>
          <w:jc w:val="center"/>
        </w:pPr>
        <w:r>
          <w:fldChar w:fldCharType="begin"/>
        </w:r>
        <w:r w:rsidR="0076454E">
          <w:instrText xml:space="preserve"> PAGE   \* MERGEFORMAT </w:instrText>
        </w:r>
        <w:r>
          <w:fldChar w:fldCharType="separate"/>
        </w:r>
        <w:r w:rsidR="00247952">
          <w:rPr>
            <w:noProof/>
          </w:rPr>
          <w:t>15</w:t>
        </w:r>
        <w:r>
          <w:rPr>
            <w:noProof/>
          </w:rPr>
          <w:fldChar w:fldCharType="end"/>
        </w:r>
      </w:p>
    </w:sdtContent>
  </w:sdt>
  <w:p w:rsidR="0000603C" w:rsidRDefault="0000603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44A4" w:rsidRDefault="004744A4" w:rsidP="003D1550">
      <w:pPr>
        <w:spacing w:after="0" w:line="240" w:lineRule="auto"/>
      </w:pPr>
      <w:r>
        <w:separator/>
      </w:r>
    </w:p>
  </w:footnote>
  <w:footnote w:type="continuationSeparator" w:id="0">
    <w:p w:rsidR="004744A4" w:rsidRDefault="004744A4" w:rsidP="003D1550">
      <w:pPr>
        <w:spacing w:after="0" w:line="240" w:lineRule="auto"/>
      </w:pPr>
      <w:r>
        <w:continuationSeparator/>
      </w:r>
    </w:p>
  </w:footnote>
  <w:footnote w:id="1">
    <w:p w:rsidR="0000603C" w:rsidRPr="001D5441" w:rsidRDefault="0000603C" w:rsidP="005B4354">
      <w:pPr>
        <w:pStyle w:val="FootnoteText"/>
      </w:pPr>
      <w:r>
        <w:rPr>
          <w:rStyle w:val="FootnoteReference"/>
        </w:rPr>
        <w:footnoteRef/>
      </w:r>
      <w:r>
        <w:rPr>
          <w:lang w:val="ru-RU"/>
        </w:rPr>
        <w:t xml:space="preserve"> Սահմանադրական դատարանի</w:t>
      </w:r>
      <w:r w:rsidRPr="001D5441">
        <w:rPr>
          <w:lang w:val="ru-RU"/>
        </w:rPr>
        <w:t xml:space="preserve">  2022 թվականի փետրվարի 1</w:t>
      </w:r>
      <w:r>
        <w:rPr>
          <w:lang w:val="ru-RU"/>
        </w:rPr>
        <w:t xml:space="preserve">-ի </w:t>
      </w:r>
      <w:r w:rsidRPr="001D5441">
        <w:rPr>
          <w:lang w:val="ru-RU"/>
        </w:rPr>
        <w:t>ՍԴՈ-1628</w:t>
      </w:r>
      <w:r>
        <w:rPr>
          <w:lang w:val="ru-RU"/>
        </w:rPr>
        <w:t xml:space="preserve"> որոշումը:</w:t>
      </w:r>
    </w:p>
  </w:footnote>
  <w:footnote w:id="2">
    <w:p w:rsidR="0000603C" w:rsidRPr="002A1BE6" w:rsidRDefault="0000603C" w:rsidP="0054099A">
      <w:pPr>
        <w:pStyle w:val="FootnoteText"/>
        <w:jc w:val="both"/>
        <w:rPr>
          <w:lang w:val="hy-AM"/>
        </w:rPr>
      </w:pPr>
      <w:r>
        <w:rPr>
          <w:rStyle w:val="FootnoteReference"/>
        </w:rPr>
        <w:footnoteRef/>
      </w:r>
      <w:r>
        <w:t xml:space="preserve"> </w:t>
      </w:r>
      <w:r>
        <w:rPr>
          <w:lang w:val="hy-AM"/>
        </w:rPr>
        <w:t xml:space="preserve">Տե՛ս </w:t>
      </w:r>
      <w:r>
        <w:t>“R</w:t>
      </w:r>
      <w:r w:rsidRPr="002A1BE6">
        <w:rPr>
          <w:lang w:val="hy-AM"/>
        </w:rPr>
        <w:t>eport on the independen</w:t>
      </w:r>
      <w:r>
        <w:rPr>
          <w:lang w:val="hy-AM"/>
        </w:rPr>
        <w:t>ce of the judicial system</w:t>
      </w:r>
      <w:r>
        <w:t>:</w:t>
      </w:r>
      <w:r>
        <w:rPr>
          <w:lang w:val="hy-AM"/>
        </w:rPr>
        <w:t xml:space="preserve"> part </w:t>
      </w:r>
      <w:r>
        <w:t>I</w:t>
      </w:r>
      <w:r>
        <w:rPr>
          <w:lang w:val="hy-AM"/>
        </w:rPr>
        <w:t xml:space="preserve">: </w:t>
      </w:r>
      <w:r>
        <w:t>T</w:t>
      </w:r>
      <w:r w:rsidRPr="002A1BE6">
        <w:rPr>
          <w:lang w:val="hy-AM"/>
        </w:rPr>
        <w:t>he independence of judges</w:t>
      </w:r>
      <w:r>
        <w:t>”</w:t>
      </w:r>
      <w:r>
        <w:rPr>
          <w:lang w:val="hy-AM"/>
        </w:rPr>
        <w:t xml:space="preserve"> </w:t>
      </w:r>
      <w:r w:rsidRPr="0054099A">
        <w:rPr>
          <w:lang w:val="hy-AM"/>
        </w:rPr>
        <w:t>Strasbourg, 16 March 2010</w:t>
      </w:r>
      <w:r>
        <w:t xml:space="preserve">, </w:t>
      </w:r>
      <w:r w:rsidRPr="0054099A">
        <w:rPr>
          <w:lang w:val="hy-AM"/>
        </w:rPr>
        <w:t>CDL-AD(2010)004</w:t>
      </w:r>
      <w:r>
        <w:t>, p. 10.</w:t>
      </w:r>
      <w:r w:rsidRPr="0054099A">
        <w:rPr>
          <w:lang w:val="hy-AM"/>
        </w:rPr>
        <w:t xml:space="preserve"> </w:t>
      </w:r>
      <w:r>
        <w:rPr>
          <w:lang w:val="hy-AM"/>
        </w:rPr>
        <w:t xml:space="preserve"> </w:t>
      </w:r>
      <w:hyperlink r:id="rId1" w:history="1">
        <w:r w:rsidRPr="003B7E9E">
          <w:rPr>
            <w:rStyle w:val="Hyperlink"/>
            <w:lang w:val="hy-AM"/>
          </w:rPr>
          <w:t>https://rm.coe.int/1680700a63</w:t>
        </w:r>
      </w:hyperlink>
      <w:r>
        <w:rPr>
          <w:lang w:val="hy-AM"/>
        </w:rPr>
        <w:t xml:space="preserve"> </w:t>
      </w:r>
    </w:p>
  </w:footnote>
  <w:footnote w:id="3">
    <w:p w:rsidR="0000603C" w:rsidRDefault="0000603C" w:rsidP="00EF1981">
      <w:pPr>
        <w:pStyle w:val="FootnoteText"/>
        <w:jc w:val="both"/>
        <w:rPr>
          <w:lang w:val="hy-AM"/>
        </w:rPr>
      </w:pPr>
      <w:r>
        <w:rPr>
          <w:rStyle w:val="FootnoteReference"/>
        </w:rPr>
        <w:footnoteRef/>
      </w:r>
      <w:r w:rsidRPr="00A373E1">
        <w:rPr>
          <w:lang w:val="hy-AM"/>
        </w:rPr>
        <w:t xml:space="preserve"> </w:t>
      </w:r>
      <w:r>
        <w:rPr>
          <w:lang w:val="hy-AM"/>
        </w:rPr>
        <w:t xml:space="preserve">Տե՛ս </w:t>
      </w:r>
      <w:r>
        <w:t>“C</w:t>
      </w:r>
      <w:r w:rsidRPr="00A373E1">
        <w:rPr>
          <w:lang w:val="hy-AM"/>
        </w:rPr>
        <w:t>ompilation of venice commission opinions and reports concerning courts and judges</w:t>
      </w:r>
      <w:r>
        <w:t xml:space="preserve">” </w:t>
      </w:r>
      <w:r w:rsidRPr="00EF1981">
        <w:rPr>
          <w:lang w:val="hy-AM"/>
        </w:rPr>
        <w:t>Strasbourg, 11 December 2019</w:t>
      </w:r>
      <w:r>
        <w:t xml:space="preserve">, </w:t>
      </w:r>
      <w:r w:rsidRPr="00EF1981">
        <w:rPr>
          <w:lang w:val="hy-AM"/>
        </w:rPr>
        <w:t>CDL-PI(2019)008</w:t>
      </w:r>
      <w:r>
        <w:t>, p. 66.</w:t>
      </w:r>
      <w:r>
        <w:rPr>
          <w:lang w:val="hy-AM"/>
        </w:rPr>
        <w:t xml:space="preserve"> </w:t>
      </w:r>
      <w:hyperlink r:id="rId2" w:history="1">
        <w:r w:rsidRPr="003B7E9E">
          <w:rPr>
            <w:rStyle w:val="Hyperlink"/>
            <w:lang w:val="hy-AM"/>
          </w:rPr>
          <w:t>https://www.venice.coe.int/webforms/documents/?pdf=CDL-PI(2019)008-e</w:t>
        </w:r>
      </w:hyperlink>
    </w:p>
    <w:p w:rsidR="0000603C" w:rsidRPr="00A373E1" w:rsidRDefault="0000603C" w:rsidP="00EF1981">
      <w:pPr>
        <w:pStyle w:val="FootnoteText"/>
        <w:jc w:val="both"/>
        <w:rPr>
          <w:lang w:val="hy-AM"/>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03C" w:rsidRPr="000A3033" w:rsidRDefault="0000603C" w:rsidP="003D1550">
    <w:pPr>
      <w:pBdr>
        <w:left w:val="single" w:sz="18" w:space="4" w:color="FF0000"/>
      </w:pBdr>
      <w:tabs>
        <w:tab w:val="center" w:pos="4320"/>
        <w:tab w:val="right" w:pos="8640"/>
      </w:tabs>
      <w:spacing w:after="0" w:line="240" w:lineRule="auto"/>
      <w:ind w:left="-180"/>
      <w:rPr>
        <w:rFonts w:ascii="Sylfaen" w:eastAsia="SimSun" w:hAnsi="Sylfaen" w:cs="Arial"/>
        <w:color w:val="FF0000"/>
      </w:rPr>
    </w:pPr>
    <w:r w:rsidRPr="000A3033">
      <w:rPr>
        <w:rFonts w:ascii="Calibri" w:eastAsia="Calibri" w:hAnsi="Calibri" w:cs="Times New Roman"/>
        <w:noProof/>
        <w:lang w:val="en-US"/>
      </w:rPr>
      <w:drawing>
        <wp:anchor distT="0" distB="0" distL="114300" distR="114300" simplePos="0" relativeHeight="251659264" behindDoc="1" locked="0" layoutInCell="1" allowOverlap="1">
          <wp:simplePos x="0" y="0"/>
          <wp:positionH relativeFrom="column">
            <wp:posOffset>-685800</wp:posOffset>
          </wp:positionH>
          <wp:positionV relativeFrom="paragraph">
            <wp:posOffset>-8890</wp:posOffset>
          </wp:positionV>
          <wp:extent cx="457200" cy="444500"/>
          <wp:effectExtent l="0" t="0" r="0" b="0"/>
          <wp:wrapNone/>
          <wp:docPr id="7"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444500"/>
                  </a:xfrm>
                  <a:prstGeom prst="rect">
                    <a:avLst/>
                  </a:prstGeom>
                  <a:noFill/>
                </pic:spPr>
              </pic:pic>
            </a:graphicData>
          </a:graphic>
        </wp:anchor>
      </w:drawing>
    </w:r>
    <w:r w:rsidRPr="000A3033">
      <w:rPr>
        <w:rFonts w:ascii="GHEA Grapalat" w:eastAsia="SimSun" w:hAnsi="GHEA Grapalat" w:cs="Arial"/>
        <w:sz w:val="24"/>
      </w:rPr>
      <w:t>Արդարադատության</w:t>
    </w:r>
    <w:r>
      <w:rPr>
        <w:rFonts w:ascii="GHEA Grapalat" w:eastAsia="SimSun" w:hAnsi="GHEA Grapalat" w:cs="Arial"/>
        <w:sz w:val="24"/>
      </w:rPr>
      <w:tab/>
    </w:r>
    <w:r>
      <w:rPr>
        <w:rFonts w:ascii="GHEA Grapalat" w:eastAsia="SimSun" w:hAnsi="GHEA Grapalat" w:cs="Arial"/>
        <w:sz w:val="24"/>
      </w:rPr>
      <w:tab/>
    </w:r>
    <w:r w:rsidRPr="000A3033">
      <w:rPr>
        <w:rFonts w:ascii="GHEA Grapalat" w:eastAsia="SimSun" w:hAnsi="GHEA Grapalat" w:cs="Arial"/>
        <w:sz w:val="24"/>
        <w:szCs w:val="24"/>
      </w:rPr>
      <w:t>ՆԱԽԱԳԻԾ</w:t>
    </w:r>
  </w:p>
  <w:p w:rsidR="0000603C" w:rsidRPr="000A3033" w:rsidRDefault="0000603C" w:rsidP="003D1550">
    <w:pPr>
      <w:pBdr>
        <w:left w:val="single" w:sz="18" w:space="4" w:color="0000FF"/>
      </w:pBdr>
      <w:tabs>
        <w:tab w:val="center" w:pos="4320"/>
        <w:tab w:val="right" w:pos="8640"/>
      </w:tabs>
      <w:spacing w:after="0" w:line="240" w:lineRule="auto"/>
      <w:ind w:left="-180"/>
      <w:rPr>
        <w:rFonts w:ascii="GHEA Grapalat" w:eastAsia="SimSun" w:hAnsi="GHEA Grapalat" w:cs="Arial"/>
      </w:rPr>
    </w:pPr>
    <w:r w:rsidRPr="000A3033">
      <w:rPr>
        <w:rFonts w:ascii="GHEA Grapalat" w:eastAsia="SimSun" w:hAnsi="GHEA Grapalat" w:cs="Arial"/>
        <w:sz w:val="24"/>
        <w:szCs w:val="24"/>
      </w:rPr>
      <w:t>Նախարարություն</w:t>
    </w:r>
  </w:p>
  <w:p w:rsidR="0000603C" w:rsidRPr="000A3033" w:rsidRDefault="0000603C" w:rsidP="003D1550">
    <w:pPr>
      <w:pBdr>
        <w:left w:val="single" w:sz="18" w:space="4" w:color="FF6600"/>
      </w:pBdr>
      <w:tabs>
        <w:tab w:val="center" w:pos="4320"/>
        <w:tab w:val="right" w:pos="8640"/>
      </w:tabs>
      <w:spacing w:after="0" w:line="240" w:lineRule="auto"/>
      <w:ind w:left="-180"/>
      <w:rPr>
        <w:rFonts w:ascii="Art" w:eastAsia="SimSun" w:hAnsi="Art" w:cs="Arial"/>
      </w:rPr>
    </w:pPr>
  </w:p>
  <w:p w:rsidR="0000603C" w:rsidRPr="000A3033" w:rsidRDefault="0000603C" w:rsidP="003D1550">
    <w:pPr>
      <w:tabs>
        <w:tab w:val="center" w:pos="4320"/>
        <w:tab w:val="right" w:pos="8640"/>
      </w:tabs>
      <w:spacing w:after="0" w:line="240" w:lineRule="auto"/>
      <w:ind w:left="-907"/>
      <w:rPr>
        <w:rFonts w:ascii="Sylfaen" w:eastAsia="SimSun" w:hAnsi="Sylfaen" w:cs="Arial"/>
        <w:sz w:val="18"/>
        <w:szCs w:val="18"/>
      </w:rPr>
    </w:pPr>
  </w:p>
  <w:p w:rsidR="0000603C" w:rsidRDefault="0000603C" w:rsidP="003D1550">
    <w:pPr>
      <w:pStyle w:val="Header"/>
    </w:pPr>
  </w:p>
  <w:p w:rsidR="0000603C" w:rsidRDefault="0000603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3F7791"/>
    <w:multiLevelType w:val="hybridMultilevel"/>
    <w:tmpl w:val="5150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74533B"/>
    <w:multiLevelType w:val="hybridMultilevel"/>
    <w:tmpl w:val="A850B3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6937236"/>
    <w:multiLevelType w:val="hybridMultilevel"/>
    <w:tmpl w:val="AD6489EA"/>
    <w:lvl w:ilvl="0" w:tplc="0C090001">
      <w:start w:val="1"/>
      <w:numFmt w:val="bullet"/>
      <w:lvlText w:val=""/>
      <w:lvlJc w:val="left"/>
      <w:pPr>
        <w:ind w:left="1287" w:hanging="360"/>
      </w:pPr>
      <w:rPr>
        <w:rFonts w:ascii="Symbol" w:hAnsi="Symbol" w:hint="default"/>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
    <w:nsid w:val="435725E5"/>
    <w:multiLevelType w:val="hybridMultilevel"/>
    <w:tmpl w:val="347E34BC"/>
    <w:lvl w:ilvl="0" w:tplc="777652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43AC4F5D"/>
    <w:multiLevelType w:val="hybridMultilevel"/>
    <w:tmpl w:val="B54214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5E00674"/>
    <w:multiLevelType w:val="hybridMultilevel"/>
    <w:tmpl w:val="39469CEE"/>
    <w:lvl w:ilvl="0" w:tplc="906C110C">
      <w:start w:val="2"/>
      <w:numFmt w:val="bullet"/>
      <w:lvlText w:val="-"/>
      <w:lvlJc w:val="left"/>
      <w:pPr>
        <w:ind w:left="927" w:hanging="360"/>
      </w:pPr>
      <w:rPr>
        <w:rFonts w:ascii="GHEA Grapalat" w:eastAsiaTheme="minorHAnsi"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69F65116"/>
    <w:multiLevelType w:val="hybridMultilevel"/>
    <w:tmpl w:val="CB0E873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6"/>
  </w:num>
  <w:num w:numId="2">
    <w:abstractNumId w:val="2"/>
  </w:num>
  <w:num w:numId="3">
    <w:abstractNumId w:val="4"/>
  </w:num>
  <w:num w:numId="4">
    <w:abstractNumId w:val="0"/>
  </w:num>
  <w:num w:numId="5">
    <w:abstractNumId w:val="1"/>
  </w:num>
  <w:num w:numId="6">
    <w:abstractNumId w:val="3"/>
  </w:num>
  <w:num w:numId="7">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account">
    <w15:presenceInfo w15:providerId="Windows Live" w15:userId="514977a665aa10c3"/>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141"/>
  <w:characterSpacingControl w:val="doNotCompress"/>
  <w:footnotePr>
    <w:footnote w:id="-1"/>
    <w:footnote w:id="0"/>
  </w:footnotePr>
  <w:endnotePr>
    <w:endnote w:id="-1"/>
    <w:endnote w:id="0"/>
  </w:endnotePr>
  <w:compat/>
  <w:rsids>
    <w:rsidRoot w:val="00C60099"/>
    <w:rsid w:val="0000043A"/>
    <w:rsid w:val="000027DC"/>
    <w:rsid w:val="0000603C"/>
    <w:rsid w:val="00022BA1"/>
    <w:rsid w:val="00023F00"/>
    <w:rsid w:val="00030227"/>
    <w:rsid w:val="00037EFC"/>
    <w:rsid w:val="00054564"/>
    <w:rsid w:val="00060E6E"/>
    <w:rsid w:val="00071BFA"/>
    <w:rsid w:val="00071E12"/>
    <w:rsid w:val="0007243F"/>
    <w:rsid w:val="00076128"/>
    <w:rsid w:val="000901FC"/>
    <w:rsid w:val="00095BD1"/>
    <w:rsid w:val="00097761"/>
    <w:rsid w:val="000A1525"/>
    <w:rsid w:val="000A2D04"/>
    <w:rsid w:val="000B3F95"/>
    <w:rsid w:val="000C4928"/>
    <w:rsid w:val="000D2112"/>
    <w:rsid w:val="000D7F20"/>
    <w:rsid w:val="000E29CA"/>
    <w:rsid w:val="000F015D"/>
    <w:rsid w:val="000F1844"/>
    <w:rsid w:val="000F3365"/>
    <w:rsid w:val="000F36BB"/>
    <w:rsid w:val="000F7C80"/>
    <w:rsid w:val="001246A7"/>
    <w:rsid w:val="001261EE"/>
    <w:rsid w:val="0013339A"/>
    <w:rsid w:val="00135198"/>
    <w:rsid w:val="00146D76"/>
    <w:rsid w:val="00150DD5"/>
    <w:rsid w:val="00154308"/>
    <w:rsid w:val="00154DBE"/>
    <w:rsid w:val="001566BD"/>
    <w:rsid w:val="0016002F"/>
    <w:rsid w:val="00161990"/>
    <w:rsid w:val="001624A7"/>
    <w:rsid w:val="00164705"/>
    <w:rsid w:val="00165D81"/>
    <w:rsid w:val="0016651C"/>
    <w:rsid w:val="00173AE6"/>
    <w:rsid w:val="0018216E"/>
    <w:rsid w:val="00182746"/>
    <w:rsid w:val="00182F8C"/>
    <w:rsid w:val="00183E39"/>
    <w:rsid w:val="0019090A"/>
    <w:rsid w:val="001912DA"/>
    <w:rsid w:val="00194995"/>
    <w:rsid w:val="001A0B40"/>
    <w:rsid w:val="001A1F3F"/>
    <w:rsid w:val="001A4A66"/>
    <w:rsid w:val="001B7978"/>
    <w:rsid w:val="001C46C4"/>
    <w:rsid w:val="001C4B16"/>
    <w:rsid w:val="001C6718"/>
    <w:rsid w:val="001D393B"/>
    <w:rsid w:val="001D5441"/>
    <w:rsid w:val="001E6772"/>
    <w:rsid w:val="001F0006"/>
    <w:rsid w:val="001F3E47"/>
    <w:rsid w:val="00203460"/>
    <w:rsid w:val="0021069E"/>
    <w:rsid w:val="00213799"/>
    <w:rsid w:val="002167A4"/>
    <w:rsid w:val="00221985"/>
    <w:rsid w:val="00227478"/>
    <w:rsid w:val="00235430"/>
    <w:rsid w:val="00237976"/>
    <w:rsid w:val="00240300"/>
    <w:rsid w:val="00241BC7"/>
    <w:rsid w:val="002433B9"/>
    <w:rsid w:val="00245C5C"/>
    <w:rsid w:val="00247952"/>
    <w:rsid w:val="002513C1"/>
    <w:rsid w:val="00255055"/>
    <w:rsid w:val="0028153D"/>
    <w:rsid w:val="0028515C"/>
    <w:rsid w:val="0028645A"/>
    <w:rsid w:val="00291BC0"/>
    <w:rsid w:val="002963DF"/>
    <w:rsid w:val="002A0174"/>
    <w:rsid w:val="002A1821"/>
    <w:rsid w:val="002A1BE6"/>
    <w:rsid w:val="002B22B6"/>
    <w:rsid w:val="002C1F69"/>
    <w:rsid w:val="002C4385"/>
    <w:rsid w:val="002D39F9"/>
    <w:rsid w:val="002E21F1"/>
    <w:rsid w:val="002E6BE0"/>
    <w:rsid w:val="002E7CD6"/>
    <w:rsid w:val="002F1907"/>
    <w:rsid w:val="002F551A"/>
    <w:rsid w:val="002F69F8"/>
    <w:rsid w:val="002F7F8F"/>
    <w:rsid w:val="00303611"/>
    <w:rsid w:val="00305856"/>
    <w:rsid w:val="00306163"/>
    <w:rsid w:val="00313BDF"/>
    <w:rsid w:val="0031521C"/>
    <w:rsid w:val="00320B0A"/>
    <w:rsid w:val="0034373A"/>
    <w:rsid w:val="003439A1"/>
    <w:rsid w:val="003458E0"/>
    <w:rsid w:val="00351A58"/>
    <w:rsid w:val="00357252"/>
    <w:rsid w:val="00361A09"/>
    <w:rsid w:val="00364D15"/>
    <w:rsid w:val="00370604"/>
    <w:rsid w:val="00371BBB"/>
    <w:rsid w:val="003726E1"/>
    <w:rsid w:val="00375A4F"/>
    <w:rsid w:val="00375F5F"/>
    <w:rsid w:val="0038081B"/>
    <w:rsid w:val="00382C18"/>
    <w:rsid w:val="003840CA"/>
    <w:rsid w:val="00387F07"/>
    <w:rsid w:val="003A3FF8"/>
    <w:rsid w:val="003B1197"/>
    <w:rsid w:val="003B57F5"/>
    <w:rsid w:val="003C4854"/>
    <w:rsid w:val="003C7722"/>
    <w:rsid w:val="003D1550"/>
    <w:rsid w:val="003D5B2C"/>
    <w:rsid w:val="003E4DA3"/>
    <w:rsid w:val="003E75B9"/>
    <w:rsid w:val="003F0F53"/>
    <w:rsid w:val="003F6095"/>
    <w:rsid w:val="00401459"/>
    <w:rsid w:val="00402AE5"/>
    <w:rsid w:val="004045CC"/>
    <w:rsid w:val="004131AF"/>
    <w:rsid w:val="00416B75"/>
    <w:rsid w:val="0042165A"/>
    <w:rsid w:val="00422F02"/>
    <w:rsid w:val="00426561"/>
    <w:rsid w:val="00427294"/>
    <w:rsid w:val="0043259F"/>
    <w:rsid w:val="004327A4"/>
    <w:rsid w:val="00437D7A"/>
    <w:rsid w:val="004407F6"/>
    <w:rsid w:val="00445368"/>
    <w:rsid w:val="0044621B"/>
    <w:rsid w:val="004512F9"/>
    <w:rsid w:val="00453BA5"/>
    <w:rsid w:val="004578CA"/>
    <w:rsid w:val="00463FE9"/>
    <w:rsid w:val="004744A4"/>
    <w:rsid w:val="0047535C"/>
    <w:rsid w:val="004764F4"/>
    <w:rsid w:val="004813DF"/>
    <w:rsid w:val="00483C27"/>
    <w:rsid w:val="00486EDD"/>
    <w:rsid w:val="0049219A"/>
    <w:rsid w:val="00495C8E"/>
    <w:rsid w:val="0049775E"/>
    <w:rsid w:val="0049795C"/>
    <w:rsid w:val="004A23F9"/>
    <w:rsid w:val="004A78B1"/>
    <w:rsid w:val="004B2115"/>
    <w:rsid w:val="004B3F04"/>
    <w:rsid w:val="004B5F9C"/>
    <w:rsid w:val="004B7E87"/>
    <w:rsid w:val="004C2F78"/>
    <w:rsid w:val="004C7345"/>
    <w:rsid w:val="004D06E0"/>
    <w:rsid w:val="004D1711"/>
    <w:rsid w:val="004D75A2"/>
    <w:rsid w:val="004E390F"/>
    <w:rsid w:val="004E44BB"/>
    <w:rsid w:val="004E7923"/>
    <w:rsid w:val="004F478F"/>
    <w:rsid w:val="00500619"/>
    <w:rsid w:val="00501989"/>
    <w:rsid w:val="00505EAC"/>
    <w:rsid w:val="00506869"/>
    <w:rsid w:val="005221BD"/>
    <w:rsid w:val="00524A1A"/>
    <w:rsid w:val="00530D6C"/>
    <w:rsid w:val="00533CD4"/>
    <w:rsid w:val="00536FFD"/>
    <w:rsid w:val="0054099A"/>
    <w:rsid w:val="005420CC"/>
    <w:rsid w:val="00545115"/>
    <w:rsid w:val="00547D56"/>
    <w:rsid w:val="005525CA"/>
    <w:rsid w:val="005558F7"/>
    <w:rsid w:val="00561A8D"/>
    <w:rsid w:val="00563F11"/>
    <w:rsid w:val="00564F82"/>
    <w:rsid w:val="00567D91"/>
    <w:rsid w:val="0057358D"/>
    <w:rsid w:val="00573B4F"/>
    <w:rsid w:val="00574E61"/>
    <w:rsid w:val="00577C07"/>
    <w:rsid w:val="005814A3"/>
    <w:rsid w:val="00591961"/>
    <w:rsid w:val="00595848"/>
    <w:rsid w:val="00597D46"/>
    <w:rsid w:val="005A0F14"/>
    <w:rsid w:val="005A145C"/>
    <w:rsid w:val="005A45E7"/>
    <w:rsid w:val="005A743F"/>
    <w:rsid w:val="005B3056"/>
    <w:rsid w:val="005B4354"/>
    <w:rsid w:val="005C142C"/>
    <w:rsid w:val="005C3E77"/>
    <w:rsid w:val="005C428A"/>
    <w:rsid w:val="005E7E2D"/>
    <w:rsid w:val="005F0664"/>
    <w:rsid w:val="005F50C7"/>
    <w:rsid w:val="00601046"/>
    <w:rsid w:val="006122CF"/>
    <w:rsid w:val="00612AC9"/>
    <w:rsid w:val="00626CA6"/>
    <w:rsid w:val="006273AD"/>
    <w:rsid w:val="00631DA3"/>
    <w:rsid w:val="006431E2"/>
    <w:rsid w:val="00643D31"/>
    <w:rsid w:val="0064728C"/>
    <w:rsid w:val="00651022"/>
    <w:rsid w:val="00656CC9"/>
    <w:rsid w:val="00660D3E"/>
    <w:rsid w:val="006626C9"/>
    <w:rsid w:val="0066538C"/>
    <w:rsid w:val="00665698"/>
    <w:rsid w:val="0066760C"/>
    <w:rsid w:val="00670EC6"/>
    <w:rsid w:val="00681052"/>
    <w:rsid w:val="0068152A"/>
    <w:rsid w:val="00687984"/>
    <w:rsid w:val="0069184F"/>
    <w:rsid w:val="00694E07"/>
    <w:rsid w:val="0069507B"/>
    <w:rsid w:val="006B5E6F"/>
    <w:rsid w:val="006C12FA"/>
    <w:rsid w:val="006C23F2"/>
    <w:rsid w:val="006C32AC"/>
    <w:rsid w:val="006D0053"/>
    <w:rsid w:val="006D60E2"/>
    <w:rsid w:val="006E0C9F"/>
    <w:rsid w:val="006E3BC0"/>
    <w:rsid w:val="006F2112"/>
    <w:rsid w:val="00700800"/>
    <w:rsid w:val="007039E3"/>
    <w:rsid w:val="0070493D"/>
    <w:rsid w:val="00704C6C"/>
    <w:rsid w:val="00705D4C"/>
    <w:rsid w:val="0071290E"/>
    <w:rsid w:val="00716377"/>
    <w:rsid w:val="00723DE8"/>
    <w:rsid w:val="0074699C"/>
    <w:rsid w:val="0075011B"/>
    <w:rsid w:val="00763B4A"/>
    <w:rsid w:val="0076454E"/>
    <w:rsid w:val="00770068"/>
    <w:rsid w:val="00774C65"/>
    <w:rsid w:val="00775760"/>
    <w:rsid w:val="00781FC4"/>
    <w:rsid w:val="007973F3"/>
    <w:rsid w:val="007A3828"/>
    <w:rsid w:val="007B4A63"/>
    <w:rsid w:val="007B67A7"/>
    <w:rsid w:val="007D58E5"/>
    <w:rsid w:val="007E4CC1"/>
    <w:rsid w:val="007F0054"/>
    <w:rsid w:val="007F1B71"/>
    <w:rsid w:val="007F29A7"/>
    <w:rsid w:val="007F4377"/>
    <w:rsid w:val="007F5BD8"/>
    <w:rsid w:val="008048ED"/>
    <w:rsid w:val="00805500"/>
    <w:rsid w:val="00812D57"/>
    <w:rsid w:val="00813FDC"/>
    <w:rsid w:val="00820866"/>
    <w:rsid w:val="0082150C"/>
    <w:rsid w:val="0082276C"/>
    <w:rsid w:val="008413E7"/>
    <w:rsid w:val="00845C43"/>
    <w:rsid w:val="008462E7"/>
    <w:rsid w:val="00854DEC"/>
    <w:rsid w:val="00871AE4"/>
    <w:rsid w:val="00874411"/>
    <w:rsid w:val="0088361A"/>
    <w:rsid w:val="008934B0"/>
    <w:rsid w:val="008A112E"/>
    <w:rsid w:val="008A2EC8"/>
    <w:rsid w:val="008B4062"/>
    <w:rsid w:val="008C50AF"/>
    <w:rsid w:val="008D48E6"/>
    <w:rsid w:val="008E3C21"/>
    <w:rsid w:val="008E7CFE"/>
    <w:rsid w:val="008F28BC"/>
    <w:rsid w:val="008F3EC9"/>
    <w:rsid w:val="008F6BB0"/>
    <w:rsid w:val="00901F51"/>
    <w:rsid w:val="00902D40"/>
    <w:rsid w:val="00907456"/>
    <w:rsid w:val="00911DE2"/>
    <w:rsid w:val="00915A80"/>
    <w:rsid w:val="00916075"/>
    <w:rsid w:val="00916C58"/>
    <w:rsid w:val="0092189B"/>
    <w:rsid w:val="00921E79"/>
    <w:rsid w:val="009239F7"/>
    <w:rsid w:val="00923EF4"/>
    <w:rsid w:val="009250C7"/>
    <w:rsid w:val="00927199"/>
    <w:rsid w:val="00945EDD"/>
    <w:rsid w:val="009520D6"/>
    <w:rsid w:val="00952726"/>
    <w:rsid w:val="00960104"/>
    <w:rsid w:val="00962FB1"/>
    <w:rsid w:val="00976EDC"/>
    <w:rsid w:val="009776A2"/>
    <w:rsid w:val="009807AA"/>
    <w:rsid w:val="00992000"/>
    <w:rsid w:val="009A6F21"/>
    <w:rsid w:val="009B35CB"/>
    <w:rsid w:val="009B5956"/>
    <w:rsid w:val="009B72F1"/>
    <w:rsid w:val="009B777E"/>
    <w:rsid w:val="009B7BB6"/>
    <w:rsid w:val="009C1DF3"/>
    <w:rsid w:val="009C1ECB"/>
    <w:rsid w:val="009C204D"/>
    <w:rsid w:val="009C5731"/>
    <w:rsid w:val="009D663A"/>
    <w:rsid w:val="009D7293"/>
    <w:rsid w:val="009E051A"/>
    <w:rsid w:val="009E1A19"/>
    <w:rsid w:val="009E2F09"/>
    <w:rsid w:val="009F0DDE"/>
    <w:rsid w:val="009F25BA"/>
    <w:rsid w:val="00A0180F"/>
    <w:rsid w:val="00A158B5"/>
    <w:rsid w:val="00A2591B"/>
    <w:rsid w:val="00A373E1"/>
    <w:rsid w:val="00A37441"/>
    <w:rsid w:val="00A418AF"/>
    <w:rsid w:val="00A437D7"/>
    <w:rsid w:val="00A450CD"/>
    <w:rsid w:val="00A50C18"/>
    <w:rsid w:val="00A55C44"/>
    <w:rsid w:val="00A571D3"/>
    <w:rsid w:val="00A57278"/>
    <w:rsid w:val="00A84795"/>
    <w:rsid w:val="00A85AB1"/>
    <w:rsid w:val="00A85FDD"/>
    <w:rsid w:val="00A92CE3"/>
    <w:rsid w:val="00A9433D"/>
    <w:rsid w:val="00AA0599"/>
    <w:rsid w:val="00AA08AE"/>
    <w:rsid w:val="00AA2713"/>
    <w:rsid w:val="00AB0B41"/>
    <w:rsid w:val="00AB3305"/>
    <w:rsid w:val="00AB40D1"/>
    <w:rsid w:val="00AC0F18"/>
    <w:rsid w:val="00AC4C4E"/>
    <w:rsid w:val="00AD6BB6"/>
    <w:rsid w:val="00AE1488"/>
    <w:rsid w:val="00AE5FC9"/>
    <w:rsid w:val="00AE7C0E"/>
    <w:rsid w:val="00AE7C63"/>
    <w:rsid w:val="00AF07CB"/>
    <w:rsid w:val="00AF3B0E"/>
    <w:rsid w:val="00AF4690"/>
    <w:rsid w:val="00B010A8"/>
    <w:rsid w:val="00B03D6C"/>
    <w:rsid w:val="00B059DC"/>
    <w:rsid w:val="00B07266"/>
    <w:rsid w:val="00B14478"/>
    <w:rsid w:val="00B1612B"/>
    <w:rsid w:val="00B23D7A"/>
    <w:rsid w:val="00B37391"/>
    <w:rsid w:val="00B513C0"/>
    <w:rsid w:val="00B51654"/>
    <w:rsid w:val="00B51FA7"/>
    <w:rsid w:val="00B5324E"/>
    <w:rsid w:val="00B53395"/>
    <w:rsid w:val="00B57859"/>
    <w:rsid w:val="00B628C1"/>
    <w:rsid w:val="00B63E76"/>
    <w:rsid w:val="00B64628"/>
    <w:rsid w:val="00B659E6"/>
    <w:rsid w:val="00B65BA2"/>
    <w:rsid w:val="00B66B08"/>
    <w:rsid w:val="00B71E4B"/>
    <w:rsid w:val="00B75EBE"/>
    <w:rsid w:val="00B75F25"/>
    <w:rsid w:val="00B805F5"/>
    <w:rsid w:val="00B8246A"/>
    <w:rsid w:val="00B94B68"/>
    <w:rsid w:val="00B957E9"/>
    <w:rsid w:val="00B971ED"/>
    <w:rsid w:val="00BA0400"/>
    <w:rsid w:val="00BA2348"/>
    <w:rsid w:val="00BA6894"/>
    <w:rsid w:val="00BB27DA"/>
    <w:rsid w:val="00BD1AFD"/>
    <w:rsid w:val="00BD45F8"/>
    <w:rsid w:val="00BE150A"/>
    <w:rsid w:val="00BE7841"/>
    <w:rsid w:val="00BF6DCE"/>
    <w:rsid w:val="00BF7779"/>
    <w:rsid w:val="00C0455A"/>
    <w:rsid w:val="00C26CB5"/>
    <w:rsid w:val="00C27B70"/>
    <w:rsid w:val="00C435F4"/>
    <w:rsid w:val="00C43950"/>
    <w:rsid w:val="00C46E3C"/>
    <w:rsid w:val="00C60099"/>
    <w:rsid w:val="00C626B8"/>
    <w:rsid w:val="00C64A1B"/>
    <w:rsid w:val="00C6741A"/>
    <w:rsid w:val="00C730D2"/>
    <w:rsid w:val="00C741AA"/>
    <w:rsid w:val="00C743AD"/>
    <w:rsid w:val="00C767A7"/>
    <w:rsid w:val="00C91914"/>
    <w:rsid w:val="00CA1F2D"/>
    <w:rsid w:val="00CB0641"/>
    <w:rsid w:val="00CB539A"/>
    <w:rsid w:val="00CC5405"/>
    <w:rsid w:val="00CE3A65"/>
    <w:rsid w:val="00D02FEC"/>
    <w:rsid w:val="00D109F5"/>
    <w:rsid w:val="00D14348"/>
    <w:rsid w:val="00D272AE"/>
    <w:rsid w:val="00D34B04"/>
    <w:rsid w:val="00D35B8A"/>
    <w:rsid w:val="00D43D7B"/>
    <w:rsid w:val="00D4763D"/>
    <w:rsid w:val="00D50F28"/>
    <w:rsid w:val="00D5447A"/>
    <w:rsid w:val="00D546E1"/>
    <w:rsid w:val="00D55FF8"/>
    <w:rsid w:val="00D61B8E"/>
    <w:rsid w:val="00D66BA1"/>
    <w:rsid w:val="00D71980"/>
    <w:rsid w:val="00D728A1"/>
    <w:rsid w:val="00D75717"/>
    <w:rsid w:val="00D75B6B"/>
    <w:rsid w:val="00D77E32"/>
    <w:rsid w:val="00D8656D"/>
    <w:rsid w:val="00D92157"/>
    <w:rsid w:val="00D959CD"/>
    <w:rsid w:val="00DA5C91"/>
    <w:rsid w:val="00DA68FE"/>
    <w:rsid w:val="00DB4072"/>
    <w:rsid w:val="00DC09F5"/>
    <w:rsid w:val="00DD1E06"/>
    <w:rsid w:val="00DE2BCD"/>
    <w:rsid w:val="00DE4D9E"/>
    <w:rsid w:val="00DE5DF3"/>
    <w:rsid w:val="00DF392C"/>
    <w:rsid w:val="00E0086C"/>
    <w:rsid w:val="00E03A26"/>
    <w:rsid w:val="00E04701"/>
    <w:rsid w:val="00E17736"/>
    <w:rsid w:val="00E21ADF"/>
    <w:rsid w:val="00E26787"/>
    <w:rsid w:val="00E26936"/>
    <w:rsid w:val="00E27975"/>
    <w:rsid w:val="00E3219B"/>
    <w:rsid w:val="00E34971"/>
    <w:rsid w:val="00E37F82"/>
    <w:rsid w:val="00E425DE"/>
    <w:rsid w:val="00E426C3"/>
    <w:rsid w:val="00E55458"/>
    <w:rsid w:val="00E64D5F"/>
    <w:rsid w:val="00E808D2"/>
    <w:rsid w:val="00E95169"/>
    <w:rsid w:val="00E95C44"/>
    <w:rsid w:val="00E96CE0"/>
    <w:rsid w:val="00E976C5"/>
    <w:rsid w:val="00EA557C"/>
    <w:rsid w:val="00EA7DA3"/>
    <w:rsid w:val="00EB35AF"/>
    <w:rsid w:val="00EC42DA"/>
    <w:rsid w:val="00ED0BF5"/>
    <w:rsid w:val="00ED11F5"/>
    <w:rsid w:val="00ED3659"/>
    <w:rsid w:val="00EF1981"/>
    <w:rsid w:val="00EF7647"/>
    <w:rsid w:val="00F014FB"/>
    <w:rsid w:val="00F023C8"/>
    <w:rsid w:val="00F11F81"/>
    <w:rsid w:val="00F138B1"/>
    <w:rsid w:val="00F138EF"/>
    <w:rsid w:val="00F1718F"/>
    <w:rsid w:val="00F22000"/>
    <w:rsid w:val="00F24853"/>
    <w:rsid w:val="00F25A33"/>
    <w:rsid w:val="00F35B40"/>
    <w:rsid w:val="00F408B0"/>
    <w:rsid w:val="00F513E0"/>
    <w:rsid w:val="00F52CA6"/>
    <w:rsid w:val="00F60621"/>
    <w:rsid w:val="00F62810"/>
    <w:rsid w:val="00F6680D"/>
    <w:rsid w:val="00F67CED"/>
    <w:rsid w:val="00F726B1"/>
    <w:rsid w:val="00F72B30"/>
    <w:rsid w:val="00F73564"/>
    <w:rsid w:val="00F76BA9"/>
    <w:rsid w:val="00F87750"/>
    <w:rsid w:val="00F92E03"/>
    <w:rsid w:val="00F94BA5"/>
    <w:rsid w:val="00FA212D"/>
    <w:rsid w:val="00FA2C8D"/>
    <w:rsid w:val="00FB11B0"/>
    <w:rsid w:val="00FB302C"/>
    <w:rsid w:val="00FB7BA5"/>
    <w:rsid w:val="00FC0843"/>
    <w:rsid w:val="00FC1168"/>
    <w:rsid w:val="00FC27D9"/>
    <w:rsid w:val="00FC3430"/>
    <w:rsid w:val="00FC347B"/>
    <w:rsid w:val="00FC3DE0"/>
    <w:rsid w:val="00FC7246"/>
    <w:rsid w:val="00FD3766"/>
    <w:rsid w:val="00FD39A0"/>
    <w:rsid w:val="00FD73A3"/>
    <w:rsid w:val="00FE2C0A"/>
    <w:rsid w:val="00FE40F0"/>
    <w:rsid w:val="00FE6020"/>
    <w:rsid w:val="00FF208A"/>
    <w:rsid w:val="00FF725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0619"/>
  </w:style>
  <w:style w:type="paragraph" w:styleId="Heading2">
    <w:name w:val="heading 2"/>
    <w:basedOn w:val="Normal"/>
    <w:next w:val="Normal"/>
    <w:link w:val="Heading2Char"/>
    <w:uiPriority w:val="9"/>
    <w:semiHidden/>
    <w:unhideWhenUsed/>
    <w:qFormat/>
    <w:rsid w:val="0060104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5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1550"/>
  </w:style>
  <w:style w:type="paragraph" w:styleId="Footer">
    <w:name w:val="footer"/>
    <w:basedOn w:val="Normal"/>
    <w:link w:val="FooterChar"/>
    <w:uiPriority w:val="99"/>
    <w:unhideWhenUsed/>
    <w:rsid w:val="003D15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1550"/>
  </w:style>
  <w:style w:type="paragraph" w:styleId="FootnoteText">
    <w:name w:val="footnote text"/>
    <w:basedOn w:val="Normal"/>
    <w:link w:val="FootnoteTextChar"/>
    <w:uiPriority w:val="99"/>
    <w:semiHidden/>
    <w:unhideWhenUsed/>
    <w:rsid w:val="00F62810"/>
    <w:pPr>
      <w:spacing w:after="0" w:line="240" w:lineRule="auto"/>
    </w:pPr>
    <w:rPr>
      <w:rFonts w:ascii="GHEA Grapalat" w:hAnsi="GHEA Grapalat" w:cs="Calibri Light"/>
      <w:color w:val="000000"/>
      <w:sz w:val="20"/>
      <w:szCs w:val="20"/>
      <w:lang w:val="en-US"/>
    </w:rPr>
  </w:style>
  <w:style w:type="character" w:customStyle="1" w:styleId="FootnoteTextChar">
    <w:name w:val="Footnote Text Char"/>
    <w:basedOn w:val="DefaultParagraphFont"/>
    <w:link w:val="FootnoteText"/>
    <w:uiPriority w:val="99"/>
    <w:semiHidden/>
    <w:rsid w:val="00F62810"/>
    <w:rPr>
      <w:rFonts w:ascii="GHEA Grapalat" w:hAnsi="GHEA Grapalat" w:cs="Calibri Light"/>
      <w:color w:val="000000"/>
      <w:sz w:val="20"/>
      <w:szCs w:val="20"/>
      <w:lang w:val="en-US"/>
    </w:rPr>
  </w:style>
  <w:style w:type="character" w:styleId="FootnoteReference">
    <w:name w:val="footnote reference"/>
    <w:basedOn w:val="DefaultParagraphFont"/>
    <w:uiPriority w:val="99"/>
    <w:semiHidden/>
    <w:unhideWhenUsed/>
    <w:rsid w:val="00F62810"/>
    <w:rPr>
      <w:vertAlign w:val="superscript"/>
    </w:rPr>
  </w:style>
  <w:style w:type="paragraph" w:styleId="Revision">
    <w:name w:val="Revision"/>
    <w:hidden/>
    <w:uiPriority w:val="99"/>
    <w:semiHidden/>
    <w:rsid w:val="000F36BB"/>
    <w:pPr>
      <w:spacing w:after="0" w:line="240" w:lineRule="auto"/>
    </w:pPr>
  </w:style>
  <w:style w:type="character" w:styleId="CommentReference">
    <w:name w:val="annotation reference"/>
    <w:basedOn w:val="DefaultParagraphFont"/>
    <w:uiPriority w:val="99"/>
    <w:semiHidden/>
    <w:unhideWhenUsed/>
    <w:rsid w:val="000F36BB"/>
    <w:rPr>
      <w:sz w:val="16"/>
      <w:szCs w:val="16"/>
    </w:rPr>
  </w:style>
  <w:style w:type="paragraph" w:styleId="CommentText">
    <w:name w:val="annotation text"/>
    <w:basedOn w:val="Normal"/>
    <w:link w:val="CommentTextChar"/>
    <w:uiPriority w:val="99"/>
    <w:unhideWhenUsed/>
    <w:rsid w:val="000F36BB"/>
    <w:pPr>
      <w:spacing w:line="240" w:lineRule="auto"/>
    </w:pPr>
    <w:rPr>
      <w:sz w:val="20"/>
      <w:szCs w:val="20"/>
    </w:rPr>
  </w:style>
  <w:style w:type="character" w:customStyle="1" w:styleId="CommentTextChar">
    <w:name w:val="Comment Text Char"/>
    <w:basedOn w:val="DefaultParagraphFont"/>
    <w:link w:val="CommentText"/>
    <w:uiPriority w:val="99"/>
    <w:rsid w:val="000F36BB"/>
    <w:rPr>
      <w:sz w:val="20"/>
      <w:szCs w:val="20"/>
    </w:rPr>
  </w:style>
  <w:style w:type="paragraph" w:styleId="CommentSubject">
    <w:name w:val="annotation subject"/>
    <w:basedOn w:val="CommentText"/>
    <w:next w:val="CommentText"/>
    <w:link w:val="CommentSubjectChar"/>
    <w:uiPriority w:val="99"/>
    <w:semiHidden/>
    <w:unhideWhenUsed/>
    <w:rsid w:val="000F36BB"/>
    <w:rPr>
      <w:b/>
      <w:bCs/>
    </w:rPr>
  </w:style>
  <w:style w:type="character" w:customStyle="1" w:styleId="CommentSubjectChar">
    <w:name w:val="Comment Subject Char"/>
    <w:basedOn w:val="CommentTextChar"/>
    <w:link w:val="CommentSubject"/>
    <w:uiPriority w:val="99"/>
    <w:semiHidden/>
    <w:rsid w:val="000F36BB"/>
    <w:rPr>
      <w:b/>
      <w:bCs/>
      <w:sz w:val="20"/>
      <w:szCs w:val="20"/>
    </w:rPr>
  </w:style>
  <w:style w:type="paragraph" w:styleId="BalloonText">
    <w:name w:val="Balloon Text"/>
    <w:basedOn w:val="Normal"/>
    <w:link w:val="BalloonTextChar"/>
    <w:uiPriority w:val="99"/>
    <w:semiHidden/>
    <w:unhideWhenUsed/>
    <w:rsid w:val="00382C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2C18"/>
    <w:rPr>
      <w:rFonts w:ascii="Segoe UI" w:hAnsi="Segoe UI" w:cs="Segoe UI"/>
      <w:sz w:val="18"/>
      <w:szCs w:val="18"/>
    </w:rPr>
  </w:style>
  <w:style w:type="character" w:customStyle="1" w:styleId="Heading2Char">
    <w:name w:val="Heading 2 Char"/>
    <w:basedOn w:val="DefaultParagraphFont"/>
    <w:link w:val="Heading2"/>
    <w:uiPriority w:val="9"/>
    <w:semiHidden/>
    <w:rsid w:val="00601046"/>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2A1BE6"/>
    <w:rPr>
      <w:color w:val="0000FF" w:themeColor="hyperlink"/>
      <w:u w:val="single"/>
    </w:rPr>
  </w:style>
  <w:style w:type="paragraph" w:styleId="ListParagraph">
    <w:name w:val="List Paragraph"/>
    <w:basedOn w:val="Normal"/>
    <w:uiPriority w:val="34"/>
    <w:qFormat/>
    <w:rsid w:val="0049219A"/>
    <w:pPr>
      <w:ind w:left="720"/>
      <w:contextualSpacing/>
    </w:pPr>
  </w:style>
  <w:style w:type="character" w:styleId="FollowedHyperlink">
    <w:name w:val="FollowedHyperlink"/>
    <w:basedOn w:val="DefaultParagraphFont"/>
    <w:uiPriority w:val="99"/>
    <w:semiHidden/>
    <w:unhideWhenUsed/>
    <w:rsid w:val="00F014FB"/>
    <w:rPr>
      <w:color w:val="800080" w:themeColor="followedHyperlink"/>
      <w:u w:val="single"/>
    </w:rPr>
  </w:style>
  <w:style w:type="paragraph" w:styleId="NormalWeb">
    <w:name w:val="Normal (Web)"/>
    <w:basedOn w:val="Normal"/>
    <w:uiPriority w:val="99"/>
    <w:unhideWhenUsed/>
    <w:rsid w:val="00BB27DA"/>
    <w:rPr>
      <w:rFonts w:ascii="Times New Roman" w:hAnsi="Times New Roman" w:cs="Times New Roman"/>
      <w:sz w:val="24"/>
      <w:szCs w:val="24"/>
    </w:rPr>
  </w:style>
  <w:style w:type="character" w:styleId="Strong">
    <w:name w:val="Strong"/>
    <w:basedOn w:val="DefaultParagraphFont"/>
    <w:uiPriority w:val="22"/>
    <w:qFormat/>
    <w:rsid w:val="0030361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370097">
      <w:bodyDiv w:val="1"/>
      <w:marLeft w:val="0"/>
      <w:marRight w:val="0"/>
      <w:marTop w:val="0"/>
      <w:marBottom w:val="0"/>
      <w:divBdr>
        <w:top w:val="none" w:sz="0" w:space="0" w:color="auto"/>
        <w:left w:val="none" w:sz="0" w:space="0" w:color="auto"/>
        <w:bottom w:val="none" w:sz="0" w:space="0" w:color="auto"/>
        <w:right w:val="none" w:sz="0" w:space="0" w:color="auto"/>
      </w:divBdr>
    </w:div>
    <w:div w:id="159389485">
      <w:bodyDiv w:val="1"/>
      <w:marLeft w:val="0"/>
      <w:marRight w:val="0"/>
      <w:marTop w:val="0"/>
      <w:marBottom w:val="0"/>
      <w:divBdr>
        <w:top w:val="none" w:sz="0" w:space="0" w:color="auto"/>
        <w:left w:val="none" w:sz="0" w:space="0" w:color="auto"/>
        <w:bottom w:val="none" w:sz="0" w:space="0" w:color="auto"/>
        <w:right w:val="none" w:sz="0" w:space="0" w:color="auto"/>
      </w:divBdr>
    </w:div>
    <w:div w:id="289748584">
      <w:bodyDiv w:val="1"/>
      <w:marLeft w:val="0"/>
      <w:marRight w:val="0"/>
      <w:marTop w:val="0"/>
      <w:marBottom w:val="0"/>
      <w:divBdr>
        <w:top w:val="none" w:sz="0" w:space="0" w:color="auto"/>
        <w:left w:val="none" w:sz="0" w:space="0" w:color="auto"/>
        <w:bottom w:val="none" w:sz="0" w:space="0" w:color="auto"/>
        <w:right w:val="none" w:sz="0" w:space="0" w:color="auto"/>
      </w:divBdr>
    </w:div>
    <w:div w:id="521674849">
      <w:bodyDiv w:val="1"/>
      <w:marLeft w:val="0"/>
      <w:marRight w:val="0"/>
      <w:marTop w:val="0"/>
      <w:marBottom w:val="0"/>
      <w:divBdr>
        <w:top w:val="none" w:sz="0" w:space="0" w:color="auto"/>
        <w:left w:val="none" w:sz="0" w:space="0" w:color="auto"/>
        <w:bottom w:val="none" w:sz="0" w:space="0" w:color="auto"/>
        <w:right w:val="none" w:sz="0" w:space="0" w:color="auto"/>
      </w:divBdr>
    </w:div>
    <w:div w:id="619725529">
      <w:bodyDiv w:val="1"/>
      <w:marLeft w:val="0"/>
      <w:marRight w:val="0"/>
      <w:marTop w:val="0"/>
      <w:marBottom w:val="0"/>
      <w:divBdr>
        <w:top w:val="none" w:sz="0" w:space="0" w:color="auto"/>
        <w:left w:val="none" w:sz="0" w:space="0" w:color="auto"/>
        <w:bottom w:val="none" w:sz="0" w:space="0" w:color="auto"/>
        <w:right w:val="none" w:sz="0" w:space="0" w:color="auto"/>
      </w:divBdr>
    </w:div>
    <w:div w:id="940912518">
      <w:bodyDiv w:val="1"/>
      <w:marLeft w:val="0"/>
      <w:marRight w:val="0"/>
      <w:marTop w:val="0"/>
      <w:marBottom w:val="0"/>
      <w:divBdr>
        <w:top w:val="none" w:sz="0" w:space="0" w:color="auto"/>
        <w:left w:val="none" w:sz="0" w:space="0" w:color="auto"/>
        <w:bottom w:val="none" w:sz="0" w:space="0" w:color="auto"/>
        <w:right w:val="none" w:sz="0" w:space="0" w:color="auto"/>
      </w:divBdr>
    </w:div>
    <w:div w:id="1303582711">
      <w:bodyDiv w:val="1"/>
      <w:marLeft w:val="0"/>
      <w:marRight w:val="0"/>
      <w:marTop w:val="0"/>
      <w:marBottom w:val="0"/>
      <w:divBdr>
        <w:top w:val="none" w:sz="0" w:space="0" w:color="auto"/>
        <w:left w:val="none" w:sz="0" w:space="0" w:color="auto"/>
        <w:bottom w:val="none" w:sz="0" w:space="0" w:color="auto"/>
        <w:right w:val="none" w:sz="0" w:space="0" w:color="auto"/>
      </w:divBdr>
    </w:div>
    <w:div w:id="1399550745">
      <w:bodyDiv w:val="1"/>
      <w:marLeft w:val="0"/>
      <w:marRight w:val="0"/>
      <w:marTop w:val="0"/>
      <w:marBottom w:val="0"/>
      <w:divBdr>
        <w:top w:val="none" w:sz="0" w:space="0" w:color="auto"/>
        <w:left w:val="none" w:sz="0" w:space="0" w:color="auto"/>
        <w:bottom w:val="none" w:sz="0" w:space="0" w:color="auto"/>
        <w:right w:val="none" w:sz="0" w:space="0" w:color="auto"/>
      </w:divBdr>
    </w:div>
    <w:div w:id="1532304443">
      <w:bodyDiv w:val="1"/>
      <w:marLeft w:val="0"/>
      <w:marRight w:val="0"/>
      <w:marTop w:val="0"/>
      <w:marBottom w:val="0"/>
      <w:divBdr>
        <w:top w:val="none" w:sz="0" w:space="0" w:color="auto"/>
        <w:left w:val="none" w:sz="0" w:space="0" w:color="auto"/>
        <w:bottom w:val="none" w:sz="0" w:space="0" w:color="auto"/>
        <w:right w:val="none" w:sz="0" w:space="0" w:color="auto"/>
      </w:divBdr>
    </w:div>
    <w:div w:id="1561285827">
      <w:bodyDiv w:val="1"/>
      <w:marLeft w:val="0"/>
      <w:marRight w:val="0"/>
      <w:marTop w:val="0"/>
      <w:marBottom w:val="0"/>
      <w:divBdr>
        <w:top w:val="none" w:sz="0" w:space="0" w:color="auto"/>
        <w:left w:val="none" w:sz="0" w:space="0" w:color="auto"/>
        <w:bottom w:val="none" w:sz="0" w:space="0" w:color="auto"/>
        <w:right w:val="none" w:sz="0" w:space="0" w:color="auto"/>
      </w:divBdr>
    </w:div>
    <w:div w:id="1741902125">
      <w:bodyDiv w:val="1"/>
      <w:marLeft w:val="0"/>
      <w:marRight w:val="0"/>
      <w:marTop w:val="0"/>
      <w:marBottom w:val="0"/>
      <w:divBdr>
        <w:top w:val="none" w:sz="0" w:space="0" w:color="auto"/>
        <w:left w:val="none" w:sz="0" w:space="0" w:color="auto"/>
        <w:bottom w:val="none" w:sz="0" w:space="0" w:color="auto"/>
        <w:right w:val="none" w:sz="0" w:space="0" w:color="auto"/>
      </w:divBdr>
    </w:div>
    <w:div w:id="2070759926">
      <w:bodyDiv w:val="1"/>
      <w:marLeft w:val="0"/>
      <w:marRight w:val="0"/>
      <w:marTop w:val="0"/>
      <w:marBottom w:val="0"/>
      <w:divBdr>
        <w:top w:val="none" w:sz="0" w:space="0" w:color="auto"/>
        <w:left w:val="none" w:sz="0" w:space="0" w:color="auto"/>
        <w:bottom w:val="none" w:sz="0" w:space="0" w:color="auto"/>
        <w:right w:val="none" w:sz="0" w:space="0" w:color="auto"/>
      </w:divBdr>
    </w:div>
    <w:div w:id="2146122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endnotes" Target="endnotes.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venice.coe.int/webforms/documents/?pdf=CDL-PI(2019)008-e" TargetMode="External"/><Relationship Id="rId1" Type="http://schemas.openxmlformats.org/officeDocument/2006/relationships/hyperlink" Target="https://rm.coe.int/1680700a6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96705-411A-487C-9870-AE2AF4606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16</Pages>
  <Words>3130</Words>
  <Characters>17844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Eprem Karapetyan</dc:creator>
  <cp:keywords>https:/mul2-moj.gov.am/tasks/341900/oneclick/Himnavorum.docx?token=3b9dbc4d3fa599e8cc33f8b8bf5a4851</cp:keywords>
  <cp:lastModifiedBy>Kristine Aleksanyan</cp:lastModifiedBy>
  <cp:revision>4</cp:revision>
  <dcterms:created xsi:type="dcterms:W3CDTF">2022-04-27T09:00:00Z</dcterms:created>
  <dcterms:modified xsi:type="dcterms:W3CDTF">2022-04-28T12:03:00Z</dcterms:modified>
</cp:coreProperties>
</file>