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3A5ACE" w:rsidRPr="000D7101" w:rsidRDefault="003A5ACE" w:rsidP="003A5ACE">
      <w:pPr>
        <w:widowControl w:val="0"/>
        <w:tabs>
          <w:tab w:val="left" w:pos="900"/>
          <w:tab w:val="left" w:pos="1080"/>
          <w:tab w:val="left" w:pos="117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0D7101">
        <w:rPr>
          <w:rFonts w:ascii="GHEA Grapalat" w:eastAsia="Calibri" w:hAnsi="GHEA Grapalat" w:cs="Sylfaen"/>
          <w:b/>
          <w:sz w:val="24"/>
          <w:szCs w:val="24"/>
          <w:lang w:eastAsia="ru-RU"/>
        </w:rPr>
        <w:t>«</w:t>
      </w:r>
      <w:r w:rsidRPr="000D7101">
        <w:rPr>
          <w:rFonts w:ascii="GHEA Grapalat" w:hAnsi="GHEA Grapalat"/>
          <w:b/>
          <w:sz w:val="24"/>
          <w:szCs w:val="24"/>
          <w:shd w:val="clear" w:color="auto" w:fill="FFFFFF"/>
        </w:rPr>
        <w:t>ՀԵՂՈՒԿ ՎԱՌԵԼԻՔԻ ՄԱՆՐԱԾԱԽ ԱՌԵՎՏՐԻ ԿԵՏԵՐՈՒՄ ՍՏՈՒԳԱՉԱՓՎԱԾ ՏԱՐԱՆԵՐԻՆ ՆԵՐԿԱՅԱՑՎՈՂ ՊԱՀԱՆՋՆԵՐԸ, ԴՐԱՆՑ ՏԵՂԱԴՐՄԱՆ ԵՎ ԿԻՐԱՌՄԱՆ ԿԱՐԳԸ ՀԱՍՏԱՏԵԼՈՒ ՄԱՍԻՆ</w:t>
      </w:r>
      <w:r w:rsidRPr="000D7101">
        <w:rPr>
          <w:rFonts w:ascii="GHEA Grapalat" w:eastAsia="Calibri" w:hAnsi="GHEA Grapalat" w:cs="Sylfaen"/>
          <w:b/>
          <w:sz w:val="24"/>
          <w:szCs w:val="24"/>
          <w:lang w:eastAsia="ru-RU"/>
        </w:rPr>
        <w:t xml:space="preserve">» 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240" w:lineRule="auto"/>
        <w:ind w:right="10" w:firstLine="72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sz w:val="24"/>
          <w:szCs w:val="24"/>
        </w:rPr>
        <w:t>ԿԱՌԱՎԱՐՈՒԹՅԱՆ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ՈՐՈՇՄԱՆ ՆԱԽԱԳԾԻ ԸՆԴՈՒՆՄԱՆ ՄԱՍԻՆ</w:t>
      </w:r>
    </w:p>
    <w:p w:rsidR="003A5ACE" w:rsidRPr="000D7101" w:rsidRDefault="003A5ACE" w:rsidP="003A5ACE">
      <w:pPr>
        <w:pStyle w:val="NormalWeb"/>
        <w:shd w:val="clear" w:color="auto" w:fill="FFFFFF"/>
        <w:tabs>
          <w:tab w:val="left" w:pos="900"/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</w:rPr>
      </w:pP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1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0D7101">
        <w:rPr>
          <w:rFonts w:ascii="GHEA Grapalat" w:eastAsia="Times New Roman" w:hAnsi="GHEA Grapalat" w:cs="GHEA Grapalat"/>
          <w:b/>
          <w:sz w:val="24"/>
          <w:szCs w:val="24"/>
        </w:rPr>
        <w:t>Անհրաժեշտությունը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3A5ACE" w:rsidRPr="000D7101" w:rsidRDefault="003A5ACE" w:rsidP="003A5AC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Calibri" w:hAnsi="GHEA Grapalat" w:cs="Sylfaen"/>
          <w:sz w:val="24"/>
          <w:szCs w:val="24"/>
        </w:rPr>
      </w:pPr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Սույն նախագծի մշակման անհրաժեշտությունը պայմանավորված է </w:t>
      </w:r>
      <w:r w:rsidRPr="000D7101">
        <w:rPr>
          <w:rFonts w:ascii="GHEA Grapalat" w:hAnsi="GHEA Grapalat" w:cs="Sylfaen"/>
          <w:sz w:val="24"/>
          <w:szCs w:val="24"/>
        </w:rPr>
        <w:t>«</w:t>
      </w:r>
      <w:r w:rsidRPr="000D7101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Pr="000D7101">
        <w:rPr>
          <w:rFonts w:ascii="GHEA Grapalat" w:eastAsia="Times New Roman" w:hAnsi="GHEA Grapalat"/>
          <w:sz w:val="24"/>
          <w:szCs w:val="24"/>
        </w:rPr>
        <w:t>Առևտրի</w:t>
      </w:r>
      <w:proofErr w:type="spellEnd"/>
      <w:r w:rsidRPr="000D7101">
        <w:rPr>
          <w:rFonts w:ascii="GHEA Grapalat" w:eastAsia="Times New Roman" w:hAnsi="GHEA Grapalat"/>
          <w:sz w:val="24"/>
          <w:szCs w:val="24"/>
        </w:rPr>
        <w:t xml:space="preserve"> և ծառայությունների մասին»</w:t>
      </w:r>
      <w:r w:rsidRPr="000D7101">
        <w:rPr>
          <w:rFonts w:ascii="GHEA Grapalat" w:hAnsi="GHEA Grapalat" w:cs="Sylfaen"/>
          <w:sz w:val="24"/>
          <w:szCs w:val="24"/>
        </w:rPr>
        <w:t xml:space="preserve"> օրենքում փոփոխություններ և լրացումներ կատարելու մասին» </w:t>
      </w:r>
      <w:r w:rsidRPr="000D710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օրենքի (այսուհետ՝ Օրենք) </w:t>
      </w:r>
      <w:proofErr w:type="spellStart"/>
      <w:r w:rsidRPr="000D710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կիրարկումն</w:t>
      </w:r>
      <w:proofErr w:type="spellEnd"/>
      <w:r w:rsidRPr="000D710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0D7101">
        <w:rPr>
          <w:rStyle w:val="Strong"/>
          <w:rFonts w:ascii="GHEA Grapalat" w:hAnsi="GHEA Grapalat" w:cs="Sylfaen"/>
          <w:sz w:val="24"/>
          <w:szCs w:val="24"/>
          <w:shd w:val="clear" w:color="auto" w:fill="FFFFFF"/>
        </w:rPr>
        <w:t>ապահովող</w:t>
      </w:r>
      <w:r w:rsidRPr="000D710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0D7101">
        <w:rPr>
          <w:rStyle w:val="Strong"/>
          <w:rFonts w:ascii="GHEA Grapalat" w:hAnsi="GHEA Grapalat" w:cs="Sylfaen"/>
          <w:sz w:val="24"/>
          <w:szCs w:val="24"/>
          <w:shd w:val="clear" w:color="auto" w:fill="FFFFFF"/>
        </w:rPr>
        <w:t>միջոցառումը հաստատելու</w:t>
      </w:r>
      <w:r w:rsidRPr="000D7101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0D7101">
        <w:rPr>
          <w:rStyle w:val="Strong"/>
          <w:rFonts w:ascii="GHEA Grapalat" w:hAnsi="GHEA Grapalat" w:cs="Sylfaen"/>
          <w:sz w:val="24"/>
          <w:szCs w:val="24"/>
          <w:shd w:val="clear" w:color="auto" w:fill="FFFFFF"/>
        </w:rPr>
        <w:t xml:space="preserve">մասին» Վարչապետի N 792-Ա որոշմամբ </w:t>
      </w:r>
      <w:r w:rsidRPr="000D7101">
        <w:rPr>
          <w:rFonts w:ascii="GHEA Grapalat" w:hAnsi="GHEA Grapalat"/>
          <w:sz w:val="24"/>
          <w:szCs w:val="24"/>
        </w:rPr>
        <w:t>սահմանված միջոցառման ապահովմամբ, համաձայն որի պետք է սահմանված կարգով մշակվեր և Վարչապետի աշխատակազմ ներկայացվեր Օ</w:t>
      </w:r>
      <w:r w:rsidRPr="000D7101">
        <w:rPr>
          <w:rFonts w:ascii="GHEA Grapalat" w:hAnsi="GHEA Grapalat" w:cs="Sylfaen"/>
          <w:sz w:val="24"/>
          <w:szCs w:val="24"/>
        </w:rPr>
        <w:t xml:space="preserve">րենքից բխող «Հեղուկ վառելիքի մանրածախ </w:t>
      </w:r>
      <w:proofErr w:type="spellStart"/>
      <w:r w:rsidRPr="000D7101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Pr="000D7101">
        <w:rPr>
          <w:rFonts w:ascii="GHEA Grapalat" w:hAnsi="GHEA Grapalat" w:cs="Sylfaen"/>
          <w:sz w:val="24"/>
          <w:szCs w:val="24"/>
        </w:rPr>
        <w:t xml:space="preserve"> կետերում </w:t>
      </w:r>
      <w:proofErr w:type="spellStart"/>
      <w:r w:rsidRPr="000D7101">
        <w:rPr>
          <w:rFonts w:ascii="GHEA Grapalat" w:hAnsi="GHEA Grapalat" w:cs="Sylfaen"/>
          <w:sz w:val="24"/>
          <w:szCs w:val="24"/>
        </w:rPr>
        <w:t>ստուգաչափված</w:t>
      </w:r>
      <w:proofErr w:type="spellEnd"/>
      <w:r w:rsidRPr="000D710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D7101">
        <w:rPr>
          <w:rFonts w:ascii="GHEA Grapalat" w:hAnsi="GHEA Grapalat" w:cs="Sylfaen"/>
          <w:sz w:val="24"/>
          <w:szCs w:val="24"/>
        </w:rPr>
        <w:t>տարաներին</w:t>
      </w:r>
      <w:proofErr w:type="spellEnd"/>
      <w:r w:rsidRPr="000D7101">
        <w:rPr>
          <w:rFonts w:ascii="GHEA Grapalat" w:hAnsi="GHEA Grapalat" w:cs="Sylfaen"/>
          <w:sz w:val="24"/>
          <w:szCs w:val="24"/>
        </w:rPr>
        <w:t xml:space="preserve"> ներկայացվող պահանջները, դրանց տեղադրման և կիրառման կարգը հաստատելու մասին» </w:t>
      </w:r>
      <w:r w:rsidRPr="000D7101">
        <w:rPr>
          <w:rFonts w:ascii="GHEA Grapalat" w:hAnsi="GHEA Grapalat"/>
          <w:sz w:val="24"/>
          <w:szCs w:val="24"/>
          <w:shd w:val="clear" w:color="auto" w:fill="FFFFFF"/>
        </w:rPr>
        <w:t>Կառավարության որոշման</w:t>
      </w:r>
      <w:r w:rsidRPr="000D7101">
        <w:rPr>
          <w:rFonts w:ascii="GHEA Grapalat" w:hAnsi="GHEA Grapalat"/>
          <w:sz w:val="24"/>
          <w:szCs w:val="24"/>
        </w:rPr>
        <w:t xml:space="preserve"> նախագիծը </w:t>
      </w:r>
      <w:r w:rsidRPr="000D7101">
        <w:rPr>
          <w:rFonts w:ascii="GHEA Grapalat" w:hAnsi="GHEA Grapalat" w:cs="Sylfaen"/>
          <w:sz w:val="24"/>
          <w:szCs w:val="24"/>
        </w:rPr>
        <w:t>(այսուհետ՝ Նախագիծ)</w:t>
      </w:r>
      <w:r w:rsidRPr="000D7101">
        <w:rPr>
          <w:rFonts w:ascii="GHEA Grapalat" w:hAnsi="GHEA Grapalat"/>
          <w:sz w:val="24"/>
          <w:szCs w:val="24"/>
        </w:rPr>
        <w:t xml:space="preserve">։ </w:t>
      </w:r>
    </w:p>
    <w:p w:rsidR="003A5ACE" w:rsidRPr="000D7101" w:rsidRDefault="003A5ACE" w:rsidP="003A5AC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Sylfaen"/>
          <w:b/>
          <w:sz w:val="24"/>
          <w:szCs w:val="24"/>
        </w:rPr>
        <w:t>2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Sylfaen"/>
          <w:b/>
          <w:sz w:val="24"/>
          <w:szCs w:val="24"/>
        </w:rPr>
        <w:t xml:space="preserve"> Ընթացիկ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իրավիճակը և խնդիրները.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</w:tabs>
        <w:spacing w:after="0" w:line="360" w:lineRule="auto"/>
        <w:ind w:firstLine="720"/>
        <w:jc w:val="lowKashida"/>
        <w:rPr>
          <w:rFonts w:ascii="GHEA Grapalat" w:hAnsi="GHEA Grapalat"/>
          <w:sz w:val="24"/>
          <w:szCs w:val="24"/>
        </w:rPr>
      </w:pPr>
      <w:r w:rsidRPr="000D7101">
        <w:rPr>
          <w:rFonts w:ascii="GHEA Grapalat" w:hAnsi="GHEA Grapalat"/>
          <w:sz w:val="24"/>
          <w:szCs w:val="24"/>
        </w:rPr>
        <w:t xml:space="preserve">Սույն Նախագծի </w:t>
      </w:r>
      <w:proofErr w:type="spellStart"/>
      <w:r w:rsidRPr="000D7101">
        <w:rPr>
          <w:rFonts w:ascii="GHEA Grapalat" w:hAnsi="GHEA Grapalat"/>
          <w:sz w:val="24"/>
          <w:szCs w:val="24"/>
        </w:rPr>
        <w:t>մաշկման</w:t>
      </w:r>
      <w:proofErr w:type="spellEnd"/>
      <w:r w:rsidRPr="000D7101">
        <w:rPr>
          <w:rFonts w:ascii="GHEA Grapalat" w:hAnsi="GHEA Grapalat"/>
          <w:sz w:val="24"/>
          <w:szCs w:val="24"/>
        </w:rPr>
        <w:t xml:space="preserve"> համար հիմք է հանդիսանում ԳՕՍՏ 8.400-2013 միջպետական ստանդարտը, հեղուկ վառելիքի լցավորման կայաններում </w:t>
      </w:r>
      <w:proofErr w:type="spellStart"/>
      <w:r w:rsidRPr="000D7101">
        <w:rPr>
          <w:rFonts w:ascii="GHEA Grapalat" w:hAnsi="GHEA Grapalat"/>
          <w:sz w:val="24"/>
          <w:szCs w:val="24"/>
        </w:rPr>
        <w:t>չափանոթների</w:t>
      </w:r>
      <w:proofErr w:type="spellEnd"/>
      <w:r w:rsidRPr="000D710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D7101">
        <w:rPr>
          <w:rFonts w:ascii="GHEA Grapalat" w:hAnsi="GHEA Grapalat"/>
          <w:sz w:val="24"/>
          <w:szCs w:val="24"/>
        </w:rPr>
        <w:t>կիրառմանն</w:t>
      </w:r>
      <w:proofErr w:type="spellEnd"/>
      <w:r w:rsidRPr="000D7101">
        <w:rPr>
          <w:rFonts w:ascii="GHEA Grapalat" w:hAnsi="GHEA Grapalat"/>
          <w:sz w:val="24"/>
          <w:szCs w:val="24"/>
        </w:rPr>
        <w:t xml:space="preserve"> առնչվող ԵԱՏՄ անդամ պետություններում գործող նորմերը: 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3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Տվյալ բնագավառում իրականացվող քաղաքականությունը</w:t>
      </w:r>
    </w:p>
    <w:p w:rsidR="003A5ACE" w:rsidRDefault="003A5ACE" w:rsidP="003A5AC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lowKashida"/>
        <w:rPr>
          <w:rFonts w:ascii="GHEA Grapalat" w:eastAsia="Times New Roman" w:hAnsi="GHEA Grapalat" w:cs="Sylfaen"/>
          <w:sz w:val="24"/>
          <w:szCs w:val="24"/>
        </w:rPr>
      </w:pPr>
      <w:r w:rsidRPr="000D7101">
        <w:rPr>
          <w:rFonts w:ascii="GHEA Grapalat" w:eastAsia="Times New Roman" w:hAnsi="GHEA Grapalat" w:cs="Sylfaen"/>
          <w:sz w:val="24"/>
          <w:szCs w:val="24"/>
        </w:rPr>
        <w:t xml:space="preserve">2021թ. ապրիլի 7-ի ՀՕ-142-Ն օրենքի 2-րդ և 3-րդ հոդվածների համաձայն ՝ 17.2. Հեղուկ վառելիքի մանրածախ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առևտրի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կետերում վաճառողը պարտավոր է ունենալ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ստուգաչափված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տարա և սպառողի պահանջով հեղուկ վառելիքի վաճառքն իրականացնել այդ տարայի միջոցով: Հեղուկ վառելիքի մանրածախ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առևտրի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կետերում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ստուգաչափված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տարաներին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ներկայացվող պահանջները, դրանց </w:t>
      </w:r>
      <w:r w:rsidRPr="000D7101">
        <w:rPr>
          <w:rFonts w:ascii="GHEA Grapalat" w:eastAsia="Times New Roman" w:hAnsi="GHEA Grapalat" w:cs="Sylfaen"/>
          <w:sz w:val="24"/>
          <w:szCs w:val="24"/>
        </w:rPr>
        <w:lastRenderedPageBreak/>
        <w:t xml:space="preserve">տեղադրման և կիրառման կարգը հաստատում է Հայաստանի Հանրապետության կառավարությունը:»: </w:t>
      </w:r>
    </w:p>
    <w:p w:rsidR="003A5ACE" w:rsidRPr="000D7101" w:rsidRDefault="003A5ACE" w:rsidP="003A5AC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lowKashida"/>
        <w:rPr>
          <w:rFonts w:ascii="GHEA Grapalat" w:eastAsia="Times New Roman" w:hAnsi="GHEA Grapalat" w:cs="Sylfaen"/>
          <w:sz w:val="24"/>
          <w:szCs w:val="24"/>
        </w:rPr>
      </w:pPr>
      <w:r w:rsidRPr="000D7101">
        <w:rPr>
          <w:rFonts w:ascii="GHEA Grapalat" w:eastAsia="Times New Roman" w:hAnsi="GHEA Grapalat" w:cs="Sylfaen"/>
          <w:sz w:val="24"/>
          <w:szCs w:val="24"/>
        </w:rPr>
        <w:t xml:space="preserve">Սույն նախագծի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ընդունմամբ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ակնկալվում է ապահովել սպառողների իրավունքների պաշտպանության մակարդակի բարձրացում, նվազեցնել և բացառել հեղուկ վառելիքի մանրածախ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առևտրի</w:t>
      </w:r>
      <w:proofErr w:type="spellEnd"/>
      <w:r w:rsidRPr="000D7101">
        <w:rPr>
          <w:rFonts w:ascii="GHEA Grapalat" w:eastAsia="Times New Roman" w:hAnsi="GHEA Grapalat" w:cs="Sylfaen"/>
          <w:sz w:val="24"/>
          <w:szCs w:val="24"/>
        </w:rPr>
        <w:t xml:space="preserve"> կետերում վաճառողի կողմից </w:t>
      </w:r>
      <w:proofErr w:type="spellStart"/>
      <w:r w:rsidRPr="000D7101">
        <w:rPr>
          <w:rFonts w:ascii="GHEA Grapalat" w:eastAsia="Times New Roman" w:hAnsi="GHEA Grapalat" w:cs="Sylfaen"/>
          <w:sz w:val="24"/>
          <w:szCs w:val="24"/>
        </w:rPr>
        <w:t>թերլցումները</w:t>
      </w:r>
      <w:proofErr w:type="spellEnd"/>
      <w:r w:rsidRPr="000D7101">
        <w:rPr>
          <w:rFonts w:ascii="GHEA Grapalat" w:hAnsi="GHEA Grapalat"/>
          <w:sz w:val="24"/>
          <w:szCs w:val="24"/>
          <w:shd w:val="clear" w:color="auto" w:fill="FFFFFF"/>
        </w:rPr>
        <w:t>։</w:t>
      </w:r>
    </w:p>
    <w:p w:rsidR="003A5ACE" w:rsidRPr="000D7101" w:rsidRDefault="003A5ACE" w:rsidP="003A5AC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4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</w:rPr>
        <w:t xml:space="preserve"> 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Կարգավորման նպատակը և բնույթը</w:t>
      </w:r>
    </w:p>
    <w:p w:rsidR="003A5ACE" w:rsidRDefault="003A5ACE" w:rsidP="003A5ACE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  <w:tab w:val="left" w:pos="1260"/>
        </w:tabs>
        <w:spacing w:after="0" w:line="360" w:lineRule="auto"/>
        <w:ind w:left="0" w:right="10" w:firstLine="720"/>
        <w:jc w:val="both"/>
        <w:rPr>
          <w:rFonts w:ascii="GHEA Grapalat" w:hAnsi="GHEA Grapalat"/>
          <w:sz w:val="24"/>
          <w:szCs w:val="24"/>
        </w:rPr>
      </w:pPr>
      <w:r w:rsidRPr="00653A71">
        <w:rPr>
          <w:rFonts w:ascii="GHEA Grapalat" w:eastAsia="Calibri" w:hAnsi="GHEA Grapalat" w:cs="Sylfaen"/>
          <w:sz w:val="24"/>
          <w:szCs w:val="24"/>
        </w:rPr>
        <w:t xml:space="preserve">Սույն Նախագծի կարգավորման առարկան </w:t>
      </w:r>
      <w:proofErr w:type="spellStart"/>
      <w:r w:rsidRPr="00653A71">
        <w:rPr>
          <w:rFonts w:ascii="GHEA Grapalat" w:eastAsia="Calibri" w:hAnsi="GHEA Grapalat" w:cs="Sylfaen"/>
          <w:sz w:val="24"/>
          <w:szCs w:val="24"/>
        </w:rPr>
        <w:t>Օենքի</w:t>
      </w:r>
      <w:proofErr w:type="spellEnd"/>
      <w:r w:rsidRPr="00653A71">
        <w:rPr>
          <w:rFonts w:ascii="GHEA Grapalat" w:eastAsia="Calibri" w:hAnsi="GHEA Grapalat" w:cs="Sylfaen"/>
          <w:sz w:val="24"/>
          <w:szCs w:val="24"/>
        </w:rPr>
        <w:t xml:space="preserve"> </w:t>
      </w:r>
      <w:r w:rsidRPr="00653A71">
        <w:rPr>
          <w:rFonts w:ascii="GHEA Grapalat" w:eastAsia="Times New Roman" w:hAnsi="GHEA Grapalat" w:cs="Sylfaen"/>
          <w:sz w:val="24"/>
          <w:szCs w:val="24"/>
        </w:rPr>
        <w:t xml:space="preserve">17.2-րդ հոդվածով սահմանված պահանջների սահմանումն է՝ </w:t>
      </w:r>
      <w:r w:rsidRPr="00653A71">
        <w:rPr>
          <w:rFonts w:ascii="GHEA Grapalat" w:hAnsi="GHEA Grapalat" w:cs="Sylfaen"/>
          <w:sz w:val="24"/>
          <w:szCs w:val="24"/>
        </w:rPr>
        <w:t xml:space="preserve">հեղուկ վառելիքի մանրածախ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կետերում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ստուգաչափված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տարաներին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ներկայացվող պահանջների, դրանց տեղադրման և կիրառման կարգի սահմանումն է Կառավարության կողմից։  </w:t>
      </w:r>
      <w:r w:rsidRPr="00653A71">
        <w:rPr>
          <w:rFonts w:ascii="GHEA Grapalat" w:eastAsia="Times New Roman" w:hAnsi="GHEA Grapalat" w:cs="Sylfaen"/>
          <w:sz w:val="24"/>
          <w:szCs w:val="24"/>
        </w:rPr>
        <w:t xml:space="preserve">Նախագծով </w:t>
      </w:r>
      <w:proofErr w:type="spellStart"/>
      <w:r w:rsidRPr="00653A71">
        <w:rPr>
          <w:rFonts w:ascii="GHEA Grapalat" w:eastAsia="Times New Roman" w:hAnsi="GHEA Grapalat" w:cs="Sylfaen"/>
          <w:sz w:val="24"/>
          <w:szCs w:val="24"/>
        </w:rPr>
        <w:t>չափանոթներին</w:t>
      </w:r>
      <w:proofErr w:type="spellEnd"/>
      <w:r w:rsidRPr="00653A71">
        <w:rPr>
          <w:rFonts w:ascii="GHEA Grapalat" w:eastAsia="Times New Roman" w:hAnsi="GHEA Grapalat" w:cs="Sylfaen"/>
          <w:sz w:val="24"/>
          <w:szCs w:val="24"/>
        </w:rPr>
        <w:t xml:space="preserve"> ներկայացվող հիմնական պահանջներում նախատեսվել է նաև, որ  </w:t>
      </w:r>
      <w:proofErr w:type="spellStart"/>
      <w:r w:rsidRPr="00653A71">
        <w:rPr>
          <w:rFonts w:ascii="GHEA Grapalat" w:hAnsi="GHEA Grapalat"/>
          <w:sz w:val="24"/>
          <w:szCs w:val="24"/>
        </w:rPr>
        <w:t>չափանոթների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հարաբերական </w:t>
      </w:r>
      <w:proofErr w:type="spellStart"/>
      <w:r w:rsidRPr="00653A71">
        <w:rPr>
          <w:rFonts w:ascii="GHEA Grapalat" w:hAnsi="GHEA Grapalat"/>
          <w:sz w:val="24"/>
          <w:szCs w:val="24"/>
        </w:rPr>
        <w:t>սխալանքը</w:t>
      </w:r>
      <w:proofErr w:type="spellEnd"/>
      <w:r w:rsidRPr="00B96AED">
        <w:t xml:space="preserve"> </w:t>
      </w:r>
      <w:r w:rsidRPr="00653A71">
        <w:rPr>
          <w:rFonts w:ascii="GHEA Grapalat" w:hAnsi="GHEA Grapalat"/>
          <w:sz w:val="24"/>
          <w:szCs w:val="24"/>
        </w:rPr>
        <w:t>20 °С ±10 °С ջերմաստիճանի դեպքում չի կարող գերազանցել ± 0,5%:</w:t>
      </w:r>
      <w:r w:rsidRPr="00653A71">
        <w:rPr>
          <w:rFonts w:ascii="GHEA Grapalat" w:eastAsia="Times New Roman" w:hAnsi="GHEA Grapalat" w:cs="Sylfaen"/>
          <w:sz w:val="24"/>
          <w:szCs w:val="24"/>
        </w:rPr>
        <w:t xml:space="preserve"> Միաժամանակ սահմանվել է, որ </w:t>
      </w:r>
      <w:proofErr w:type="spellStart"/>
      <w:r w:rsidRPr="00653A71">
        <w:rPr>
          <w:rFonts w:ascii="GHEA Grapalat" w:eastAsia="Times New Roman" w:hAnsi="GHEA Grapalat" w:cs="Sylfaen"/>
          <w:sz w:val="24"/>
          <w:szCs w:val="24"/>
        </w:rPr>
        <w:t>վ</w:t>
      </w:r>
      <w:r w:rsidRPr="00653A71">
        <w:rPr>
          <w:rFonts w:ascii="GHEA Grapalat" w:hAnsi="GHEA Grapalat"/>
          <w:sz w:val="24"/>
          <w:szCs w:val="24"/>
        </w:rPr>
        <w:t>առելիքաբաշխիչ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աշտարակի </w:t>
      </w:r>
      <w:proofErr w:type="spellStart"/>
      <w:r w:rsidRPr="00653A71">
        <w:rPr>
          <w:rFonts w:ascii="GHEA Grapalat" w:hAnsi="GHEA Grapalat"/>
          <w:sz w:val="24"/>
          <w:szCs w:val="24"/>
        </w:rPr>
        <w:t>ցուցատախտակի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վրա արտացոլված քանակության և </w:t>
      </w:r>
      <w:proofErr w:type="spellStart"/>
      <w:r w:rsidRPr="00653A71">
        <w:rPr>
          <w:rFonts w:ascii="GHEA Grapalat" w:hAnsi="GHEA Grapalat"/>
          <w:sz w:val="24"/>
          <w:szCs w:val="24"/>
        </w:rPr>
        <w:t>չափանոթի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անվանական տարողության նիշի տարբերությունը չի կարող գերազանցել 1 %-ը, հաշվի առնելով </w:t>
      </w:r>
      <w:proofErr w:type="spellStart"/>
      <w:r w:rsidRPr="00653A71">
        <w:rPr>
          <w:rFonts w:ascii="GHEA Grapalat" w:hAnsi="GHEA Grapalat"/>
          <w:sz w:val="24"/>
          <w:szCs w:val="24"/>
        </w:rPr>
        <w:t>վառելիքաբաշխիչ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աշտարակի աշխատանքի առավելագույն հարաբերական </w:t>
      </w:r>
      <w:proofErr w:type="spellStart"/>
      <w:r w:rsidRPr="00653A71">
        <w:rPr>
          <w:rFonts w:ascii="GHEA Grapalat" w:hAnsi="GHEA Grapalat"/>
          <w:sz w:val="24"/>
          <w:szCs w:val="24"/>
        </w:rPr>
        <w:t>սխալանքը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, որը ± 0,5% է։  </w:t>
      </w:r>
      <w:proofErr w:type="spellStart"/>
      <w:r w:rsidRPr="00653A71">
        <w:rPr>
          <w:rFonts w:ascii="GHEA Grapalat" w:hAnsi="GHEA Grapalat"/>
          <w:sz w:val="24"/>
          <w:szCs w:val="24"/>
        </w:rPr>
        <w:t>Չափանոթը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հեղուկ վառելիքով լիցքավորման ժամանակ վառելիքի </w:t>
      </w:r>
      <w:proofErr w:type="spellStart"/>
      <w:r w:rsidRPr="00653A71">
        <w:rPr>
          <w:rFonts w:ascii="GHEA Grapalat" w:hAnsi="GHEA Grapalat"/>
          <w:sz w:val="24"/>
          <w:szCs w:val="24"/>
        </w:rPr>
        <w:t>արտանետումը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բացառելու նպատակով նախատեսվել է </w:t>
      </w:r>
      <w:r>
        <w:rPr>
          <w:rFonts w:ascii="GHEA Grapalat" w:hAnsi="GHEA Grapalat"/>
          <w:sz w:val="24"/>
          <w:szCs w:val="24"/>
        </w:rPr>
        <w:t xml:space="preserve">նաև </w:t>
      </w:r>
      <w:proofErr w:type="spellStart"/>
      <w:r w:rsidRPr="00653A71">
        <w:rPr>
          <w:rFonts w:ascii="GHEA Grapalat" w:hAnsi="GHEA Grapalat"/>
          <w:sz w:val="24"/>
          <w:szCs w:val="24"/>
        </w:rPr>
        <w:t>չափանոթների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53A71">
        <w:rPr>
          <w:rFonts w:ascii="GHEA Grapalat" w:hAnsi="GHEA Grapalat"/>
          <w:sz w:val="24"/>
          <w:szCs w:val="24"/>
        </w:rPr>
        <w:t>բկանցքի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վրա </w:t>
      </w:r>
      <w:proofErr w:type="spellStart"/>
      <w:r w:rsidRPr="00653A71">
        <w:rPr>
          <w:rFonts w:ascii="GHEA Grapalat" w:hAnsi="GHEA Grapalat"/>
          <w:sz w:val="24"/>
          <w:szCs w:val="24"/>
        </w:rPr>
        <w:t>փրփրամարիչի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, ջերմաչափի (ջերմաստիճանի </w:t>
      </w:r>
      <w:proofErr w:type="spellStart"/>
      <w:r w:rsidRPr="00653A71">
        <w:rPr>
          <w:rFonts w:ascii="GHEA Grapalat" w:hAnsi="GHEA Grapalat"/>
          <w:sz w:val="24"/>
          <w:szCs w:val="24"/>
        </w:rPr>
        <w:t>տվիչների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) և </w:t>
      </w:r>
      <w:proofErr w:type="spellStart"/>
      <w:r w:rsidRPr="00653A71">
        <w:rPr>
          <w:rFonts w:ascii="GHEA Grapalat" w:hAnsi="GHEA Grapalat"/>
          <w:sz w:val="24"/>
          <w:szCs w:val="24"/>
        </w:rPr>
        <w:t>հարթաչափերի</w:t>
      </w:r>
      <w:proofErr w:type="spellEnd"/>
      <w:r w:rsidRPr="00653A7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առկայության պահանջ</w:t>
      </w:r>
      <w:r w:rsidRPr="00653A71">
        <w:rPr>
          <w:rFonts w:ascii="GHEA Grapalat" w:hAnsi="GHEA Grapalat"/>
          <w:sz w:val="24"/>
          <w:szCs w:val="24"/>
        </w:rPr>
        <w:t xml:space="preserve">։ </w:t>
      </w:r>
    </w:p>
    <w:p w:rsidR="003A5ACE" w:rsidRPr="00653A71" w:rsidRDefault="003A5ACE" w:rsidP="003A5ACE">
      <w:pPr>
        <w:widowControl w:val="0"/>
        <w:tabs>
          <w:tab w:val="left" w:pos="900"/>
          <w:tab w:val="left" w:pos="1080"/>
          <w:tab w:val="left" w:pos="1134"/>
          <w:tab w:val="left" w:pos="1170"/>
          <w:tab w:val="left" w:pos="1260"/>
        </w:tabs>
        <w:spacing w:after="0" w:line="360" w:lineRule="auto"/>
        <w:ind w:right="1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 w:rsidRPr="00653A71">
        <w:rPr>
          <w:rFonts w:ascii="GHEA Grapalat" w:hAnsi="GHEA Grapalat" w:cs="Sylfaen"/>
          <w:sz w:val="24"/>
          <w:szCs w:val="24"/>
        </w:rPr>
        <w:t xml:space="preserve">Նախագծի հիմնական նպատակը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պառողների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իրավունքների պաշտպանության մակարդակի բարձրացումն է, հեղուկ վառելիքի մանրածախ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կետերում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ստուգաչափված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տարաներիկիրառմամբ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սպառողին տրամադրվող վառելիքի չափաքանակների </w:t>
      </w:r>
      <w:proofErr w:type="spellStart"/>
      <w:r w:rsidRPr="00653A71">
        <w:rPr>
          <w:rFonts w:ascii="GHEA Grapalat" w:hAnsi="GHEA Grapalat" w:cs="Sylfaen"/>
          <w:sz w:val="24"/>
          <w:szCs w:val="24"/>
        </w:rPr>
        <w:t>թերլցումների</w:t>
      </w:r>
      <w:proofErr w:type="spellEnd"/>
      <w:r w:rsidRPr="00653A71">
        <w:rPr>
          <w:rFonts w:ascii="GHEA Grapalat" w:hAnsi="GHEA Grapalat" w:cs="Sylfaen"/>
          <w:sz w:val="24"/>
          <w:szCs w:val="24"/>
        </w:rPr>
        <w:t xml:space="preserve"> վերացումը</w:t>
      </w:r>
      <w:r w:rsidRPr="00653A71">
        <w:rPr>
          <w:rFonts w:ascii="GHEA Grapalat" w:eastAsia="Times New Roman" w:hAnsi="GHEA Grapalat" w:cs="Sylfaen"/>
          <w:sz w:val="24"/>
          <w:szCs w:val="24"/>
        </w:rPr>
        <w:t>։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lastRenderedPageBreak/>
        <w:t>5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Նախագծի մշակման գործընթացում ներգրավված ինստիտուտները և անձինք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Սույն իրավական ակտի նախագծի մշակումն իրականացվել է ՀՀ էկոնոմիկայի նախարարության </w:t>
      </w:r>
      <w:r w:rsidR="00A41DBC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r w:rsidR="00A41DBC" w:rsidRPr="00A41DBC">
        <w:rPr>
          <w:rFonts w:ascii="GHEA Grapalat" w:eastAsia="Times New Roman" w:hAnsi="GHEA Grapalat" w:cs="Times New Roman"/>
          <w:sz w:val="24"/>
          <w:szCs w:val="24"/>
        </w:rPr>
        <w:t xml:space="preserve">Վարչապետի աշխատակազմի տեսչական մարմինների աշխատանքների համակարգման գրասենյակի </w:t>
      </w:r>
      <w:bookmarkStart w:id="0" w:name="_GoBack"/>
      <w:bookmarkEnd w:id="0"/>
      <w:r w:rsidRPr="000D7101">
        <w:rPr>
          <w:rFonts w:ascii="GHEA Grapalat" w:eastAsia="Times New Roman" w:hAnsi="GHEA Grapalat" w:cs="Times New Roman"/>
          <w:sz w:val="24"/>
          <w:szCs w:val="24"/>
        </w:rPr>
        <w:t>կողմից։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6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Ակնկալվող արդյունքը</w:t>
      </w:r>
    </w:p>
    <w:p w:rsidR="003A5ACE" w:rsidRPr="000D7101" w:rsidRDefault="003A5ACE" w:rsidP="003A5ACE">
      <w:pPr>
        <w:shd w:val="clear" w:color="auto" w:fill="FFFFFF"/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Նախագծի մշակման/ընդունման արդյունքում ակնկալվում է ՀՀ-ում տվյալ ոլորտի կարգավորումը, </w:t>
      </w:r>
      <w:proofErr w:type="spellStart"/>
      <w:r w:rsidRPr="000D7101">
        <w:rPr>
          <w:rFonts w:ascii="GHEA Grapalat" w:eastAsia="Times New Roman" w:hAnsi="GHEA Grapalat" w:cs="Times New Roman"/>
          <w:sz w:val="24"/>
          <w:szCs w:val="24"/>
        </w:rPr>
        <w:t>թերլցումների</w:t>
      </w:r>
      <w:proofErr w:type="spellEnd"/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 բացառումը և սպառողների իրավունքների պաշտպանության մակարդակի բարձրացումը: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>7</w:t>
      </w:r>
      <w:r w:rsidRPr="000D7101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0D7101">
        <w:rPr>
          <w:rFonts w:ascii="GHEA Grapalat" w:eastAsia="Times New Roman" w:hAnsi="GHEA Grapalat" w:cs="Times New Roman"/>
          <w:b/>
          <w:sz w:val="24"/>
          <w:szCs w:val="24"/>
        </w:rPr>
        <w:t xml:space="preserve"> Այլ տեղեկություններ </w:t>
      </w:r>
      <w:r w:rsidRPr="000D7101">
        <w:rPr>
          <w:rFonts w:ascii="GHEA Grapalat" w:eastAsia="Times New Roman" w:hAnsi="GHEA Grapalat" w:cs="Sylfaen"/>
          <w:b/>
          <w:bCs/>
          <w:sz w:val="24"/>
          <w:szCs w:val="24"/>
        </w:rPr>
        <w:t>(եթե այդպիսիք առկա են)</w:t>
      </w:r>
    </w:p>
    <w:p w:rsidR="003A5ACE" w:rsidRPr="000D7101" w:rsidRDefault="003A5ACE" w:rsidP="003A5AC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Սույն որոշման </w:t>
      </w:r>
      <w:r w:rsidRPr="000D7101">
        <w:rPr>
          <w:rFonts w:ascii="GHEA Grapalat" w:eastAsia="Times New Roman" w:hAnsi="GHEA Grapalat" w:cs="Sylfaen"/>
          <w:sz w:val="24"/>
          <w:szCs w:val="24"/>
        </w:rPr>
        <w:t>նախագծի</w:t>
      </w:r>
      <w:r w:rsidRPr="000D7101">
        <w:rPr>
          <w:rFonts w:ascii="GHEA Grapalat" w:eastAsia="Times New Roman" w:hAnsi="GHEA Grapalat" w:cs="Times New Roman"/>
          <w:sz w:val="24"/>
          <w:szCs w:val="24"/>
        </w:rPr>
        <w:t xml:space="preserve"> ընդունման կապակցությամբ Հայաստանի Հանրապետության պետական և տեղական ինքնակառավարման մարմինների բյուջեի եկամուտների էական նվազեցում կամ ծախսերի ավելացում չի առաջանում։</w:t>
      </w:r>
      <w:r w:rsidRPr="000D7101">
        <w:rPr>
          <w:rFonts w:ascii="GHEA Grapalat" w:hAnsi="GHEA Grapalat"/>
          <w:sz w:val="24"/>
          <w:szCs w:val="24"/>
        </w:rPr>
        <w:t xml:space="preserve"> </w:t>
      </w:r>
    </w:p>
    <w:p w:rsidR="003A5ACE" w:rsidRPr="000D7101" w:rsidRDefault="003A5ACE" w:rsidP="003A5ACE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710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D7101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0D7101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3A5ACE" w:rsidRPr="000D7101" w:rsidRDefault="003A5ACE" w:rsidP="003A5ACE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D7101">
        <w:rPr>
          <w:rFonts w:ascii="GHEA Grapalat" w:eastAsia="Times New Roman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p w:rsidR="00D97250" w:rsidRDefault="00D97250"/>
    <w:sectPr w:rsidR="00D972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50C95"/>
    <w:multiLevelType w:val="hybridMultilevel"/>
    <w:tmpl w:val="E98C2C8C"/>
    <w:lvl w:ilvl="0" w:tplc="7F1CC680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52"/>
    <w:rsid w:val="003A5ACE"/>
    <w:rsid w:val="004A46AB"/>
    <w:rsid w:val="009E6852"/>
    <w:rsid w:val="00A41DBC"/>
    <w:rsid w:val="00D97250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7F00"/>
  <w15:chartTrackingRefBased/>
  <w15:docId w15:val="{C78BAF72-3D7F-4362-BBA7-1EC5488F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CE"/>
    <w:rPr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5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3A5AC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A5ACE"/>
    <w:rPr>
      <w:b/>
      <w:bCs/>
    </w:rPr>
  </w:style>
  <w:style w:type="paragraph" w:styleId="NoSpacing">
    <w:name w:val="No Spacing"/>
    <w:uiPriority w:val="1"/>
    <w:qFormat/>
    <w:rsid w:val="003A5AC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rsid w:val="003A5ACE"/>
    <w:rPr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>https:/mul2.gov.am/tasks/596248/oneclick/Himnavorum vareliq.docx?token=9a3e19417363c3dfde163b59c75e5464</cp:keywords>
  <dc:description/>
  <cp:lastModifiedBy>Anjela Aslanyan</cp:lastModifiedBy>
  <cp:revision>3</cp:revision>
  <dcterms:created xsi:type="dcterms:W3CDTF">2022-04-21T13:35:00Z</dcterms:created>
  <dcterms:modified xsi:type="dcterms:W3CDTF">2022-04-21T13:36:00Z</dcterms:modified>
</cp:coreProperties>
</file>